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rFonts w:ascii="Arial" w:hAnsi="Arial" w:cs="Arial"/>
          <w:b/>
          <w:sz w:val="22"/>
        </w:rPr>
      </w:pPr>
      <w:r>
        <w:rPr>
          <w:rFonts w:cs="Arial" w:ascii="Arial" w:hAnsi="Arial"/>
          <w:b/>
          <w:sz w:val="22"/>
        </w:rPr>
        <w:t>Summary of Commercial Terms</w:t>
      </w:r>
    </w:p>
    <w:p>
      <w:pPr>
        <w:pStyle w:val="Header"/>
        <w:jc w:val="center"/>
        <w:rPr>
          <w:rFonts w:ascii="Arial" w:hAnsi="Arial" w:cs="Arial"/>
          <w:b/>
          <w:sz w:val="22"/>
        </w:rPr>
      </w:pPr>
      <w:r>
        <w:rPr>
          <w:rFonts w:cs="Arial" w:ascii="Arial" w:hAnsi="Arial"/>
          <w:b/>
          <w:sz w:val="22"/>
        </w:rPr>
        <w:t>Enron – IdleAire</w:t>
      </w:r>
    </w:p>
    <w:p>
      <w:pPr>
        <w:pStyle w:val="Header"/>
        <w:jc w:val="center"/>
        <w:rPr>
          <w:rFonts w:ascii="Arial" w:hAnsi="Arial" w:cs="Arial"/>
          <w:b/>
          <w:sz w:val="22"/>
        </w:rPr>
      </w:pPr>
      <w:r>
        <w:rPr>
          <w:rFonts w:cs="Arial" w:ascii="Arial" w:hAnsi="Arial"/>
          <w:b/>
          <w:sz w:val="22"/>
        </w:rPr>
        <w:t xml:space="preserve">October 28, 2001 </w:t>
      </w:r>
    </w:p>
    <w:p>
      <w:pPr>
        <w:pStyle w:val="BodyText"/>
        <w:jc w:val="both"/>
        <w:rPr>
          <w:rFonts w:ascii="Arial" w:hAnsi="Arial" w:cs="Arial"/>
          <w:b/>
          <w:sz w:val="22"/>
        </w:rPr>
      </w:pPr>
      <w:r>
        <w:rPr>
          <w:rFonts w:cs="Arial"/>
          <w:b/>
          <w:sz w:val="22"/>
        </w:rPr>
      </w:r>
    </w:p>
    <w:p>
      <w:pPr>
        <w:pStyle w:val="BodyText"/>
        <w:jc w:val="both"/>
        <w:rPr>
          <w:rFonts w:cs="Arial"/>
          <w:sz w:val="22"/>
        </w:rPr>
      </w:pPr>
      <w:r>
        <w:rPr>
          <w:rFonts w:cs="Arial"/>
          <w:sz w:val="22"/>
        </w:rPr>
        <w:t>These commercial terms are for discussion purposes only between the parties.  These terms do not create and are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good faith understanding to endeavor, without obligation, to negotiate mutually agreeable definitive agreements. This summary of commercial terms does not provide a complete list of terms and conditions that would be included in a definitive agreement.</w:t>
      </w:r>
    </w:p>
    <w:p>
      <w:pPr>
        <w:pStyle w:val="Normal"/>
        <w:jc w:val="both"/>
        <w:rPr>
          <w:rFonts w:ascii="Arial" w:hAnsi="Arial" w:cs="Arial"/>
          <w:sz w:val="22"/>
        </w:rPr>
      </w:pPr>
      <w:r>
        <w:rPr>
          <w:rFonts w:cs="Arial" w:ascii="Arial" w:hAnsi="Arial"/>
          <w:sz w:val="22"/>
        </w:rPr>
      </w:r>
    </w:p>
    <w:tbl>
      <w:tblPr>
        <w:tblW w:w="8748" w:type="dxa"/>
        <w:jc w:val="start"/>
        <w:tblInd w:w="0" w:type="dxa"/>
        <w:tblLayout w:type="fixed"/>
        <w:tblCellMar>
          <w:top w:w="0" w:type="dxa"/>
          <w:start w:w="108" w:type="dxa"/>
          <w:bottom w:w="0" w:type="dxa"/>
          <w:end w:w="108" w:type="dxa"/>
        </w:tblCellMar>
      </w:tblPr>
      <w:tblGrid>
        <w:gridCol w:w="1908"/>
        <w:gridCol w:w="6840"/>
      </w:tblGrid>
      <w:tr>
        <w:trPr/>
        <w:tc>
          <w:tcPr>
            <w:tcW w:w="1908" w:type="dxa"/>
            <w:tcBorders/>
          </w:tcPr>
          <w:p>
            <w:pPr>
              <w:pStyle w:val="Normal"/>
              <w:rPr>
                <w:rFonts w:ascii="Arial" w:hAnsi="Arial" w:cs="Arial"/>
                <w:b/>
                <w:sz w:val="22"/>
              </w:rPr>
            </w:pPr>
            <w:r>
              <w:rPr>
                <w:rFonts w:cs="Arial" w:ascii="Arial" w:hAnsi="Arial"/>
                <w:b/>
                <w:sz w:val="22"/>
              </w:rPr>
              <w:t>Parties:</w:t>
            </w:r>
          </w:p>
        </w:tc>
        <w:tc>
          <w:tcPr>
            <w:tcW w:w="6840" w:type="dxa"/>
            <w:tcBorders/>
          </w:tcPr>
          <w:p>
            <w:pPr>
              <w:pStyle w:val="Normal"/>
              <w:rPr>
                <w:rFonts w:ascii="Arial" w:hAnsi="Arial" w:cs="Arial"/>
                <w:bCs/>
                <w:sz w:val="22"/>
              </w:rPr>
            </w:pPr>
            <w:r>
              <w:rPr>
                <w:rFonts w:cs="Arial" w:ascii="Arial" w:hAnsi="Arial"/>
                <w:bCs/>
                <w:sz w:val="22"/>
              </w:rPr>
              <w:t>Enron Corporation or one of its affiliates or subsidiaries (“Enron”)</w:t>
            </w:r>
          </w:p>
          <w:p>
            <w:pPr>
              <w:pStyle w:val="Normal"/>
              <w:rPr>
                <w:rFonts w:ascii="Arial" w:hAnsi="Arial" w:cs="Arial"/>
                <w:bCs/>
                <w:sz w:val="22"/>
              </w:rPr>
            </w:pPr>
            <w:r>
              <w:rPr>
                <w:rFonts w:cs="Arial" w:ascii="Arial" w:hAnsi="Arial"/>
                <w:bCs/>
                <w:sz w:val="22"/>
              </w:rPr>
              <w:t>IdleAire Technologies Corporation (“IdleAire”)</w:t>
            </w:r>
          </w:p>
          <w:p>
            <w:pPr>
              <w:pStyle w:val="Normal"/>
              <w:rPr>
                <w:rFonts w:ascii="Arial" w:hAnsi="Arial" w:cs="Arial"/>
                <w:bCs/>
                <w:sz w:val="22"/>
              </w:rPr>
            </w:pPr>
            <w:r>
              <w:rPr>
                <w:rFonts w:cs="Arial" w:ascii="Arial" w:hAnsi="Arial"/>
                <w:bCs/>
                <w:sz w:val="22"/>
              </w:rPr>
            </w:r>
          </w:p>
        </w:tc>
      </w:tr>
      <w:tr>
        <w:trPr/>
        <w:tc>
          <w:tcPr>
            <w:tcW w:w="1908" w:type="dxa"/>
            <w:tcBorders/>
          </w:tcPr>
          <w:p>
            <w:pPr>
              <w:pStyle w:val="Normal"/>
              <w:rPr>
                <w:rFonts w:ascii="Arial" w:hAnsi="Arial" w:cs="Arial"/>
                <w:b/>
                <w:sz w:val="22"/>
              </w:rPr>
            </w:pPr>
            <w:r>
              <w:rPr>
                <w:rFonts w:cs="Arial" w:ascii="Arial" w:hAnsi="Arial"/>
                <w:b/>
                <w:sz w:val="22"/>
              </w:rPr>
              <w:t>Scope:</w:t>
            </w:r>
          </w:p>
        </w:tc>
        <w:tc>
          <w:tcPr>
            <w:tcW w:w="6840" w:type="dxa"/>
            <w:tcBorders/>
          </w:tcPr>
          <w:p>
            <w:pPr>
              <w:pStyle w:val="Normal"/>
              <w:rPr/>
            </w:pPr>
            <w:r>
              <w:rPr>
                <w:rFonts w:cs="Arial" w:ascii="Arial" w:hAnsi="Arial"/>
                <w:sz w:val="22"/>
              </w:rPr>
              <w:t>The Parties intend to enter into a commercial agreement (the “Agreement”) under which the Parties will work together to identify and source transactions with trucking companies or carriers, including private carriers, with fleets greater than 500 class 8 truck or tractors with sleeping cabs (the “Customers”).  The Parties’ specific responsibilities are outlined in the attached draft Commercial Agreement and will be further outlined in the Master Services Agreement.  In summary, IdleAire shall install and make the IdleAire solution available in the capacity negotiated in this Agreement, provide the Service, related to the IdleAire Solution, secure the real estate and right of use with truck stops owners and operators for the provision of the IdleAire Solution, and IdleAire shall provide that the installed capacity of the IdleAire Solution shall at all times be at a minimum ratio of one unit of the IdleAire Solution per every three trucks under contract with Customers.</w:t>
            </w:r>
            <w:r>
              <w:rPr>
                <w:sz w:val="22"/>
              </w:rPr>
              <w:t xml:space="preserve"> </w:t>
            </w:r>
          </w:p>
          <w:p>
            <w:pPr>
              <w:pStyle w:val="Normal"/>
              <w:rPr>
                <w:rFonts w:ascii="Arial" w:hAnsi="Arial" w:cs="Arial"/>
                <w:sz w:val="22"/>
              </w:rPr>
            </w:pPr>
            <w:r>
              <w:rPr>
                <w:rFonts w:cs="Arial" w:ascii="Arial" w:hAnsi="Arial"/>
                <w:sz w:val="22"/>
              </w:rPr>
            </w:r>
          </w:p>
        </w:tc>
      </w:tr>
      <w:tr>
        <w:trPr/>
        <w:tc>
          <w:tcPr>
            <w:tcW w:w="1908" w:type="dxa"/>
            <w:tcBorders/>
          </w:tcPr>
          <w:p>
            <w:pPr>
              <w:pStyle w:val="Normal"/>
              <w:rPr>
                <w:rFonts w:ascii="Arial" w:hAnsi="Arial" w:cs="Arial"/>
                <w:b/>
                <w:sz w:val="22"/>
              </w:rPr>
            </w:pPr>
            <w:r>
              <w:rPr>
                <w:rFonts w:cs="Arial" w:ascii="Arial" w:hAnsi="Arial"/>
                <w:b/>
                <w:sz w:val="22"/>
              </w:rPr>
              <w:t>Exclusivity:</w:t>
            </w:r>
          </w:p>
        </w:tc>
        <w:tc>
          <w:tcPr>
            <w:tcW w:w="6840" w:type="dxa"/>
            <w:tcBorders/>
          </w:tcPr>
          <w:p>
            <w:pPr>
              <w:pStyle w:val="Normal"/>
              <w:rPr>
                <w:rFonts w:ascii="Arial" w:hAnsi="Arial" w:cs="Arial"/>
                <w:sz w:val="22"/>
              </w:rPr>
            </w:pPr>
            <w:r>
              <w:rPr>
                <w:rFonts w:cs="Arial" w:ascii="Arial" w:hAnsi="Arial"/>
                <w:sz w:val="22"/>
              </w:rPr>
              <w:t>IdleAire shall appoint Enron as its exclusive representative to negotiate transactions with Customers.</w:t>
            </w:r>
          </w:p>
          <w:p>
            <w:pPr>
              <w:pStyle w:val="Normal"/>
              <w:rPr>
                <w:rFonts w:ascii="Arial" w:hAnsi="Arial" w:cs="Arial"/>
                <w:sz w:val="22"/>
              </w:rPr>
            </w:pPr>
            <w:r>
              <w:rPr>
                <w:rFonts w:cs="Arial" w:ascii="Arial" w:hAnsi="Arial"/>
                <w:sz w:val="22"/>
              </w:rPr>
            </w:r>
          </w:p>
        </w:tc>
      </w:tr>
      <w:tr>
        <w:trPr/>
        <w:tc>
          <w:tcPr>
            <w:tcW w:w="1908" w:type="dxa"/>
            <w:tcBorders/>
          </w:tcPr>
          <w:p>
            <w:pPr>
              <w:pStyle w:val="Normal"/>
              <w:rPr>
                <w:rFonts w:ascii="Arial" w:hAnsi="Arial" w:cs="Arial"/>
                <w:b/>
                <w:sz w:val="22"/>
              </w:rPr>
            </w:pPr>
            <w:r>
              <w:rPr>
                <w:rFonts w:cs="Arial" w:ascii="Arial" w:hAnsi="Arial"/>
                <w:b/>
                <w:sz w:val="22"/>
              </w:rPr>
              <w:t>Term:</w:t>
            </w:r>
          </w:p>
        </w:tc>
        <w:tc>
          <w:tcPr>
            <w:tcW w:w="6840" w:type="dxa"/>
            <w:tcBorders/>
          </w:tcPr>
          <w:p>
            <w:pPr>
              <w:pStyle w:val="Normal"/>
              <w:rPr>
                <w:rFonts w:ascii="Arial" w:hAnsi="Arial" w:cs="Arial"/>
                <w:sz w:val="22"/>
              </w:rPr>
            </w:pPr>
            <w:r>
              <w:rPr>
                <w:rFonts w:cs="Arial" w:ascii="Arial" w:hAnsi="Arial"/>
                <w:sz w:val="22"/>
              </w:rPr>
              <w:t>10 years</w:t>
            </w:r>
          </w:p>
          <w:p>
            <w:pPr>
              <w:pStyle w:val="Normal"/>
              <w:rPr>
                <w:rFonts w:ascii="Arial" w:hAnsi="Arial" w:cs="Arial"/>
                <w:sz w:val="22"/>
              </w:rPr>
            </w:pPr>
            <w:r>
              <w:rPr>
                <w:rFonts w:cs="Arial" w:ascii="Arial" w:hAnsi="Arial"/>
                <w:sz w:val="22"/>
              </w:rPr>
            </w:r>
          </w:p>
        </w:tc>
      </w:tr>
      <w:tr>
        <w:trPr/>
        <w:tc>
          <w:tcPr>
            <w:tcW w:w="1908" w:type="dxa"/>
            <w:tcBorders/>
          </w:tcPr>
          <w:p>
            <w:pPr>
              <w:pStyle w:val="Normal"/>
              <w:rPr>
                <w:rFonts w:ascii="Arial" w:hAnsi="Arial" w:cs="Arial"/>
                <w:b/>
                <w:sz w:val="22"/>
              </w:rPr>
            </w:pPr>
            <w:r>
              <w:rPr>
                <w:rFonts w:cs="Arial" w:ascii="Arial" w:hAnsi="Arial"/>
                <w:b/>
                <w:sz w:val="22"/>
              </w:rPr>
              <w:t>Pre-payments:</w:t>
            </w:r>
          </w:p>
        </w:tc>
        <w:tc>
          <w:tcPr>
            <w:tcW w:w="6840" w:type="dxa"/>
            <w:tcBorders/>
          </w:tcPr>
          <w:p>
            <w:pPr>
              <w:pStyle w:val="Normal"/>
              <w:rPr>
                <w:rFonts w:ascii="Arial" w:hAnsi="Arial" w:cs="Arial"/>
                <w:sz w:val="22"/>
              </w:rPr>
            </w:pPr>
            <w:r>
              <w:rPr>
                <w:rFonts w:cs="Arial" w:ascii="Arial" w:hAnsi="Arial"/>
                <w:sz w:val="22"/>
              </w:rPr>
              <w:t>Enron will make pre-payments for the future services provided by IdleAire as follows:</w:t>
            </w:r>
          </w:p>
          <w:p>
            <w:pPr>
              <w:pStyle w:val="Normal"/>
              <w:numPr>
                <w:ilvl w:val="0"/>
                <w:numId w:val="2"/>
              </w:numPr>
              <w:rPr>
                <w:rFonts w:ascii="Arial" w:hAnsi="Arial" w:cs="Arial"/>
                <w:sz w:val="22"/>
              </w:rPr>
            </w:pPr>
            <w:r>
              <w:rPr>
                <w:rFonts w:cs="Arial" w:ascii="Arial" w:hAnsi="Arial"/>
                <w:sz w:val="22"/>
              </w:rPr>
              <w:t>$ 2MM on the effective date</w:t>
            </w:r>
          </w:p>
          <w:p>
            <w:pPr>
              <w:pStyle w:val="Normal"/>
              <w:numPr>
                <w:ilvl w:val="0"/>
                <w:numId w:val="2"/>
              </w:numPr>
              <w:rPr>
                <w:rFonts w:ascii="Arial" w:hAnsi="Arial" w:cs="Arial"/>
                <w:sz w:val="22"/>
              </w:rPr>
            </w:pPr>
            <w:r>
              <w:rPr>
                <w:rFonts w:cs="Arial" w:ascii="Arial" w:hAnsi="Arial"/>
                <w:sz w:val="22"/>
              </w:rPr>
              <w:t>$ 10MM on March 31</w:t>
            </w:r>
            <w:r>
              <w:rPr>
                <w:rFonts w:cs="Arial" w:ascii="Arial" w:hAnsi="Arial"/>
                <w:sz w:val="22"/>
                <w:vertAlign w:val="superscript"/>
              </w:rPr>
              <w:t>st</w:t>
            </w:r>
            <w:r>
              <w:rPr>
                <w:rFonts w:cs="Arial" w:ascii="Arial" w:hAnsi="Arial"/>
                <w:sz w:val="22"/>
              </w:rPr>
              <w:t>, 2002, provided that by March 31</w:t>
            </w:r>
            <w:r>
              <w:rPr>
                <w:rFonts w:cs="Arial" w:ascii="Arial" w:hAnsi="Arial"/>
                <w:sz w:val="22"/>
                <w:vertAlign w:val="superscript"/>
              </w:rPr>
              <w:t>st</w:t>
            </w:r>
            <w:r>
              <w:rPr>
                <w:rFonts w:cs="Arial" w:ascii="Arial" w:hAnsi="Arial"/>
                <w:sz w:val="22"/>
              </w:rPr>
              <w:t>, 2002: (i) Enron has been able to secure contracts for at least 5000 trucks with Customers and (ii) IdleAire has been able to raise an additional $20 MM of equity capital at a equity valuation greater than $40 MM.  Enron has the right to waive these requirements at its sole discretion.</w:t>
            </w:r>
          </w:p>
          <w:p>
            <w:pPr>
              <w:pStyle w:val="Normal"/>
              <w:rPr>
                <w:rFonts w:ascii="Arial" w:hAnsi="Arial" w:cs="Arial"/>
                <w:sz w:val="22"/>
              </w:rPr>
            </w:pPr>
            <w:r>
              <w:rPr>
                <w:rFonts w:cs="Arial" w:ascii="Arial" w:hAnsi="Arial"/>
                <w:sz w:val="22"/>
              </w:rPr>
            </w:r>
          </w:p>
        </w:tc>
      </w:tr>
      <w:tr>
        <w:trPr/>
        <w:tc>
          <w:tcPr>
            <w:tcW w:w="1908" w:type="dxa"/>
            <w:tcBorders/>
          </w:tcPr>
          <w:p>
            <w:pPr>
              <w:pStyle w:val="Normal"/>
              <w:rPr>
                <w:rFonts w:ascii="Arial" w:hAnsi="Arial" w:cs="Arial"/>
                <w:b/>
                <w:sz w:val="22"/>
              </w:rPr>
            </w:pPr>
            <w:r>
              <w:rPr>
                <w:rFonts w:cs="Arial" w:ascii="Arial" w:hAnsi="Arial"/>
                <w:b/>
                <w:sz w:val="22"/>
              </w:rPr>
              <w:t>Payment Terms:</w:t>
            </w:r>
          </w:p>
        </w:tc>
        <w:tc>
          <w:tcPr>
            <w:tcW w:w="6840" w:type="dxa"/>
            <w:tcBorders/>
          </w:tcPr>
          <w:p>
            <w:pPr>
              <w:pStyle w:val="Normal"/>
              <w:rPr>
                <w:rFonts w:ascii="Arial" w:hAnsi="Arial" w:cs="Arial"/>
                <w:sz w:val="22"/>
              </w:rPr>
            </w:pPr>
            <w:r>
              <w:rPr>
                <w:rFonts w:cs="Arial" w:ascii="Arial" w:hAnsi="Arial"/>
                <w:sz w:val="22"/>
              </w:rPr>
              <w:t>The Parties shall negotiate the applicable fees for the services rendered by IdleAire.  IdleAire shall provide Enron with monthly invoices showing services rendered, fees earned and the amount of pre-payments utilized.  The pre-payments shall accrue a 10% p.a. interest rate that shall be capitalized into the pre-payment balance on a monthly basis.  After utilization of all pre-payments all additional services shall be payable in cash by Enron.  The term of the pre-payments shall be 24 months from the effective date and all un-utilized pre-payments shall be due and payable by IdleAire to Enron at that time.</w:t>
            </w:r>
          </w:p>
          <w:p>
            <w:pPr>
              <w:pStyle w:val="Normal"/>
              <w:rPr>
                <w:rFonts w:ascii="Arial" w:hAnsi="Arial" w:cs="Arial"/>
                <w:sz w:val="22"/>
              </w:rPr>
            </w:pPr>
            <w:r>
              <w:rPr>
                <w:rFonts w:cs="Arial" w:ascii="Arial" w:hAnsi="Arial"/>
                <w:sz w:val="22"/>
              </w:rPr>
            </w:r>
          </w:p>
        </w:tc>
      </w:tr>
      <w:tr>
        <w:trPr/>
        <w:tc>
          <w:tcPr>
            <w:tcW w:w="1908" w:type="dxa"/>
            <w:tcBorders/>
          </w:tcPr>
          <w:p>
            <w:pPr>
              <w:pStyle w:val="Normal"/>
              <w:rPr>
                <w:rFonts w:ascii="Arial" w:hAnsi="Arial" w:cs="Arial"/>
                <w:b/>
                <w:sz w:val="22"/>
              </w:rPr>
            </w:pPr>
            <w:r>
              <w:rPr>
                <w:rFonts w:cs="Arial" w:ascii="Arial" w:hAnsi="Arial"/>
                <w:b/>
                <w:sz w:val="22"/>
              </w:rPr>
              <w:t>Conversion to Equity:</w:t>
            </w:r>
          </w:p>
        </w:tc>
        <w:tc>
          <w:tcPr>
            <w:tcW w:w="6840" w:type="dxa"/>
            <w:tcBorders/>
          </w:tcPr>
          <w:p>
            <w:pPr>
              <w:pStyle w:val="Normal"/>
              <w:rPr/>
            </w:pPr>
            <w:r>
              <w:rPr>
                <w:rFonts w:cs="Arial" w:ascii="Arial" w:hAnsi="Arial"/>
                <w:sz w:val="22"/>
              </w:rPr>
              <w:t>Enron shall have the right to convert up to $12 MM of pre-payments, capitalized interest, and cash in to common shares of IdleAire.  The equity valuation utilized for such conversion shall be the lower of $40 MM or the valuation of IdleAire’s most recent equity round (provided that such event occurred within the past 12 months of Enron’s conversion to equity and IdleAire raised at least $12 MM of additional common equity).  Enron’s conversion right shall expire on Sep. 30</w:t>
            </w:r>
            <w:r>
              <w:rPr>
                <w:rFonts w:cs="Arial" w:ascii="Arial" w:hAnsi="Arial"/>
                <w:sz w:val="22"/>
                <w:vertAlign w:val="superscript"/>
              </w:rPr>
              <w:t>th</w:t>
            </w:r>
            <w:r>
              <w:rPr>
                <w:rFonts w:cs="Arial" w:ascii="Arial" w:hAnsi="Arial"/>
                <w:sz w:val="22"/>
              </w:rPr>
              <w:t>, 2003.</w:t>
            </w:r>
          </w:p>
          <w:p>
            <w:pPr>
              <w:pStyle w:val="Normal"/>
              <w:rPr>
                <w:rFonts w:ascii="Arial" w:hAnsi="Arial" w:cs="Arial"/>
                <w:sz w:val="22"/>
              </w:rPr>
            </w:pPr>
            <w:r>
              <w:rPr>
                <w:rFonts w:cs="Arial" w:ascii="Arial" w:hAnsi="Arial"/>
                <w:sz w:val="22"/>
              </w:rPr>
            </w:r>
          </w:p>
        </w:tc>
      </w:tr>
      <w:tr>
        <w:trPr/>
        <w:tc>
          <w:tcPr>
            <w:tcW w:w="1908" w:type="dxa"/>
            <w:tcBorders/>
          </w:tcPr>
          <w:p>
            <w:pPr>
              <w:pStyle w:val="Normal"/>
              <w:rPr>
                <w:rFonts w:ascii="Arial" w:hAnsi="Arial" w:cs="Arial"/>
                <w:b/>
                <w:sz w:val="22"/>
              </w:rPr>
            </w:pPr>
            <w:r>
              <w:rPr>
                <w:rFonts w:cs="Arial" w:ascii="Arial" w:hAnsi="Arial"/>
                <w:b/>
                <w:sz w:val="22"/>
              </w:rPr>
              <w:t>Purchase Option:</w:t>
            </w:r>
          </w:p>
        </w:tc>
        <w:tc>
          <w:tcPr>
            <w:tcW w:w="6840" w:type="dxa"/>
            <w:tcBorders/>
          </w:tcPr>
          <w:p>
            <w:pPr>
              <w:pStyle w:val="Normal"/>
              <w:rPr/>
            </w:pPr>
            <w:r>
              <w:rPr>
                <w:rFonts w:cs="Arial" w:ascii="Arial" w:hAnsi="Arial"/>
                <w:sz w:val="22"/>
              </w:rPr>
              <w:t>Enron shall have the right to purchase IdleAire common shares that it does not already own to increase its ownership (if any) to 51% of the common equity of IdleAire.  The Purchase Option price shall be based on the equity valuation of IdleAire’s most recent equity round (provided that such event occurred within the past 24 months of Enron’s excerise of the purchase option and IdleAire raised at least $12 MM of additional common equity).  If such event has not occurred then the purchase option price shall be $40 MM.  The Purchase Option shall expire on Sep. 30</w:t>
            </w:r>
            <w:r>
              <w:rPr>
                <w:rFonts w:cs="Arial" w:ascii="Arial" w:hAnsi="Arial"/>
                <w:sz w:val="22"/>
                <w:vertAlign w:val="superscript"/>
              </w:rPr>
              <w:t>th</w:t>
            </w:r>
            <w:r>
              <w:rPr>
                <w:rFonts w:cs="Arial" w:ascii="Arial" w:hAnsi="Arial"/>
                <w:sz w:val="22"/>
              </w:rPr>
              <w:t>, 2003.</w:t>
            </w:r>
          </w:p>
          <w:p>
            <w:pPr>
              <w:pStyle w:val="Normal"/>
              <w:rPr>
                <w:rFonts w:ascii="Arial" w:hAnsi="Arial" w:cs="Arial"/>
                <w:sz w:val="22"/>
              </w:rPr>
            </w:pPr>
            <w:r>
              <w:rPr>
                <w:rFonts w:cs="Arial" w:ascii="Arial" w:hAnsi="Arial"/>
                <w:sz w:val="22"/>
              </w:rPr>
            </w:r>
          </w:p>
        </w:tc>
      </w:tr>
      <w:tr>
        <w:trPr/>
        <w:tc>
          <w:tcPr>
            <w:tcW w:w="1908" w:type="dxa"/>
            <w:tcBorders/>
          </w:tcPr>
          <w:p>
            <w:pPr>
              <w:pStyle w:val="Normal"/>
              <w:rPr>
                <w:rFonts w:ascii="Arial" w:hAnsi="Arial" w:cs="Arial"/>
                <w:b/>
                <w:sz w:val="22"/>
              </w:rPr>
            </w:pPr>
            <w:r>
              <w:rPr>
                <w:rFonts w:cs="Arial" w:ascii="Arial" w:hAnsi="Arial"/>
                <w:b/>
                <w:sz w:val="22"/>
              </w:rPr>
              <w:t>Other:</w:t>
            </w:r>
          </w:p>
        </w:tc>
        <w:tc>
          <w:tcPr>
            <w:tcW w:w="6840" w:type="dxa"/>
            <w:tcBorders/>
          </w:tcPr>
          <w:p>
            <w:pPr>
              <w:pStyle w:val="Normal"/>
              <w:rPr>
                <w:rFonts w:ascii="Arial" w:hAnsi="Arial" w:cs="Arial"/>
                <w:sz w:val="22"/>
              </w:rPr>
            </w:pPr>
            <w:r>
              <w:rPr>
                <w:rFonts w:cs="Arial" w:ascii="Arial" w:hAnsi="Arial"/>
                <w:sz w:val="22"/>
              </w:rPr>
              <w:t>The first draft of the Commercial Agreement and representative schedules are attached.  The other agreement to be jointly developed by the Parties is the Master Services Agreement.  An outline of the Master Services Agreement is also attached to this summary of commercial terms.</w:t>
            </w:r>
          </w:p>
        </w:tc>
      </w:tr>
    </w:tbl>
    <w:p>
      <w:pPr>
        <w:pStyle w:val="Normal"/>
        <w:rPr>
          <w:rFonts w:ascii="Arial" w:hAnsi="Arial" w:cs="Arial"/>
          <w:sz w:val="22"/>
        </w:rPr>
      </w:pPr>
      <w:r>
        <w:rPr>
          <w:rFonts w:cs="Arial" w:ascii="Arial" w:hAnsi="Arial"/>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Bright">
    <w:altName w:val="Georgia Ref"/>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ind w:hanging="2880" w:start="2880" w:end="0"/>
      <w:outlineLvl w:val="1"/>
    </w:pPr>
    <w:rPr>
      <w:b/>
      <w:sz w:val="24"/>
    </w:rPr>
  </w:style>
  <w:style w:type="paragraph" w:styleId="Heading3">
    <w:name w:val="heading 3"/>
    <w:basedOn w:val="Normal"/>
    <w:next w:val="BodyText"/>
    <w:qFormat/>
    <w:pPr>
      <w:numPr>
        <w:ilvl w:val="2"/>
        <w:numId w:val="1"/>
      </w:numPr>
      <w:spacing w:before="120" w:after="0"/>
      <w:jc w:val="both"/>
      <w:outlineLvl w:val="2"/>
    </w:pPr>
    <w:rPr>
      <w:rFonts w:ascii="Lucida Bright;Georgia Ref" w:hAnsi="Lucida Bright;Georgia Ref" w:cs="Lucida Bright;Georgia Ref"/>
      <w:iCs/>
      <w:sz w:val="18"/>
    </w:rPr>
  </w:style>
  <w:style w:type="paragraph" w:styleId="Heading4">
    <w:name w:val="heading 4"/>
    <w:basedOn w:val="Normal"/>
    <w:next w:val="BodyText"/>
    <w:qFormat/>
    <w:pPr>
      <w:numPr>
        <w:ilvl w:val="3"/>
        <w:numId w:val="1"/>
      </w:numPr>
      <w:spacing w:before="120" w:after="0"/>
      <w:jc w:val="both"/>
      <w:outlineLvl w:val="3"/>
    </w:pPr>
    <w:rPr>
      <w:rFonts w:ascii="Lucida Bright;Georgia Ref" w:hAnsi="Lucida Bright;Georgia Ref" w:cs="Lucida Bright;Georgia Ref"/>
      <w:iCs/>
      <w:sz w:val="18"/>
    </w:rPr>
  </w:style>
  <w:style w:type="paragraph" w:styleId="Heading5">
    <w:name w:val="heading 5"/>
    <w:basedOn w:val="Normal"/>
    <w:next w:val="BodyText"/>
    <w:qFormat/>
    <w:pPr>
      <w:numPr>
        <w:ilvl w:val="4"/>
        <w:numId w:val="1"/>
      </w:numPr>
      <w:spacing w:before="120" w:after="0"/>
      <w:jc w:val="both"/>
      <w:outlineLvl w:val="4"/>
    </w:pPr>
    <w:rPr>
      <w:rFonts w:ascii="Lucida Bright;Georgia Ref" w:hAnsi="Lucida Bright;Georgia Ref" w:cs="Lucida Bright;Georgia Ref"/>
      <w:iCs/>
      <w:sz w:val="18"/>
    </w:rPr>
  </w:style>
  <w:style w:type="paragraph" w:styleId="Heading6">
    <w:name w:val="heading 6"/>
    <w:basedOn w:val="Normal"/>
    <w:next w:val="BodyText"/>
    <w:qFormat/>
    <w:pPr>
      <w:numPr>
        <w:ilvl w:val="5"/>
        <w:numId w:val="1"/>
      </w:numPr>
      <w:spacing w:before="120" w:after="0"/>
      <w:jc w:val="both"/>
      <w:outlineLvl w:val="5"/>
    </w:pPr>
    <w:rPr>
      <w:rFonts w:ascii="Lucida Bright;Georgia Ref" w:hAnsi="Lucida Bright;Georgia Ref" w:cs="Lucida Bright;Georgia Ref"/>
      <w:iCs/>
      <w:sz w:val="18"/>
    </w:rPr>
  </w:style>
  <w:style w:type="paragraph" w:styleId="Heading7">
    <w:name w:val="heading 7"/>
    <w:basedOn w:val="Normal"/>
    <w:next w:val="BodyText"/>
    <w:qFormat/>
    <w:pPr>
      <w:numPr>
        <w:ilvl w:val="6"/>
        <w:numId w:val="1"/>
      </w:numPr>
      <w:spacing w:before="120" w:after="0"/>
      <w:jc w:val="both"/>
      <w:outlineLvl w:val="6"/>
    </w:pPr>
    <w:rPr>
      <w:rFonts w:ascii="Lucida Bright;Georgia Ref" w:hAnsi="Lucida Bright;Georgia Ref" w:cs="Lucida Bright;Georgia Ref"/>
      <w:iCs/>
      <w:sz w:val="18"/>
    </w:rPr>
  </w:style>
  <w:style w:type="paragraph" w:styleId="Heading8">
    <w:name w:val="heading 8"/>
    <w:basedOn w:val="Normal"/>
    <w:next w:val="BodyText"/>
    <w:qFormat/>
    <w:pPr>
      <w:numPr>
        <w:ilvl w:val="7"/>
        <w:numId w:val="1"/>
      </w:numPr>
      <w:spacing w:before="120" w:after="0"/>
      <w:jc w:val="both"/>
      <w:outlineLvl w:val="7"/>
    </w:pPr>
    <w:rPr>
      <w:rFonts w:ascii="Lucida Bright;Georgia Ref" w:hAnsi="Lucida Bright;Georgia Ref" w:cs="Lucida Bright;Georgia Ref"/>
      <w:iCs/>
      <w:sz w:val="18"/>
    </w:rPr>
  </w:style>
  <w:style w:type="paragraph" w:styleId="Heading9">
    <w:name w:val="heading 9"/>
    <w:basedOn w:val="Normal"/>
    <w:next w:val="BodyText"/>
    <w:qFormat/>
    <w:pPr>
      <w:numPr>
        <w:ilvl w:val="8"/>
        <w:numId w:val="1"/>
      </w:numPr>
      <w:spacing w:before="120" w:after="0"/>
      <w:jc w:val="both"/>
      <w:outlineLvl w:val="8"/>
    </w:pPr>
    <w:rPr>
      <w:rFonts w:ascii="Lucida Bright;Georgia Ref" w:hAnsi="Lucida Bright;Georgia Ref" w:cs="Lucida Bright;Georgia Ref"/>
      <w:iCs/>
      <w:sz w:val="1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Lucida Bright;Georgia Ref" w:hAnsi="Lucida Bright;Georgia Ref" w:cs="Lucida Bright;Georgia Ref"/>
      <w:b/>
      <w:i w:val="false"/>
      <w:caps w:val="false"/>
      <w:smallCaps w:val="false"/>
      <w:strike w:val="false"/>
      <w:dstrike w:val="false"/>
      <w:outline w:val="false"/>
      <w:shadow w:val="false"/>
      <w:vanish w:val="false"/>
      <w:color w:val="000000"/>
      <w:spacing w:val="0"/>
      <w:w w:val="100"/>
      <w:kern w:val="0"/>
      <w:position w:val="0"/>
      <w:sz w:val="20"/>
      <w:sz w:val="20"/>
      <w:u w:val="none"/>
      <w:vertAlign w:val="baseline"/>
    </w:rPr>
  </w:style>
  <w:style w:type="character" w:styleId="WW8Num34z1">
    <w:name w:val="WW8Num34z1"/>
    <w:qFormat/>
    <w:rPr>
      <w:rFonts w:ascii="Lucida Bright;Georgia Ref" w:hAnsi="Lucida Bright;Georgia Ref" w:cs="Lucida Bright;Georgia Ref"/>
      <w:b/>
      <w:i w:val="false"/>
      <w:caps w:val="false"/>
      <w:smallCaps w:val="false"/>
      <w:strike w:val="false"/>
      <w:dstrike w:val="false"/>
      <w:outline w:val="false"/>
      <w:shadow w:val="false"/>
      <w:vanish w:val="false"/>
      <w:color w:val="000000"/>
      <w:spacing w:val="0"/>
      <w:w w:val="100"/>
      <w:kern w:val="0"/>
      <w:position w:val="0"/>
      <w:sz w:val="18"/>
      <w:sz w:val="18"/>
      <w:u w:val="none"/>
      <w:vertAlign w:val="baseline"/>
    </w:rPr>
  </w:style>
  <w:style w:type="character" w:styleId="WW8Num34z2">
    <w:name w:val="WW8Num34z2"/>
    <w:qFormat/>
    <w:rPr>
      <w:rFonts w:ascii="Lucida Bright;Georgia Ref" w:hAnsi="Lucida Bright;Georgia Ref" w:cs="Lucida Bright;Georgia Ref"/>
      <w:b w:val="false"/>
      <w:i w:val="false"/>
      <w:caps w:val="false"/>
      <w:smallCaps w:val="false"/>
      <w:strike w:val="false"/>
      <w:dstrike w:val="false"/>
      <w:outline w:val="false"/>
      <w:shadow w:val="false"/>
      <w:vanish w:val="false"/>
      <w:color w:val="000000"/>
      <w:spacing w:val="0"/>
      <w:w w:val="100"/>
      <w:kern w:val="0"/>
      <w:position w:val="0"/>
      <w:sz w:val="18"/>
      <w:sz w:val="18"/>
      <w:u w:val="none"/>
      <w:vertAlign w:val="baseline"/>
    </w:rPr>
  </w:style>
  <w:style w:type="character" w:styleId="WW8Num34z3">
    <w:name w:val="WW8Num34z3"/>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2001-10-28T14:02:00Z</dcterms:created>
  <dc:creator>stephanie_dayton</dc:creator>
  <dc:description/>
  <dc:language>en-CA</dc:language>
  <cp:lastModifiedBy>Marc and Krista Hensel</cp:lastModifiedBy>
  <cp:lastPrinted>2001-10-28T11:25:00Z</cp:lastPrinted>
  <dcterms:modified xsi:type="dcterms:W3CDTF">2001-10-28T15:08:00Z</dcterms:modified>
  <cp:revision>8</cp:revision>
  <dc:subject/>
  <dc:title>This term sheet is for discussion purposes only between the parties</dc:title>
</cp:coreProperties>
</file>