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rPr/>
      </w:pPr>
      <w:r>
        <w:rPr/>
        <w:t>Igor Vaysman</w:t>
      </w:r>
    </w:p>
    <w:p>
      <w:pPr>
        <w:pStyle w:val="Heading2"/>
        <w:rPr>
          <w:sz w:val="22"/>
        </w:rPr>
      </w:pPr>
      <w:r>
        <w:rPr>
          <w:sz w:val="22"/>
        </w:rPr>
        <w:t xml:space="preserve">Assistant Professor, Accounting, McCombs School of Business, UT, Austin </w:t>
      </w:r>
    </w:p>
    <w:p>
      <w:pPr>
        <w:pStyle w:val="Normal"/>
        <w:spacing w:lineRule="auto" w:line="240" w:before="0" w:after="0"/>
        <w:ind w:end="-720"/>
        <w:rPr>
          <w:rFonts w:ascii="Arial" w:hAnsi="Arial" w:cs="Arial"/>
          <w:b/>
          <w:sz w:val="22"/>
        </w:rPr>
      </w:pPr>
      <w:r>
        <w:rPr>
          <w:rFonts w:cs="Arial" w:ascii="Arial" w:hAnsi="Arial"/>
          <w:b/>
          <w:sz w:val="22"/>
        </w:rPr>
        <w:t>Visiting Professor, Graduate School of Business, University of Chicago</w:t>
      </w:r>
    </w:p>
    <w:p>
      <w:pPr>
        <w:pStyle w:val="Heading1"/>
        <w:spacing w:before="0" w:after="0"/>
        <w:ind w:hanging="0" w:start="0" w:end="-720"/>
        <w:rPr>
          <w:rFonts w:ascii="Arial" w:hAnsi="Arial" w:cs="Arial"/>
          <w:b w:val="false"/>
          <w:sz w:val="20"/>
        </w:rPr>
      </w:pPr>
      <w:r>
        <w:rPr>
          <w:rFonts w:cs="Arial" w:ascii="Arial" w:hAnsi="Arial"/>
          <w:b w:val="false"/>
          <w:sz w:val="20"/>
        </w:rPr>
      </w:r>
    </w:p>
    <w:p>
      <w:pPr>
        <w:pStyle w:val="Heading3"/>
        <w:spacing w:before="120" w:after="0"/>
        <w:ind w:hanging="0" w:start="0" w:end="-720"/>
        <w:rPr>
          <w:sz w:val="20"/>
        </w:rPr>
      </w:pPr>
      <w:r>
        <w:rPr>
          <w:sz w:val="20"/>
        </w:rPr>
        <w:t>Background</w:t>
      </w:r>
    </w:p>
    <w:p>
      <w:pPr>
        <w:pStyle w:val="BodyText"/>
        <w:spacing w:before="0" w:after="60"/>
        <w:rPr/>
      </w:pPr>
      <w:r>
        <w:rPr/>
        <w:t>I have been teaching managerial-accounting and decision-making courses in the MBA programs at UC, Berkeley, UT, Austin, and the University of Chicago since 1993.  I have taught these courses in traditional and executive programs and in focused seminars for company executives.</w:t>
      </w:r>
    </w:p>
    <w:p>
      <w:pPr>
        <w:pStyle w:val="Normal"/>
        <w:spacing w:lineRule="auto" w:line="240"/>
        <w:ind w:end="-720"/>
        <w:rPr>
          <w:sz w:val="20"/>
        </w:rPr>
      </w:pPr>
      <w:r>
        <w:rPr>
          <w:sz w:val="20"/>
        </w:rPr>
        <w:t>My research centers on the issues of decentralization, delegation of decisions, and the design of compensation plans to align the interests of shareholders and managers.  My work has been published in top academic journals.</w:t>
      </w:r>
    </w:p>
    <w:p>
      <w:pPr>
        <w:pStyle w:val="Heading3"/>
        <w:ind w:hanging="0" w:start="0" w:end="-720"/>
        <w:rPr>
          <w:sz w:val="20"/>
        </w:rPr>
      </w:pPr>
      <w:r>
        <w:rPr>
          <w:sz w:val="20"/>
        </w:rPr>
        <w:t>Views on “Business Education in the New Economy”</w:t>
      </w:r>
    </w:p>
    <w:p>
      <w:pPr>
        <w:pStyle w:val="Normal"/>
        <w:spacing w:lineRule="auto" w:line="240" w:before="0" w:after="120"/>
        <w:ind w:end="-720"/>
        <w:rPr>
          <w:b/>
          <w:sz w:val="20"/>
        </w:rPr>
      </w:pPr>
      <w:r>
        <w:rPr>
          <w:b/>
          <w:sz w:val="20"/>
        </w:rPr>
        <w:t>General business-education issues:</w:t>
      </w:r>
    </w:p>
    <w:p>
      <w:pPr>
        <w:pStyle w:val="Normal"/>
        <w:numPr>
          <w:ilvl w:val="0"/>
          <w:numId w:val="2"/>
        </w:numPr>
        <w:spacing w:lineRule="auto" w:line="240"/>
        <w:rPr>
          <w:sz w:val="20"/>
        </w:rPr>
      </w:pPr>
      <w:r>
        <w:rPr>
          <w:sz w:val="20"/>
        </w:rPr>
        <w:t>The impact of changes in delivery methods on business education in general.  Business schools are beginning to explore the use of electronic delivery methods.  These massively reduce a school’s cost of delivering a course to a non-degree group and have the potential to reduce the costs of degree programs as well.  What are the implications?</w:t>
      </w:r>
    </w:p>
    <w:p>
      <w:pPr>
        <w:pStyle w:val="Normal"/>
        <w:numPr>
          <w:ilvl w:val="0"/>
          <w:numId w:val="4"/>
        </w:numPr>
        <w:tabs>
          <w:tab w:val="left" w:pos="720" w:leader="none"/>
        </w:tabs>
        <w:spacing w:lineRule="auto" w:line="240" w:before="120" w:after="0"/>
        <w:ind w:hanging="360" w:start="720" w:end="-720"/>
        <w:rPr>
          <w:sz w:val="20"/>
        </w:rPr>
      </w:pPr>
      <w:r>
        <w:rPr>
          <w:sz w:val="20"/>
        </w:rPr>
        <w:t>Does electronic delivery decrease the value of programs to students?</w:t>
      </w:r>
    </w:p>
    <w:p>
      <w:pPr>
        <w:pStyle w:val="Normal"/>
        <w:numPr>
          <w:ilvl w:val="0"/>
          <w:numId w:val="4"/>
        </w:numPr>
        <w:tabs>
          <w:tab w:val="left" w:pos="720" w:leader="none"/>
        </w:tabs>
        <w:spacing w:lineRule="auto" w:line="240" w:before="40" w:after="0"/>
        <w:ind w:hanging="360" w:start="720" w:end="-720"/>
        <w:rPr>
          <w:sz w:val="20"/>
        </w:rPr>
      </w:pPr>
      <w:r>
        <w:rPr>
          <w:sz w:val="20"/>
        </w:rPr>
        <w:t>Is there a danger of program proliferation?  What is the impact on the values of schools’ brands?</w:t>
      </w:r>
    </w:p>
    <w:p>
      <w:pPr>
        <w:pStyle w:val="Normal"/>
        <w:numPr>
          <w:ilvl w:val="0"/>
          <w:numId w:val="4"/>
        </w:numPr>
        <w:tabs>
          <w:tab w:val="left" w:pos="720" w:leader="none"/>
        </w:tabs>
        <w:spacing w:lineRule="auto" w:line="240" w:before="40" w:after="120"/>
        <w:ind w:hanging="360" w:start="720" w:end="-720"/>
        <w:rPr>
          <w:sz w:val="20"/>
        </w:rPr>
      </w:pPr>
      <w:r>
        <w:rPr>
          <w:sz w:val="20"/>
        </w:rPr>
        <w:t>Can this lead to a “superstar” effect in business education?  With extremely low distribution costs, will top-20 schools capture larger and larger market share?</w:t>
      </w:r>
    </w:p>
    <w:p>
      <w:pPr>
        <w:pStyle w:val="Normal"/>
        <w:numPr>
          <w:ilvl w:val="0"/>
          <w:numId w:val="3"/>
        </w:numPr>
        <w:spacing w:lineRule="auto" w:line="240"/>
        <w:ind w:hanging="360" w:start="360" w:end="-720"/>
        <w:rPr>
          <w:sz w:val="20"/>
        </w:rPr>
      </w:pPr>
      <w:r>
        <w:rPr>
          <w:sz w:val="20"/>
        </w:rPr>
        <w:t xml:space="preserve">The impact of economic changes on the content of our educational programs.  Business education is relatively slow to respond to economy-wide changes.  While this has some positive features (avoiding “flavor-of-the-moment” fads is one example), there are many negative ones.  For example, much of accounting education is geared toward manufacturing firms; a large proportion of even MBA-level financial-accounting courses is spent on inventory valuation.  How should we tailor our educational programs to respond to economic changes?  How can faculty be given appropriate incentives to make ongoing investments in new content? </w:t>
      </w:r>
    </w:p>
    <w:p>
      <w:pPr>
        <w:pStyle w:val="Normal"/>
        <w:spacing w:lineRule="auto" w:line="240" w:before="180" w:after="120"/>
        <w:ind w:end="-720"/>
        <w:rPr>
          <w:sz w:val="20"/>
        </w:rPr>
      </w:pPr>
      <w:r>
        <w:rPr>
          <w:b/>
          <w:sz w:val="20"/>
        </w:rPr>
        <w:t>Issues specific to accounting education:</w:t>
      </w:r>
    </w:p>
    <w:p>
      <w:pPr>
        <w:pStyle w:val="Normal"/>
        <w:numPr>
          <w:ilvl w:val="0"/>
          <w:numId w:val="3"/>
        </w:numPr>
        <w:spacing w:lineRule="auto" w:line="240"/>
        <w:ind w:hanging="360" w:start="360" w:end="-720"/>
        <w:rPr>
          <w:sz w:val="20"/>
        </w:rPr>
      </w:pPr>
      <w:r>
        <w:rPr>
          <w:sz w:val="20"/>
        </w:rPr>
        <w:t>A course in financial accounting is in the core in the vast majority of business education programs.  This course focuses on GAAP; the central questions are “how do we compute net income” and “how do we value assets.”  However, it is well known that the value-relevance of GAAP income measures is low and decreasing.  This is in part the result of the increasing importance of off-balance-sheet assets: R&amp;D, brands, customers, internal processes, organizational knowledge, and other intellectual capital.  The costs of acquiring these assets are generally expensed as incurred.  As the result, the techniques used to measure and value these assets are rudimentary and generally produced as needed in-house.  Given the importance of these assets (some recent research estimates the annual value for the U.S. economy of $1 trillion – ten percent of the GDP), should we be developing and teaching techniques for measuring and valuing these assets?</w:t>
        <w:br/>
        <w:br/>
        <w:t xml:space="preserve">How must incentive systems and managerial-compensation contracts be adapted to recognize the value of off-balance-sheet assets?  Compensating managers based on GAAP-based measures almost certainly leads to under-investment in these assets.  What adjustments should be made to these measures?  </w:t>
      </w:r>
    </w:p>
    <w:p>
      <w:pPr>
        <w:pStyle w:val="Normal"/>
        <w:numPr>
          <w:ilvl w:val="0"/>
          <w:numId w:val="3"/>
        </w:numPr>
        <w:spacing w:lineRule="auto" w:line="240" w:before="120" w:after="120"/>
        <w:ind w:hanging="360" w:start="360" w:end="-720"/>
        <w:rPr>
          <w:sz w:val="20"/>
        </w:rPr>
      </w:pPr>
      <w:r>
        <w:rPr>
          <w:sz w:val="20"/>
        </w:rPr>
        <w:t xml:space="preserve"> </w:t>
      </w:r>
      <w:r>
        <w:rPr>
          <w:sz w:val="20"/>
        </w:rPr>
        <w:t>Decreasing costs of compiling and analyzing data has led to major improvements in most firms’ information systems.  There is now a wealth of information at the fingertips of most decision-makers.  This can lead to better local decisions.  It can also lead to information overload.  What information is necessary to make effective local decisions?  Also, what are the consequences of better information on managerial incentives?</w:t>
      </w:r>
    </w:p>
    <w:sectPr>
      <w:type w:val="nextPage"/>
      <w:pgSz w:w="12240" w:h="15840"/>
      <w:pgMar w:left="1800" w:right="1800" w:gutter="0" w:header="0" w:top="126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480" w:before="120" w:after="12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lineRule="auto" w:line="240"/>
      <w:outlineLvl w:val="0"/>
    </w:pPr>
    <w:rPr>
      <w:b/>
    </w:rPr>
  </w:style>
  <w:style w:type="paragraph" w:styleId="Heading2">
    <w:name w:val="heading 2"/>
    <w:basedOn w:val="Normal"/>
    <w:next w:val="Normal"/>
    <w:qFormat/>
    <w:pPr>
      <w:keepNext w:val="true"/>
      <w:numPr>
        <w:ilvl w:val="1"/>
        <w:numId w:val="1"/>
      </w:numPr>
      <w:spacing w:lineRule="auto" w:line="240" w:before="0" w:after="0"/>
      <w:ind w:hanging="720" w:start="720" w:end="-720"/>
      <w:outlineLvl w:val="1"/>
    </w:pPr>
    <w:rPr>
      <w:rFonts w:ascii="Arial" w:hAnsi="Arial" w:cs="Arial"/>
      <w:b/>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lineRule="auto" w:line="240" w:before="0" w:after="0"/>
      <w:ind w:hanging="0" w:start="0" w:end="-720"/>
      <w:outlineLvl w:val="3"/>
    </w:pPr>
    <w:rPr>
      <w:rFonts w:ascii="Arial" w:hAnsi="Arial" w:cs="Arial"/>
      <w:b/>
      <w:caps/>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Times New Roman" w:hAnsi="Times New Roman" w:cs="Times New Roman"/>
    </w:rPr>
  </w:style>
  <w:style w:type="character" w:styleId="WW8Num4z0">
    <w:name w:val="WW8Num4z0"/>
    <w:qFormat/>
    <w:rPr>
      <w:rFonts w:ascii="Times New Roman" w:hAnsi="Times New Roman" w:cs="Times New Roman"/>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40" w:before="120" w:after="60"/>
      <w:ind w:hanging="0" w:start="0" w:end="-72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lineRule="auto" w:line="240"/>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2001-02-13T12:35:00Z</dcterms:created>
  <dc:creator>John Martin</dc:creator>
  <dc:description/>
  <dc:language>en-CA</dc:language>
  <cp:lastModifiedBy>Igor Vaysman</cp:lastModifiedBy>
  <cp:lastPrinted>2001-02-12T09:32:00Z</cp:lastPrinted>
  <dcterms:modified xsi:type="dcterms:W3CDTF">2001-02-13T13:43:00Z</dcterms:modified>
  <cp:revision>10</cp:revision>
  <dc:subject/>
  <dc:title>John D</dc:title>
</cp:coreProperties>
</file>