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dnoteText"/>
        <w:rPr/>
      </w:pPr>
      <w:r>
        <w:rPr/>
      </w:r>
    </w:p>
    <w:p>
      <w:pPr>
        <w:pStyle w:val="Heading"/>
        <w:rPr>
          <w:sz w:val="20"/>
          <w:szCs w:val="20"/>
        </w:rPr>
      </w:pPr>
      <w:r>
        <w:rPr>
          <w:sz w:val="20"/>
          <w:szCs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95375" cy="1124585"/>
                    </a:xfrm>
                    <a:prstGeom prst="rect">
                      <a:avLst/>
                    </a:prstGeom>
                    <a:noFill/>
                  </pic:spPr>
                </pic:pic>
              </a:graphicData>
            </a:graphic>
          </wp:inline>
        </w:drawing>
      </w:r>
    </w:p>
    <w:p>
      <w:pPr>
        <w:pStyle w:val="Normal"/>
        <w:rPr>
          <w:sz w:val="22"/>
          <w:szCs w:val="22"/>
        </w:rPr>
      </w:pPr>
      <w:r>
        <w:rPr>
          <w:sz w:val="22"/>
          <w:szCs w:val="22"/>
        </w:rPr>
      </w:r>
    </w:p>
    <w:p>
      <w:pPr>
        <w:pStyle w:val="Normal"/>
        <w:rPr>
          <w:sz w:val="22"/>
          <w:szCs w:val="22"/>
        </w:rPr>
      </w:pPr>
      <w:r>
        <w:rPr>
          <w:sz w:val="22"/>
          <w:szCs w:val="22"/>
        </w:rPr>
      </w:r>
    </w:p>
    <w:tbl>
      <w:tblPr>
        <w:tblW w:w="9988" w:type="dxa"/>
        <w:jc w:val="start"/>
        <w:tblInd w:w="200" w:type="dxa"/>
        <w:tblLayout w:type="fixed"/>
        <w:tblCellMar>
          <w:top w:w="0" w:type="dxa"/>
          <w:start w:w="108" w:type="dxa"/>
          <w:bottom w:w="0" w:type="dxa"/>
          <w:end w:w="108" w:type="dxa"/>
        </w:tblCellMar>
      </w:tblPr>
      <w:tblGrid>
        <w:gridCol w:w="708"/>
        <w:gridCol w:w="5950"/>
        <w:gridCol w:w="1170"/>
        <w:gridCol w:w="2160"/>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pPr>
            <w:r>
              <w:rPr/>
              <w:t>To:</w:t>
            </w:r>
          </w:p>
        </w:tc>
        <w:tc>
          <w:tcPr>
            <w:tcW w:w="5950" w:type="dxa"/>
            <w:tcBorders>
              <w:top w:val="dashed" w:sz="6" w:space="0" w:color="auto"/>
              <w:start w:val="dashed" w:sz="6" w:space="0" w:color="auto"/>
              <w:bottom w:val="dashed" w:sz="6" w:space="0" w:color="auto"/>
              <w:end w:val="dashed" w:sz="6" w:space="0" w:color="auto"/>
            </w:tcBorders>
          </w:tcPr>
          <w:p>
            <w:pPr>
              <w:pStyle w:val="To"/>
              <w:rPr/>
            </w:pPr>
            <w:r>
              <w:rPr/>
              <w:t>Mark Haedicke</w:t>
            </w:r>
          </w:p>
          <w:p>
            <w:pPr>
              <w:pStyle w:val="To"/>
              <w:rPr/>
            </w:pPr>
            <w:r>
              <w:rPr/>
            </w:r>
          </w:p>
        </w:tc>
        <w:tc>
          <w:tcPr>
            <w:tcW w:w="117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pPr>
            <w:r>
              <w:rPr/>
              <w:t>From:</w:t>
            </w:r>
          </w:p>
        </w:tc>
        <w:tc>
          <w:tcPr>
            <w:tcW w:w="5950" w:type="dxa"/>
            <w:tcBorders>
              <w:top w:val="dashed" w:sz="6" w:space="0" w:color="auto"/>
              <w:start w:val="dashed" w:sz="6" w:space="0" w:color="auto"/>
              <w:bottom w:val="dashed" w:sz="6" w:space="0" w:color="auto"/>
              <w:end w:val="dashed" w:sz="6" w:space="0" w:color="auto"/>
            </w:tcBorders>
          </w:tcPr>
          <w:p>
            <w:pPr>
              <w:pStyle w:val="From"/>
              <w:rPr/>
            </w:pPr>
            <w:r>
              <w:rPr/>
              <w:t>Cheryl Nelson</w:t>
            </w:r>
          </w:p>
        </w:tc>
        <w:tc>
          <w:tcPr>
            <w:tcW w:w="1170" w:type="dxa"/>
            <w:tcBorders>
              <w:top w:val="dashed" w:sz="6" w:space="0" w:color="auto"/>
              <w:start w:val="dashed" w:sz="6" w:space="0" w:color="auto"/>
              <w:bottom w:val="dashed" w:sz="6" w:space="0" w:color="auto"/>
              <w:end w:val="dashed" w:sz="6" w:space="0" w:color="auto"/>
            </w:tcBorders>
          </w:tcPr>
          <w:p>
            <w:pPr>
              <w:pStyle w:val="Normal"/>
              <w:ind w:start="-180" w:end="0"/>
              <w:jc w:val="end"/>
              <w:rPr/>
            </w:pPr>
            <w:r>
              <w:rPr/>
              <w:t>Department:</w:t>
            </w:r>
          </w:p>
        </w:tc>
        <w:tc>
          <w:tcPr>
            <w:tcW w:w="2160"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Legal</w:t>
            </w:r>
          </w:p>
        </w:tc>
      </w:tr>
      <w:tr>
        <w:trPr>
          <w:trHeight w:val="918"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pPr>
            <w:r>
              <w:rPr/>
              <w:t>Subject:</w:t>
            </w:r>
          </w:p>
        </w:tc>
        <w:tc>
          <w:tcPr>
            <w:tcW w:w="5950" w:type="dxa"/>
            <w:tcBorders>
              <w:top w:val="dashed" w:sz="6" w:space="0" w:color="auto"/>
              <w:start w:val="dashed" w:sz="6" w:space="0" w:color="auto"/>
              <w:bottom w:val="single" w:sz="12" w:space="0" w:color="000000"/>
              <w:end w:val="dashed" w:sz="6" w:space="0" w:color="auto"/>
            </w:tcBorders>
          </w:tcPr>
          <w:p>
            <w:pPr>
              <w:pStyle w:val="Normal"/>
              <w:ind w:hanging="1440" w:start="1440" w:end="0"/>
              <w:rPr>
                <w:rFonts w:ascii="Arial" w:hAnsi="Arial" w:eastAsia="Arial" w:cs="Arial"/>
              </w:rPr>
            </w:pPr>
            <w:r>
              <w:rPr>
                <w:rFonts w:eastAsia="Arial" w:cs="Arial" w:ascii="Arial" w:hAnsi="Arial"/>
              </w:rPr>
              <w:t>Approval for Agreement Between ITG and ECT Investments</w:t>
            </w:r>
          </w:p>
          <w:p>
            <w:pPr>
              <w:pStyle w:val="Subject"/>
              <w:rPr/>
            </w:pPr>
            <w:r>
              <w:rPr/>
              <w:t>Exception to Legal Policy on Consequential Damages Required</w:t>
            </w:r>
          </w:p>
        </w:tc>
        <w:tc>
          <w:tcPr>
            <w:tcW w:w="1170" w:type="dxa"/>
            <w:tcBorders>
              <w:top w:val="dashed" w:sz="6" w:space="0" w:color="auto"/>
              <w:start w:val="dashed" w:sz="6" w:space="0" w:color="auto"/>
              <w:bottom w:val="single" w:sz="12" w:space="0" w:color="000000"/>
              <w:end w:val="dashed" w:sz="6" w:space="0" w:color="auto"/>
            </w:tcBorders>
          </w:tcPr>
          <w:p>
            <w:pPr>
              <w:pStyle w:val="Normal"/>
              <w:ind w:start="-180" w:end="0"/>
              <w:jc w:val="end"/>
              <w:rPr/>
            </w:pPr>
            <w:r>
              <w:rPr/>
              <w:t>Date:</w:t>
            </w:r>
          </w:p>
        </w:tc>
        <w:tc>
          <w:tcPr>
            <w:tcW w:w="2160" w:type="dxa"/>
            <w:tcBorders>
              <w:top w:val="dashed" w:sz="6" w:space="0" w:color="auto"/>
              <w:start w:val="dashed" w:sz="6" w:space="0" w:color="auto"/>
              <w:bottom w:val="single" w:sz="12" w:space="0" w:color="000000"/>
              <w:end w:val="dashed" w:sz="6" w:space="0" w:color="auto"/>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Normal"/>
        <w:ind w:hanging="1440" w:start="1440" w:end="0"/>
        <w:rPr/>
      </w:pPr>
      <w:r>
        <w:rPr/>
      </w:r>
    </w:p>
    <w:p>
      <w:pPr>
        <w:pStyle w:val="BodyText2"/>
        <w:rPr/>
      </w:pPr>
      <w:r>
        <w:rPr/>
        <w:t xml:space="preserve">ECT Investments wishes to enter into a Quantex Hardware and Software License Agreement (the “Draft Agreement”) with ITG for use of ITG’s products to facilitate equity trades.  To protect its proprietary rights with respect to its technology, ITG objects to a blanket disclaimer by ECTI of all responsibility for consequential damages.  </w:t>
      </w:r>
    </w:p>
    <w:p>
      <w:pPr>
        <w:pStyle w:val="BodyText2"/>
        <w:rPr/>
      </w:pPr>
      <w:r>
        <w:rPr/>
      </w:r>
    </w:p>
    <w:p>
      <w:pPr>
        <w:pStyle w:val="BodyText2"/>
        <w:rPr/>
      </w:pPr>
      <w:r>
        <w:rPr/>
        <w:t xml:space="preserve">Sheila Glover has advised me that the unique and extensive services provided by the Quantex technology merit an exception to the general rule that Enron disclaim consequential damages.  ECTI has an existing relationship with ITG for use of an older version of ITG’s technology but ECTI now would like to use Quantex – ITG’s enhanced product, and to do so pursuant to a formal agreement.  Quantex is more than a standard trade order management system; it offers much more functionality for equity traders and does more than other systems.  The system would allow our traders to access other brokers and allows these traders to better see liquidity in the market.  </w:t>
      </w:r>
    </w:p>
    <w:p>
      <w:pPr>
        <w:pStyle w:val="BodyText2"/>
        <w:rPr/>
      </w:pPr>
      <w:r>
        <w:rPr/>
      </w:r>
    </w:p>
    <w:p>
      <w:pPr>
        <w:pStyle w:val="BodyText2"/>
        <w:rPr/>
      </w:pPr>
      <w:r>
        <w:rPr/>
        <w:t>In negotiations, I took the position with ITG’s counsel that, while the system is importance and great interest to ECTI, we had serious concerns about the draft provisions that would hold ECTI liable for consequential damages.  ITG has conceded all other changes I requested but has not been willing to give in on this last issue.  By way of compromise, I finally persuaded ITG to agree to a narrow provision, found at the end Paragraph 7 of the last Draft Agreement.  (See attachment).   It provides that Enron would only be liable for compensatory damages for willful violations of the proprietary IP and confidentiality provisions therein.</w:t>
      </w:r>
    </w:p>
    <w:p>
      <w:pPr>
        <w:pStyle w:val="BodyText2"/>
        <w:ind w:hanging="0" w:end="0"/>
        <w:rPr/>
      </w:pPr>
      <w:r>
        <w:rPr/>
      </w:r>
    </w:p>
    <w:p>
      <w:pPr>
        <w:pStyle w:val="BodyText2"/>
        <w:ind w:hanging="0" w:end="0"/>
        <w:rPr/>
      </w:pPr>
      <w:r>
        <w:rPr/>
        <w:tab/>
        <w:t>I have spoken with Mark Taylor about the Draft Agreement and he consents to the narrow provision at issue.  As you know, your consent to such an exception is required.  If you approve, please sign both originals of the attached Agreement.</w:t>
      </w:r>
    </w:p>
    <w:p>
      <w:pPr>
        <w:pStyle w:val="BodyText2"/>
        <w:ind w:hanging="0" w:end="0"/>
        <w:rPr/>
      </w:pPr>
      <w:r>
        <w:rPr/>
      </w:r>
    </w:p>
    <w:p>
      <w:pPr>
        <w:pStyle w:val="BodyText2"/>
        <w:ind w:hanging="0" w:end="0"/>
        <w:rPr/>
      </w:pPr>
      <w:r>
        <w:rPr/>
      </w:r>
    </w:p>
    <w:p>
      <w:pPr>
        <w:pStyle w:val="BodyText2"/>
        <w:ind w:hanging="0" w:end="0"/>
        <w:rPr/>
      </w:pPr>
      <w:r>
        <w:rPr/>
      </w:r>
    </w:p>
    <w:p>
      <w:pPr>
        <w:pStyle w:val="BodyText2"/>
        <w:ind w:hanging="0" w:end="0"/>
        <w:rPr/>
      </w:pPr>
      <w:r>
        <w:rPr/>
      </w:r>
    </w:p>
    <w:p>
      <w:pPr>
        <w:pStyle w:val="BodyText2"/>
        <w:rPr/>
      </w:pPr>
      <w:r>
        <w:rPr/>
        <w:t>cc:</w:t>
        <w:tab/>
        <w:t>Sheila Glover</w:t>
      </w:r>
    </w:p>
    <w:p>
      <w:pPr>
        <w:pStyle w:val="BodyText2"/>
        <w:rPr/>
      </w:pPr>
      <w:r>
        <w:rPr/>
        <w:tab/>
        <w:t>Mark Taylor</w:t>
      </w:r>
    </w:p>
    <w:p>
      <w:pPr>
        <w:pStyle w:val="BodyText2"/>
        <w:ind w:hanging="0" w:end="0"/>
        <w:rPr/>
      </w:pPr>
      <w:r>
        <w:rPr/>
      </w:r>
    </w:p>
    <w:p>
      <w:pPr>
        <w:pStyle w:val="BodyText2"/>
        <w:rPr/>
      </w:pPr>
      <w:r>
        <w:rPr/>
        <w:t>Attachments</w:t>
      </w:r>
    </w:p>
    <w:sectPr>
      <w:type w:val="nextPage"/>
      <w:pgSz w:w="12240" w:h="15840"/>
      <w:pgMar w:left="1440" w:right="1440" w:gutter="0" w:header="0" w:top="72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family w:val="roman"/>
    <w:pitch w:val="variable"/>
  </w:font>
  <w:font w:name="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ms Rmn;Times New Roman" w:cs="Tms Rmn;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BodyText2">
    <w:name w:val="Body Text 2"/>
    <w:basedOn w:val="Normal"/>
    <w:qFormat/>
    <w:pPr>
      <w:ind w:firstLine="720" w:start="0" w:end="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2001-02-06T15:23:00Z</dcterms:created>
  <dc:creator>ECT</dc:creator>
  <dc:description/>
  <dc:language>en-CA</dc:language>
  <cp:lastModifiedBy>protmp1</cp:lastModifiedBy>
  <cp:lastPrinted>2001-02-06T13:56:00Z</cp:lastPrinted>
  <dcterms:modified xsi:type="dcterms:W3CDTF">2001-02-06T17:27:00Z</dcterms:modified>
  <cp:revision>5</cp:revision>
  <dc:subject/>
  <dc:title>MEMO FORM</dc:title>
</cp:coreProperties>
</file>