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Enron’s Reponses to the ITC Staff’s Informal Questions</w:t>
      </w:r>
    </w:p>
    <w:p>
      <w:pPr>
        <w:pStyle w:val="Normal"/>
        <w:rPr/>
      </w:pPr>
      <w:r>
        <w:rPr/>
      </w:r>
    </w:p>
    <w:p>
      <w:pPr>
        <w:pStyle w:val="Normal"/>
        <w:rPr>
          <w:b/>
          <w:bCs/>
        </w:rPr>
      </w:pPr>
      <w:r>
        <w:rPr>
          <w:b/>
          <w:bCs/>
        </w:rPr>
        <w:t>General Description of EnronOnline:</w:t>
      </w:r>
    </w:p>
    <w:p>
      <w:pPr>
        <w:pStyle w:val="Normal"/>
        <w:rPr>
          <w:b/>
          <w:bCs/>
        </w:rPr>
      </w:pPr>
      <w:r>
        <w:rPr>
          <w:b/>
          <w:bCs/>
        </w:rPr>
      </w:r>
    </w:p>
    <w:p>
      <w:pPr>
        <w:pStyle w:val="Normal"/>
        <w:rPr/>
      </w:pPr>
      <w:r>
        <w:rPr/>
        <w:t xml:space="preserve">EnronOnline (EOL) is an electronic trading platform that offers free, real-time pricing information for approximately 1,800 products for 13 commodities, including steel.  EOL utilizes e-commerce and Internet technology as an additional way for customers to do business with Enron, in addition to the traditional methods such as telephone and fax.   EOL is a proprietary, or “one-to-many” trading platform.  On a “one-to-many” platform, one entity, such as Enron, is a principal to every trade.  </w:t>
      </w:r>
    </w:p>
    <w:p>
      <w:pPr>
        <w:pStyle w:val="Normal"/>
        <w:rPr/>
      </w:pPr>
      <w:r>
        <w:rPr/>
      </w:r>
    </w:p>
    <w:p>
      <w:pPr>
        <w:pStyle w:val="BodyText"/>
        <w:rPr>
          <w:rFonts w:ascii="Times New Roman" w:hAnsi="Times New Roman" w:cs="Times New Roman"/>
          <w:sz w:val="24"/>
        </w:rPr>
      </w:pPr>
      <w:r>
        <w:rPr>
          <w:rFonts w:cs="Times New Roman" w:ascii="Times New Roman" w:hAnsi="Times New Roman"/>
          <w:sz w:val="24"/>
        </w:rPr>
        <w:t>1.</w:t>
        <w:tab/>
        <w:t>In what significant ways does EnronOnline differ from the London Metal Exchange or the New York Mercantile Exchange in the trading of futures contracts (apart from the specific metals it trades) or from other on-line exchanges in the trading of physical metal?</w:t>
      </w:r>
    </w:p>
    <w:p>
      <w:pPr>
        <w:pStyle w:val="Normal"/>
        <w:autoSpaceDE w:val="false"/>
        <w:ind w:start="360" w:end="0"/>
        <w:rPr>
          <w:rFonts w:ascii="Times New Roman" w:hAnsi="Times New Roman" w:cs="Courier New"/>
          <w:sz w:val="24"/>
          <w:szCs w:val="20"/>
        </w:rPr>
      </w:pPr>
      <w:r>
        <w:rPr>
          <w:rFonts w:cs="Courier New"/>
          <w:sz w:val="24"/>
          <w:szCs w:val="20"/>
        </w:rPr>
      </w:r>
    </w:p>
    <w:p>
      <w:pPr>
        <w:pStyle w:val="BodyTextIndent"/>
        <w:ind w:start="0" w:end="0"/>
        <w:rPr>
          <w:rFonts w:ascii="Times New Roman" w:hAnsi="Times New Roman" w:cs="Times New Roman"/>
          <w:sz w:val="24"/>
        </w:rPr>
      </w:pPr>
      <w:r>
        <w:rPr>
          <w:rFonts w:cs="Times New Roman" w:ascii="Times New Roman" w:hAnsi="Times New Roman"/>
          <w:sz w:val="24"/>
        </w:rPr>
        <w:t>EnronOnline is not an exchange; it is a bilateral transaction system.  It differs from futures exchanges in many respects including the following:  (i) an Enron entity is a counterparty to every transaction concluded over the system; (ii) EnronOnline transactions are not cleared;  (iii) the transactions concluded on the system are forward contracts or derivatives, not futures; and (iv) access to EnronOnline is restricted to commercial entities, i.e. no retail transactions are concluded on EnronOnline.</w:t>
      </w:r>
    </w:p>
    <w:p>
      <w:pPr>
        <w:pStyle w:val="Normal"/>
        <w:autoSpaceDE w:val="false"/>
        <w:rPr>
          <w:rFonts w:ascii="Times New Roman" w:hAnsi="Times New Roman" w:cs="Courier New"/>
          <w:sz w:val="24"/>
          <w:szCs w:val="20"/>
        </w:rPr>
      </w:pPr>
      <w:r>
        <w:rPr>
          <w:rFonts w:cs="Courier New"/>
          <w:sz w:val="24"/>
          <w:szCs w:val="20"/>
        </w:rPr>
      </w:r>
    </w:p>
    <w:p>
      <w:pPr>
        <w:pStyle w:val="BodyText"/>
        <w:rPr>
          <w:rFonts w:ascii="Times New Roman" w:hAnsi="Times New Roman" w:cs="Times New Roman"/>
          <w:sz w:val="24"/>
        </w:rPr>
      </w:pPr>
      <w:r>
        <w:rPr>
          <w:rFonts w:cs="Times New Roman" w:ascii="Times New Roman" w:hAnsi="Times New Roman"/>
          <w:sz w:val="24"/>
        </w:rPr>
        <w:t>2.</w:t>
        <w:tab/>
        <w:t>What are the most important benefits that a public exchange like Enron’s brings to the steel industry?</w:t>
      </w:r>
    </w:p>
    <w:p>
      <w:pPr>
        <w:pStyle w:val="Normal"/>
        <w:autoSpaceDE w:val="false"/>
        <w:rPr>
          <w:rFonts w:ascii="Times New Roman" w:hAnsi="Times New Roman" w:cs="Courier New"/>
          <w:sz w:val="24"/>
          <w:szCs w:val="20"/>
        </w:rPr>
      </w:pPr>
      <w:r>
        <w:rPr>
          <w:rFonts w:cs="Courier New"/>
          <w:sz w:val="24"/>
          <w:szCs w:val="20"/>
        </w:rPr>
      </w:r>
    </w:p>
    <w:p>
      <w:pPr>
        <w:pStyle w:val="Normal"/>
        <w:autoSpaceDE w:val="false"/>
        <w:rPr>
          <w:rFonts w:cs="Courier New"/>
          <w:szCs w:val="20"/>
        </w:rPr>
      </w:pPr>
      <w:r>
        <w:rPr>
          <w:rFonts w:cs="Courier New"/>
          <w:szCs w:val="20"/>
        </w:rPr>
        <w:t>EnronOnline:</w:t>
      </w:r>
    </w:p>
    <w:p>
      <w:pPr>
        <w:pStyle w:val="Normal"/>
        <w:numPr>
          <w:ilvl w:val="0"/>
          <w:numId w:val="2"/>
        </w:numPr>
        <w:autoSpaceDE w:val="false"/>
        <w:rPr>
          <w:rFonts w:cs="Courier New"/>
          <w:szCs w:val="20"/>
        </w:rPr>
      </w:pPr>
      <w:r>
        <w:rPr>
          <w:rFonts w:cs="Courier New"/>
          <w:szCs w:val="20"/>
        </w:rPr>
        <w:t xml:space="preserve">offers tools for customers to manage steel price volatility.     </w:t>
      </w:r>
    </w:p>
    <w:p>
      <w:pPr>
        <w:pStyle w:val="Normal"/>
        <w:numPr>
          <w:ilvl w:val="0"/>
          <w:numId w:val="1"/>
        </w:numPr>
        <w:autoSpaceDE w:val="false"/>
        <w:rPr>
          <w:rFonts w:cs="Courier New"/>
          <w:szCs w:val="20"/>
        </w:rPr>
      </w:pPr>
      <w:r>
        <w:rPr>
          <w:rFonts w:cs="Courier New"/>
          <w:szCs w:val="20"/>
        </w:rPr>
        <w:t xml:space="preserve">increases liquidity by posting the prices </w:t>
      </w:r>
      <w:r>
        <w:rPr/>
        <w:t xml:space="preserve">at which we will buy and prices at which we will sell.  </w:t>
      </w:r>
    </w:p>
    <w:p>
      <w:pPr>
        <w:pStyle w:val="Normal"/>
        <w:numPr>
          <w:ilvl w:val="0"/>
          <w:numId w:val="1"/>
        </w:numPr>
        <w:autoSpaceDE w:val="false"/>
        <w:rPr>
          <w:rFonts w:cs="Courier New"/>
          <w:szCs w:val="20"/>
        </w:rPr>
      </w:pPr>
      <w:r>
        <w:rPr>
          <w:rFonts w:cs="Courier New"/>
          <w:szCs w:val="20"/>
        </w:rPr>
        <w:t>reduces transaction costs by speeding up the transaction process.</w:t>
      </w:r>
    </w:p>
    <w:p>
      <w:pPr>
        <w:pStyle w:val="Normal"/>
        <w:numPr>
          <w:ilvl w:val="0"/>
          <w:numId w:val="1"/>
        </w:numPr>
        <w:autoSpaceDE w:val="false"/>
        <w:rPr>
          <w:rFonts w:cs="Courier New"/>
          <w:szCs w:val="20"/>
        </w:rPr>
      </w:pPr>
      <w:r>
        <w:rPr>
          <w:rFonts w:cs="Courier New"/>
          <w:szCs w:val="20"/>
        </w:rPr>
        <w:t xml:space="preserve">improves price transparency.  Customers can see forward prices and make informed investment decisions with full knowledge of the market.   </w:t>
      </w:r>
    </w:p>
    <w:p>
      <w:pPr>
        <w:pStyle w:val="Normal"/>
        <w:autoSpaceDE w:val="false"/>
        <w:rPr>
          <w:rFonts w:cs="Courier New"/>
          <w:szCs w:val="20"/>
        </w:rPr>
      </w:pPr>
      <w:r>
        <w:rPr>
          <w:rFonts w:cs="Courier New"/>
          <w:szCs w:val="20"/>
        </w:rPr>
      </w:r>
    </w:p>
    <w:p>
      <w:pPr>
        <w:pStyle w:val="BodyText"/>
        <w:autoSpaceDE w:val="true"/>
        <w:rPr>
          <w:rFonts w:ascii="Times New Roman" w:hAnsi="Times New Roman" w:cs="Times New Roman"/>
          <w:sz w:val="24"/>
        </w:rPr>
      </w:pPr>
      <w:r>
        <w:rPr>
          <w:rFonts w:cs="Times New Roman" w:ascii="Times New Roman" w:hAnsi="Times New Roman"/>
          <w:sz w:val="24"/>
        </w:rPr>
        <w:t xml:space="preserve">3.  </w:t>
        <w:tab/>
        <w:t>Does Enron have a trade clearing mechanism to guarantee the creditworthiness of suppliers and customers?</w:t>
      </w:r>
    </w:p>
    <w:p>
      <w:pPr>
        <w:pStyle w:val="Normal"/>
        <w:rPr>
          <w:rFonts w:ascii="Times New Roman" w:hAnsi="Times New Roman" w:cs="Courier New"/>
          <w:sz w:val="24"/>
          <w:szCs w:val="20"/>
        </w:rPr>
      </w:pPr>
      <w:r>
        <w:rPr>
          <w:rFonts w:cs="Courier New"/>
          <w:sz w:val="24"/>
          <w:szCs w:val="20"/>
        </w:rPr>
      </w:r>
    </w:p>
    <w:p>
      <w:pPr>
        <w:pStyle w:val="BodyTextIndent2"/>
        <w:ind w:start="0" w:end="0"/>
        <w:jc w:val="both"/>
        <w:rPr/>
      </w:pPr>
      <w:r>
        <w:rPr/>
        <w:t xml:space="preserve">EnronOnline transactions are not cleared through any third party mechanism.  Enron is the counterparty to all transactions; therefore, all customer and supplier credit risk is held by Enron.  </w:t>
      </w:r>
    </w:p>
    <w:p>
      <w:pPr>
        <w:pStyle w:val="Normal"/>
        <w:rPr>
          <w:rFonts w:cs="Courier New"/>
          <w:szCs w:val="20"/>
        </w:rPr>
      </w:pPr>
      <w:r>
        <w:rPr>
          <w:rFonts w:cs="Courier New"/>
          <w:szCs w:val="20"/>
        </w:rPr>
      </w:r>
    </w:p>
    <w:p>
      <w:pPr>
        <w:pStyle w:val="BodyText"/>
        <w:autoSpaceDE w:val="true"/>
        <w:rPr>
          <w:rFonts w:ascii="Times New Roman" w:hAnsi="Times New Roman" w:cs="Times New Roman"/>
          <w:sz w:val="24"/>
        </w:rPr>
      </w:pPr>
      <w:r>
        <w:rPr>
          <w:rFonts w:cs="Times New Roman" w:ascii="Times New Roman" w:hAnsi="Times New Roman"/>
          <w:sz w:val="24"/>
        </w:rPr>
        <w:t xml:space="preserve">4. </w:t>
        <w:tab/>
        <w:t>Why have some on-line steel trading sites failed?</w:t>
      </w:r>
    </w:p>
    <w:p>
      <w:pPr>
        <w:pStyle w:val="Normal"/>
        <w:rPr>
          <w:rFonts w:ascii="Times New Roman" w:hAnsi="Times New Roman" w:cs="Courier New"/>
          <w:sz w:val="24"/>
          <w:szCs w:val="20"/>
        </w:rPr>
      </w:pPr>
      <w:r>
        <w:rPr>
          <w:rFonts w:cs="Courier New"/>
          <w:sz w:val="24"/>
          <w:szCs w:val="20"/>
        </w:rPr>
      </w:r>
    </w:p>
    <w:p>
      <w:pPr>
        <w:pStyle w:val="Normal"/>
        <w:rPr/>
      </w:pPr>
      <w:r>
        <w:rPr>
          <w:rFonts w:cs="Courier New"/>
          <w:szCs w:val="20"/>
        </w:rPr>
        <w:t xml:space="preserve">The business model of “matching” specific buyers with specific sellers and charging a fee is flawed.  This is essentially nothing more than what industry players currently do for themselves.  EnronOnline is not a “matching service.”  Rather, Enron is a party to every transaction.  We post the prices </w:t>
      </w:r>
      <w:r>
        <w:rPr/>
        <w:t>at which we will buy and prices at which we will sell.  This provides liquidity to the marketplace, which ensures ready markets for all participants.  This function is similar to a “specialist” on the NYSE.</w:t>
      </w:r>
    </w:p>
    <w:p>
      <w:pPr>
        <w:pStyle w:val="Normal"/>
        <w:rPr>
          <w:rFonts w:cs="Courier New"/>
          <w:szCs w:val="20"/>
        </w:rPr>
      </w:pPr>
      <w:r>
        <w:rPr>
          <w:rFonts w:cs="Courier New"/>
          <w:szCs w:val="20"/>
        </w:rPr>
      </w:r>
    </w:p>
    <w:p>
      <w:pPr>
        <w:pStyle w:val="Normal"/>
        <w:rPr>
          <w:rFonts w:cs="Courier New"/>
          <w:szCs w:val="20"/>
        </w:rPr>
      </w:pPr>
      <w:r>
        <w:rPr>
          <w:rFonts w:cs="Courier New"/>
          <w:szCs w:val="20"/>
        </w:rPr>
        <w:t>Further, most online trading sites do little to reduce costs or increase price transparency.  In some instances counterparties have to pay to participate, and, after the match is made, off-line negotiation is still required.</w:t>
      </w:r>
    </w:p>
    <w:p>
      <w:pPr>
        <w:pStyle w:val="Normal"/>
        <w:rPr>
          <w:rFonts w:cs="Courier New"/>
          <w:szCs w:val="20"/>
        </w:rPr>
      </w:pPr>
      <w:r>
        <w:rPr>
          <w:rFonts w:cs="Courier New"/>
          <w:szCs w:val="20"/>
        </w:rPr>
      </w:r>
    </w:p>
    <w:p>
      <w:pPr>
        <w:pStyle w:val="BodyText"/>
        <w:autoSpaceDE w:val="true"/>
        <w:rPr>
          <w:rFonts w:ascii="Times New Roman" w:hAnsi="Times New Roman" w:cs="Times New Roman"/>
          <w:sz w:val="24"/>
        </w:rPr>
      </w:pPr>
      <w:r>
        <w:rPr>
          <w:rFonts w:cs="Times New Roman" w:ascii="Times New Roman" w:hAnsi="Times New Roman"/>
          <w:sz w:val="24"/>
        </w:rPr>
        <w:t>5.</w:t>
        <w:tab/>
        <w:t>Are there particular problems in trading steel on-line versus oil, agricultural products, or any of the other products that are successfully traded on-line?</w:t>
      </w:r>
    </w:p>
    <w:p>
      <w:pPr>
        <w:pStyle w:val="Normal"/>
        <w:rPr>
          <w:rFonts w:ascii="Times New Roman" w:hAnsi="Times New Roman" w:cs="Courier New"/>
          <w:sz w:val="24"/>
          <w:szCs w:val="20"/>
        </w:rPr>
      </w:pPr>
      <w:r>
        <w:rPr>
          <w:rFonts w:cs="Courier New"/>
          <w:sz w:val="24"/>
          <w:szCs w:val="20"/>
        </w:rPr>
      </w:r>
    </w:p>
    <w:p>
      <w:pPr>
        <w:pStyle w:val="Normal"/>
        <w:rPr>
          <w:rFonts w:cs="Courier New"/>
          <w:szCs w:val="20"/>
        </w:rPr>
      </w:pPr>
      <w:r>
        <w:rPr>
          <w:rFonts w:cs="Courier New"/>
          <w:szCs w:val="20"/>
        </w:rPr>
        <w:t xml:space="preserve">No.  </w:t>
      </w:r>
    </w:p>
    <w:p>
      <w:pPr>
        <w:pStyle w:val="Normal"/>
        <w:rPr>
          <w:rFonts w:cs="Courier New"/>
          <w:szCs w:val="20"/>
        </w:rPr>
      </w:pPr>
      <w:r>
        <w:rPr>
          <w:rFonts w:cs="Courier New"/>
          <w:szCs w:val="20"/>
        </w:rPr>
      </w:r>
    </w:p>
    <w:p>
      <w:pPr>
        <w:pStyle w:val="Normal"/>
        <w:rPr>
          <w:rFonts w:cs="Courier New"/>
          <w:szCs w:val="20"/>
        </w:rPr>
      </w:pPr>
      <w:r>
        <w:rPr>
          <w:rFonts w:cs="Courier New"/>
          <w:szCs w:val="20"/>
        </w:rPr>
      </w:r>
    </w:p>
    <w:p>
      <w:pPr>
        <w:pStyle w:val="Normal"/>
        <w:rPr>
          <w:rFonts w:cs="Courier New"/>
          <w:szCs w:val="20"/>
        </w:rPr>
      </w:pPr>
      <w:r>
        <w:rPr>
          <w:rFonts w:cs="Courier New"/>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autoSpaceDE w:val="false"/>
      <w:jc w:val="center"/>
    </w:pPr>
    <w:rPr>
      <w:rFonts w:cs="Courier New"/>
      <w:b/>
      <w:bCs/>
      <w:szCs w:val="20"/>
    </w:rPr>
  </w:style>
  <w:style w:type="paragraph" w:styleId="BodyText">
    <w:name w:val="Body Text"/>
    <w:basedOn w:val="Normal"/>
    <w:pPr>
      <w:autoSpaceDE w:val="false"/>
    </w:pPr>
    <w:rPr>
      <w:rFonts w:ascii="Courier New" w:hAnsi="Courier New" w:cs="Courier New"/>
      <w:b/>
      <w:bCs/>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720" w:end="0"/>
    </w:pPr>
    <w:rPr>
      <w:rFonts w:ascii="Courier New" w:hAnsi="Courier New" w:cs="Courier New"/>
      <w:sz w:val="20"/>
      <w:szCs w:val="20"/>
    </w:rPr>
  </w:style>
  <w:style w:type="paragraph" w:styleId="BodyTextIndent2">
    <w:name w:val="Body Text Indent 2"/>
    <w:basedOn w:val="Normal"/>
    <w:qFormat/>
    <w:pPr>
      <w:ind w:hanging="0" w:start="720" w:end="0"/>
    </w:pPr>
    <w:rPr>
      <w:rFonts w:cs="Courier New"/>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2001-08-14T15:08:00Z</dcterms:created>
  <dc:creator>lisa yoho</dc:creator>
  <dc:description/>
  <dc:language>en-CA</dc:language>
  <cp:lastModifiedBy>lisa yoho</cp:lastModifiedBy>
  <cp:lastPrinted>2001-08-21T15:25:00Z</cp:lastPrinted>
  <dcterms:modified xsi:type="dcterms:W3CDTF">2001-08-24T12:45:00Z</dcterms:modified>
  <cp:revision>11</cp:revision>
  <dc:subject/>
  <dc:title>1</dc:title>
</cp:coreProperties>
</file>