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</w:rPr>
                              <w:sym w:font="Symbol" w:char="f07f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</w:rPr>
                        <w:sym w:font="Symbol" w:char="f07f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4-30-02 2:15 pm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Trent Fault Pareto Analysis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Please provide a pareto fault analysis (count) for Trent during the month of March 02.  Include a table with a list of all faults and their number of occurrences for each individual turbine and one for the site. 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Nemila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5-3-02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4-3002 2:20 pm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2002-04-30T16:44:00Z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2002-04-30T16:50:00Z</dcterms:modified>
  <cp:revision>4</cp:revision>
  <dc:subject/>
  <dc:title>Service Warranty Router</dc:title>
</cp:coreProperties>
</file>