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b w:val="false"/>
          <w:sz w:val="20"/>
        </w:rPr>
      </w:pPr>
      <w:r>
        <w:rPr>
          <w:b w:val="false"/>
          <w:sz w:val="20"/>
        </w:rPr>
        <w:t>SHARE OPTION TRANSACTION</w:t>
      </w:r>
    </w:p>
    <w:p>
      <w:pPr>
        <w:pStyle w:val="Heading2"/>
        <w:rPr>
          <w:b w:val="false"/>
          <w:sz w:val="20"/>
        </w:rPr>
      </w:pPr>
      <w:r>
        <w:rPr>
          <w:b w:val="false"/>
          <w:sz w:val="20"/>
        </w:rPr>
      </w:r>
    </w:p>
    <w:p>
      <w:pPr>
        <w:pStyle w:val="Normal"/>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mallCaps/>
          <w:sz w:val="20"/>
        </w:rPr>
        <w:drawing>
          <wp:inline distT="0" distB="0" distL="0" distR="0">
            <wp:extent cx="10966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3" t="-48" r="-33" b="-48"/>
                    <a:stretch>
                      <a:fillRect/>
                    </a:stretch>
                  </pic:blipFill>
                  <pic:spPr bwMode="auto">
                    <a:xfrm>
                      <a:off x="0" y="0"/>
                      <a:ext cx="1096645" cy="754380"/>
                    </a:xfrm>
                    <a:prstGeom prst="rect">
                      <a:avLst/>
                    </a:prstGeom>
                    <a:noFill/>
                  </pic:spPr>
                </pic:pic>
              </a:graphicData>
            </a:graphic>
          </wp:inline>
        </w:drawing>
      </w:r>
    </w:p>
    <w:p>
      <w:pPr>
        <w:pStyle w:val="Normal"/>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start="720" w:end="0"/>
        <w:jc w:val="both"/>
        <w:rPr>
          <w:rFonts w:ascii="Times New Roman;Times New Roman" w:hAnsi="Times New Roman;Times New Roman" w:cs="Times New Roman;Times New Roman"/>
          <w:b/>
          <w:color w:val="000000"/>
          <w:sz w:val="20"/>
        </w:rPr>
      </w:pPr>
      <w:r>
        <w:rPr>
          <w:rFonts w:cs="Times New Roman;Times New Roman" w:ascii="Times New Roman;Times New Roman" w:hAnsi="Times New Roman;Times New Roman"/>
          <w:b/>
          <w:sz w:val="20"/>
        </w:rPr>
        <w:t>Date:</w:t>
        <w:tab/>
        <w:tab/>
      </w:r>
    </w:p>
    <w:p>
      <w:pPr>
        <w:pStyle w:val="Normal"/>
        <w:ind w:firstLine="720" w:end="0"/>
        <w:jc w:val="both"/>
        <w:rPr>
          <w:rFonts w:ascii="Times New Roman;Times New Roman" w:hAnsi="Times New Roman;Times New Roman" w:cs="Times New Roman;Times New Roman"/>
          <w:b/>
          <w:color w:val="000000"/>
          <w:sz w:val="20"/>
        </w:rPr>
      </w:pPr>
      <w:r>
        <w:rPr>
          <w:rFonts w:cs="Times New Roman;Times New Roman" w:ascii="Times New Roman;Times New Roman" w:hAnsi="Times New Roman;Times New Roman"/>
          <w:b/>
          <w:color w:val="000000"/>
          <w:sz w:val="20"/>
        </w:rPr>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To:</w:t>
        <w:tab/>
        <w:tab/>
        <w:t xml:space="preserve"> </w:t>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Heading1"/>
        <w:tabs>
          <w:tab w:val="left" w:pos="-1728" w:leader="none"/>
          <w:tab w:val="left" w:pos="-1008" w:leader="none"/>
          <w:tab w:val="left" w:pos="-288" w:leader="none"/>
          <w:tab w:val="left" w:pos="432" w:leader="none"/>
          <w:tab w:val="left" w:pos="1152" w:leader="none"/>
          <w:tab w:val="left" w:pos="1440" w:leader="none"/>
          <w:tab w:val="left" w:pos="1872" w:leader="none"/>
          <w:tab w:val="left" w:pos="2160"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ind w:firstLine="720" w:start="0" w:end="0"/>
        <w:rPr>
          <w:sz w:val="20"/>
        </w:rPr>
      </w:pPr>
      <w:r>
        <w:rPr>
          <w:sz w:val="20"/>
        </w:rPr>
        <w:t>Address:</w:t>
        <w:tab/>
        <w:tab/>
      </w:r>
    </w:p>
    <w:p>
      <w:pPr>
        <w:pStyle w:val="Normal"/>
        <w:ind w:firstLine="720" w:end="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b/>
        <w:tab/>
      </w:r>
    </w:p>
    <w:p>
      <w:pPr>
        <w:pStyle w:val="Heading3"/>
        <w:ind w:firstLine="720" w:start="0" w:end="0"/>
        <w:rPr>
          <w:rFonts w:ascii="Times New Roman;Times New Roman" w:hAnsi="Times New Roman;Times New Roman" w:cs="Times New Roman;Times New Roman"/>
          <w:b w:val="false"/>
          <w:sz w:val="20"/>
        </w:rPr>
      </w:pPr>
      <w:r>
        <w:rPr>
          <w:rFonts w:cs="Times New Roman;Times New Roman"/>
          <w:b w:val="false"/>
          <w:sz w:val="20"/>
        </w:rPr>
      </w:r>
    </w:p>
    <w:p>
      <w:pPr>
        <w:pStyle w:val="Heading3"/>
        <w:ind w:firstLine="720" w:start="0" w:end="0"/>
        <w:rPr>
          <w:sz w:val="20"/>
        </w:rPr>
      </w:pPr>
      <w:r>
        <w:rPr>
          <w:sz w:val="20"/>
        </w:rPr>
        <w:t xml:space="preserve">Attention:       </w:t>
        <w:tab/>
        <w:t xml:space="preserve"> </w:t>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Telephone:</w:t>
        <w:tab/>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Facsimile:</w:t>
        <w:tab/>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From:</w:t>
        <w:tab/>
        <w:tab/>
        <w:t xml:space="preserve">FIRST UNION SECURITIES, INC. </w:t>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b/>
        <w:tab/>
        <w:t>solely as agent of First Union National Bank</w:t>
      </w:r>
    </w:p>
    <w:p>
      <w:pPr>
        <w:pStyle w:val="Normal"/>
        <w:ind w:firstLine="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Heading8"/>
        <w:ind w:firstLine="720" w:start="0" w:end="0"/>
        <w:rPr>
          <w:sz w:val="20"/>
        </w:rPr>
      </w:pPr>
      <w:r>
        <w:rPr>
          <w:sz w:val="20"/>
        </w:rPr>
        <w:t xml:space="preserve">First Union Reference Number: </w:t>
      </w:r>
    </w:p>
    <w:p>
      <w:pPr>
        <w:pStyle w:val="Normal"/>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spacing w:lineRule="auto" w:line="240"/>
        <w:rPr>
          <w:sz w:val="20"/>
        </w:rPr>
      </w:pPr>
      <w:r>
        <w:rPr>
          <w:sz w:val="20"/>
        </w:rPr>
        <w:t>Dear Sir or Madam:</w:t>
      </w:r>
    </w:p>
    <w:p>
      <w:pPr>
        <w:pStyle w:val="Normal"/>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start="720" w:end="45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The purpose of this revised letter agreement (this “Confirmation”) is to confirm the terms and conditions of the Transaction entered into between First Union National Bank (“First Union”) and ____________ (“Counterparty”, and collectively with First Union, the “Parties”) on the Trade Date as specified below (the “Transaction”).  This Confirmation constitutes a “Confirmation” as referred to in the ISDA Master Agreement specified below.</w:t>
      </w:r>
    </w:p>
    <w:p>
      <w:pPr>
        <w:pStyle w:val="Normal"/>
        <w:ind w:start="720" w:end="45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lockText"/>
        <w:rPr>
          <w:sz w:val="20"/>
        </w:rPr>
      </w:pPr>
      <w:r>
        <w:rPr>
          <w:sz w:val="20"/>
        </w:rPr>
        <w:tab/>
        <w:t>The definitions and provisions contained in the 1991 ISDA Definitions as amended by the 1998 Supplement (the “Swap Definitions”) and the 1996 ISDA Equity Derivatives Definitions (the “Equity Definitions”, and together with the Swap Definitions, the “Definitions”), in each case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prevail.</w:t>
      </w:r>
    </w:p>
    <w:p>
      <w:pPr>
        <w:pStyle w:val="Normal"/>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lockText"/>
        <w:tabs>
          <w:tab w:val="clear" w:pos="720"/>
          <w:tab w:val="left" w:pos="576" w:leader="none"/>
          <w:tab w:val="left" w:pos="900" w:leader="none"/>
        </w:tabs>
        <w:spacing w:before="0" w:after="120"/>
        <w:rPr>
          <w:sz w:val="20"/>
        </w:rPr>
      </w:pPr>
      <w:r>
        <w:rPr>
          <w:sz w:val="20"/>
        </w:rPr>
        <w:tab/>
        <w:t xml:space="preserve"> </w:t>
        <w:tab/>
        <w:t>[This Confirmation evidences a complete binding agreement between First Union and Counterparty as to the terms of the Transaction to which this Confirmation relates.  In addition, the Parties agree to use all reasonable efforts promptly to negotiate, execute and deliver an agreement (the “Master Agreement”) in the form of the ISDA Master Agreement (Multicurrency-Cross Border) (the “ISDA Form”), with such modifications as such the Parties will agree in good faith.  Upon the execution by the Parties of such an agreement, this Confirmation will supplement, form a part of, and be subject to that agreement.  Unless otherwise noted in a confirmation this Transaction shall be the only Transaction subject to such Master Agreement.  All provisions contained or incorporated by reference in that agreement upon its execution will govern this Confirmation except as expressly modified below.  Until we the Parties execute and deliver that agreement, this Confirmation shall supplement, form a part of, and be subject to an agreement in the form of the ISDA Form as if we had executed an agreement in such form but without any Schedule except for New York law (without regard to the conflicts of law principles) as the governing law and U.S. Dollars as the Termination Currency on the Trade Date of the first such transaction between us.  In the event of any inconsistency between the provisions of that agreement, or the Master Agreement when executed, and this Confirmation, this Confirmation will prevail for the purposes of this Transaction.]][This Confirmation supplements, forms part of, and is subject to, the ISDA Master Agreement dated as of ______ ___, ___, as amended and supplemented from time to time (the “Agreement”) between the Parties.  All provisions contained in the Agreement govern this Confirmation except as expressly modified below.]</w:t>
      </w:r>
      <w:r>
        <w:rPr>
          <w:rStyle w:val="FootnoteCharacters"/>
          <w:rStyle w:val="FootnoteReference"/>
          <w:sz w:val="20"/>
        </w:rPr>
        <w:footnoteReference w:id="2"/>
      </w:r>
    </w:p>
    <w:p>
      <w:pPr>
        <w:pStyle w:val="Normal"/>
        <w:tabs>
          <w:tab w:val="clear" w:pos="720"/>
          <w:tab w:val="left" w:pos="576" w:leader="none"/>
          <w:tab w:val="left" w:pos="900" w:leader="none"/>
        </w:tabs>
        <w:spacing w:before="0" w:after="12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 xml:space="preserve">  The terms of the Transaction to which this Confirmation relates are as follows:</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General Terms:</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Trade Date:</w:t>
        <w:tab/>
        <w:tab/>
        <w:tab/>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Option Style:</w:t>
        <w:tab/>
        <w:tab/>
        <w:tab/>
        <w:t>European</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Option Type:</w:t>
        <w:tab/>
        <w:tab/>
        <w:tab/>
        <w:t>Put</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Seller:</w:t>
        <w:tab/>
        <w:tab/>
        <w:tab/>
        <w:tab/>
        <w:t>Counterparty</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Buyer:</w:t>
        <w:tab/>
        <w:tab/>
        <w:tab/>
        <w:tab/>
        <w:t>First Union</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Shares:</w:t>
        <w:tab/>
        <w:tab/>
        <w:tab/>
        <w:tab/>
        <w:t>The common shares of ____________ (the “Issuer”) Ticker Symbol: _____</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Number of Options:</w:t>
        <w:tab/>
        <w:tab/>
        <w:t>___________</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Option Entitlement:</w:t>
        <w:tab/>
        <w:tab/>
        <w:t>__ Share per Option</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Multiple Exercise:</w:t>
        <w:tab/>
        <w:tab/>
        <w:t>Inapplicable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Strike Price:</w:t>
        <w:tab/>
        <w:tab/>
        <w:tab/>
        <w:t>USD______</w:t>
      </w:r>
    </w:p>
    <w:p>
      <w:pPr>
        <w:pStyle w:val="Normal"/>
        <w:spacing w:lineRule="exact" w:line="244"/>
        <w:ind w:hanging="3600" w:start="4320" w:end="27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Premium</w:t>
        <w:tab/>
        <w:tab/>
        <w:tab/>
        <w:t>USD__________(Premium per Option: USD______)</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Premium Payment Date:</w:t>
        <w:tab/>
        <w:tab/>
        <w:t>Three (3) Currency Business Days following Trade Date.</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Exchange(s):</w:t>
        <w:tab/>
        <w:tab/>
        <w:tab/>
        <w:t>New York Stock Exchange</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Related Exchange(s):</w:t>
        <w:tab/>
        <w:tab/>
        <w:t>Any nationally recognized exchange or quotation system on which options or futures contracts on the Shares are traded or quoted.</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Clearance System:</w:t>
        <w:tab/>
        <w:tab/>
        <w:t xml:space="preserve">DTC </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keepNext w:val="true"/>
        <w:keepLines/>
        <w:spacing w:lineRule="exact" w:line="244"/>
        <w:ind w:hanging="3600" w:start="4320" w:end="0"/>
        <w:jc w:val="both"/>
        <w:rPr/>
      </w:pPr>
      <w:r>
        <w:rPr>
          <w:rFonts w:cs="Times New Roman;Times New Roman" w:ascii="Times New Roman;Times New Roman" w:hAnsi="Times New Roman;Times New Roman"/>
          <w:sz w:val="20"/>
          <w:u w:val="single"/>
        </w:rPr>
        <w:t>Procedure for Exercise</w:t>
      </w:r>
      <w:r>
        <w:rPr>
          <w:rFonts w:cs="Times New Roman;Times New Roman" w:ascii="Times New Roman;Times New Roman" w:hAnsi="Times New Roman;Times New Roman"/>
          <w:sz w:val="20"/>
        </w:rPr>
        <w:t>:</w:t>
      </w:r>
    </w:p>
    <w:p>
      <w:pPr>
        <w:pStyle w:val="Normal"/>
        <w:keepNext w:val="true"/>
        <w:keepLines/>
        <w:spacing w:lineRule="exact" w:line="244"/>
        <w:ind w:hanging="3600" w:start="432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Expiration Time:</w:t>
        <w:tab/>
        <w:tab/>
        <w:tab/>
        <w:t>The close of trading on the Exchange, without regard to extended trading hours.</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Expiration Date:</w:t>
        <w:tab/>
        <w:tab/>
        <w:tab/>
        <w:t>________ __, ____</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Automatic Exercise:</w:t>
        <w:tab/>
        <w:tab/>
        <w:t>Applicable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Seller’s Agent’s Telephone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Number and Telex and/or</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Facsimile Number and </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Contact Details for Purpose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Of Giving Notice:</w:t>
        <w:tab/>
        <w:tab/>
        <w:t>________________</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 xml:space="preserve">Telephone: </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 xml:space="preserve">Facsimile: </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Reference Price:</w:t>
        <w:tab/>
        <w:tab/>
        <w:tab/>
        <w:t>If Physical Settlement applies, the Reference Price shall be the closing price per Share quoted by the Exchange at the Expiration Time on the Expiration Date.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pPr>
      <w:r>
        <w:rPr>
          <w:rFonts w:cs="Times New Roman;Times New Roman" w:ascii="Times New Roman;Times New Roman" w:hAnsi="Times New Roman;Times New Roman"/>
          <w:sz w:val="20"/>
          <w:u w:val="single"/>
        </w:rPr>
        <w:t>Valuation</w:t>
      </w:r>
      <w:r>
        <w:rPr>
          <w:rFonts w:cs="Times New Roman;Times New Roman" w:ascii="Times New Roman;Times New Roman" w:hAnsi="Times New Roman;Times New Roman"/>
          <w:sz w:val="20"/>
        </w:rPr>
        <w:t>:</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Valuation Time:</w:t>
        <w:tab/>
        <w:tab/>
        <w:tab/>
        <w:t>The Expiration Time</w:t>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88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Valuation Date:</w:t>
        <w:tab/>
        <w:tab/>
        <w:tab/>
        <w:t>The Exercise Date</w:t>
      </w:r>
    </w:p>
    <w:p>
      <w:pPr>
        <w:pStyle w:val="Normal"/>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rFonts w:ascii="Times New Roman;Times New Roman" w:hAnsi="Times New Roman;Times New Roman" w:cs="Times New Roman;Times New Roman"/>
          <w:sz w:val="20"/>
          <w:u w:val="single"/>
          <w:lang w:val="en-GB"/>
        </w:rPr>
      </w:pPr>
      <w:r>
        <w:rPr>
          <w:rFonts w:cs="Times New Roman;Times New Roman" w:ascii="Times New Roman;Times New Roman" w:hAnsi="Times New Roman;Times New Roman"/>
          <w:sz w:val="20"/>
          <w:u w:val="single"/>
          <w:lang w:val="en-GB"/>
        </w:rPr>
      </w:r>
    </w:p>
    <w:tbl>
      <w:tblPr>
        <w:tblW w:w="10620" w:type="dxa"/>
        <w:jc w:val="start"/>
        <w:tblInd w:w="378" w:type="dxa"/>
        <w:tblLayout w:type="fixed"/>
        <w:tblCellMar>
          <w:top w:w="0" w:type="dxa"/>
          <w:start w:w="108" w:type="dxa"/>
          <w:bottom w:w="0" w:type="dxa"/>
          <w:end w:w="108" w:type="dxa"/>
        </w:tblCellMar>
      </w:tblPr>
      <w:tblGrid>
        <w:gridCol w:w="3960"/>
        <w:gridCol w:w="6660"/>
      </w:tblGrid>
      <w:tr>
        <w:trPr>
          <w:trHeight w:val="1917" w:hRule="atLeast"/>
        </w:trPr>
        <w:tc>
          <w:tcPr>
            <w:tcW w:w="3960" w:type="dxa"/>
            <w:tcBorders/>
          </w:tcPr>
          <w:p>
            <w:pPr>
              <w:pStyle w:val="gt1"/>
              <w:spacing w:before="100" w:after="0"/>
              <w:ind w:start="342" w:end="0"/>
              <w:rPr>
                <w:u w:val="single"/>
              </w:rPr>
            </w:pPr>
            <w:r>
              <w:rPr>
                <w:u w:val="single"/>
              </w:rPr>
              <w:t>Settlement Elections and Events:</w:t>
            </w:r>
          </w:p>
        </w:tc>
        <w:tc>
          <w:tcPr>
            <w:tcW w:w="6660" w:type="dxa"/>
            <w:tcBorders/>
          </w:tcPr>
          <w:p>
            <w:pPr>
              <w:pStyle w:val="col2"/>
              <w:widowControl w:val="false"/>
              <w:spacing w:lineRule="auto" w:line="240" w:before="100" w:after="0"/>
              <w:rPr>
                <w:lang w:eastAsia="en-US"/>
              </w:rPr>
            </w:pPr>
            <w:r>
              <w:rPr>
                <w:lang w:eastAsia="en-US"/>
              </w:rPr>
              <w:t>Counterparty may elect either Cash, Physical or Net-Share Settlement for this Transaction and provide First Union written notice of its election by 9:00 a.m. (local time in New York) at least __ Exchange Business Days prior to the Valuation Date.  If Counterparty elects Physical Settlement, the terms of such election are as defined in the Equity Definitions. If Counterparty elects Cash Settlement or Net Share Settlement for this Transaction, the terms of such election are specified below. In the event that no election is made, Cash Settlement will apply.</w:t>
            </w:r>
          </w:p>
        </w:tc>
      </w:tr>
      <w:tr>
        <w:trPr/>
        <w:tc>
          <w:tcPr>
            <w:tcW w:w="3960" w:type="dxa"/>
            <w:tcBorders/>
          </w:tcPr>
          <w:p>
            <w:pPr>
              <w:pStyle w:val="gt1"/>
              <w:spacing w:before="100" w:after="0"/>
              <w:ind w:start="1062" w:end="0"/>
              <w:rPr/>
            </w:pPr>
            <w:r>
              <w:rPr/>
              <w:t>Cash Settlement:</w:t>
            </w:r>
          </w:p>
        </w:tc>
        <w:tc>
          <w:tcPr>
            <w:tcW w:w="6660" w:type="dxa"/>
            <w:tcBorders/>
          </w:tcPr>
          <w:p>
            <w:pPr>
              <w:pStyle w:val="BodyText"/>
              <w:spacing w:before="100" w:after="0"/>
              <w:rPr>
                <w:b w:val="false"/>
                <w:sz w:val="20"/>
              </w:rPr>
            </w:pPr>
            <w:r>
              <w:rPr>
                <w:b w:val="false"/>
                <w:sz w:val="20"/>
              </w:rPr>
              <w:t>With respect to the Exercise Date under this Transaction for which Cash Settlement is specified to be applicable, the Settlement Currency shall be USD; the Settlement Price shall be the closing price per Share as quoted by the Exchange at the Valuation Time on the Valuation Date; and, the Cash Settlement Payment Date shall be one (1) Currency Business Day after the Valuation Date.</w:t>
            </w:r>
          </w:p>
        </w:tc>
      </w:tr>
      <w:tr>
        <w:trPr/>
        <w:tc>
          <w:tcPr>
            <w:tcW w:w="3960" w:type="dxa"/>
            <w:tcBorders/>
          </w:tcPr>
          <w:p>
            <w:pPr>
              <w:pStyle w:val="gt1"/>
              <w:spacing w:before="100" w:after="0"/>
              <w:ind w:start="1062" w:end="0"/>
              <w:rPr>
                <w:u w:val="single"/>
              </w:rPr>
            </w:pPr>
            <w:r>
              <w:rPr/>
              <w:t>Net-Share Settlement:</w:t>
            </w:r>
          </w:p>
        </w:tc>
        <w:tc>
          <w:tcPr>
            <w:tcW w:w="6660" w:type="dxa"/>
            <w:tcBorders/>
          </w:tcPr>
          <w:p>
            <w:pPr>
              <w:pStyle w:val="BodyText"/>
              <w:spacing w:before="100" w:after="0"/>
              <w:rPr>
                <w:b w:val="false"/>
                <w:sz w:val="20"/>
              </w:rPr>
            </w:pPr>
            <w:r>
              <w:rPr>
                <w:b w:val="false"/>
                <w:sz w:val="20"/>
              </w:rPr>
              <w:t>With respect to the Exercise Date under this Transaction for which Net-Share Settlement is specified to be applicable, the Counterparty shall deliver to First Union the Share Delivery Amount on the Settlement Date (as defined in Section 6.2 of the Equity Definitions) at the account specified hereto free of payment through the Clearance System.</w:t>
            </w:r>
          </w:p>
        </w:tc>
      </w:tr>
      <w:tr>
        <w:trPr/>
        <w:tc>
          <w:tcPr>
            <w:tcW w:w="3960" w:type="dxa"/>
            <w:tcBorders/>
          </w:tcPr>
          <w:p>
            <w:pPr>
              <w:pStyle w:val="gt1"/>
              <w:spacing w:before="100" w:after="0"/>
              <w:ind w:start="1062" w:end="0"/>
              <w:rPr/>
            </w:pPr>
            <w:r>
              <w:rPr/>
              <w:t>Share Delivery Amount:</w:t>
            </w:r>
          </w:p>
        </w:tc>
        <w:tc>
          <w:tcPr>
            <w:tcW w:w="6660" w:type="dxa"/>
            <w:tcBorders/>
          </w:tcPr>
          <w:p>
            <w:pPr>
              <w:pStyle w:val="col2"/>
              <w:spacing w:lineRule="auto" w:line="240" w:before="100" w:after="0"/>
              <w:rPr/>
            </w:pPr>
            <w:r>
              <w:rPr/>
              <w:t>A number of Shares, as calculated by the Calculation Agent, equal to the Net-Share Settlement Amount divided by the Reference Price, provided that if the Reference Price is greater than or equal to the Strike Price, no number of Shares shall be delivered.  If the Counterparty elects net-share settlement of this Transaction and fails to comply with any aspect of the Registration Provisions set forth herein, the Reference Price shall be equal to the price determined by First Union in a commercially reasonable manner.  Counterparty acknowledges and agrees that if it delivers Shares to First Union which are not registered, the number of Shares to be delivered may be greater than the number of Shares that would be delivered if registration had occurred.</w:t>
            </w:r>
          </w:p>
        </w:tc>
      </w:tr>
      <w:tr>
        <w:trPr/>
        <w:tc>
          <w:tcPr>
            <w:tcW w:w="3960" w:type="dxa"/>
            <w:tcBorders/>
          </w:tcPr>
          <w:p>
            <w:pPr>
              <w:pStyle w:val="gt1"/>
              <w:spacing w:before="100" w:after="0"/>
              <w:ind w:start="1066" w:end="0"/>
              <w:jc w:val="start"/>
              <w:rPr/>
            </w:pPr>
            <w:r>
              <w:rPr/>
              <w:t>Net-Share Settlement Amount:</w:t>
            </w:r>
          </w:p>
        </w:tc>
        <w:tc>
          <w:tcPr>
            <w:tcW w:w="6660" w:type="dxa"/>
            <w:tcBorders/>
          </w:tcPr>
          <w:p>
            <w:pPr>
              <w:pStyle w:val="col2"/>
              <w:spacing w:lineRule="auto" w:line="240" w:before="100" w:after="0"/>
              <w:rPr/>
            </w:pPr>
            <w:r>
              <w:rPr/>
              <w:t>The product of the Number of Options multiplied by the Option Entitlement multiplied by the Strike Price Differential.</w:t>
            </w:r>
          </w:p>
        </w:tc>
      </w:tr>
      <w:tr>
        <w:trPr/>
        <w:tc>
          <w:tcPr>
            <w:tcW w:w="3960" w:type="dxa"/>
            <w:tcBorders/>
          </w:tcPr>
          <w:p>
            <w:pPr>
              <w:pStyle w:val="gt1"/>
              <w:spacing w:before="100" w:after="0"/>
              <w:ind w:start="1062" w:end="0"/>
              <w:rPr/>
            </w:pPr>
            <w:r>
              <w:rPr/>
              <w:t>Strike Price Differential:</w:t>
            </w:r>
          </w:p>
        </w:tc>
        <w:tc>
          <w:tcPr>
            <w:tcW w:w="6660" w:type="dxa"/>
            <w:tcBorders/>
          </w:tcPr>
          <w:p>
            <w:pPr>
              <w:pStyle w:val="col2"/>
              <w:spacing w:lineRule="auto" w:line="240" w:before="100" w:after="0"/>
              <w:rPr/>
            </w:pPr>
            <w:r>
              <w:rPr/>
              <w:t>An amount equal to the excess of the Strike Price over the Reference Price.</w:t>
            </w:r>
          </w:p>
        </w:tc>
      </w:tr>
      <w:tr>
        <w:trPr/>
        <w:tc>
          <w:tcPr>
            <w:tcW w:w="3960" w:type="dxa"/>
            <w:tcBorders/>
          </w:tcPr>
          <w:p>
            <w:pPr>
              <w:pStyle w:val="gt1"/>
              <w:spacing w:before="100" w:after="0"/>
              <w:ind w:start="1062" w:end="0"/>
              <w:rPr/>
            </w:pPr>
            <w:r>
              <w:rPr/>
              <w:t>Share Issue Limitation:</w:t>
            </w:r>
          </w:p>
        </w:tc>
        <w:tc>
          <w:tcPr>
            <w:tcW w:w="6660" w:type="dxa"/>
            <w:tcBorders/>
          </w:tcPr>
          <w:p>
            <w:pPr>
              <w:pStyle w:val="col2"/>
              <w:spacing w:lineRule="auto" w:line="240" w:before="100" w:after="0"/>
              <w:rPr/>
            </w:pPr>
            <w:r>
              <w:rPr/>
              <w:t xml:space="preserve">The number of Shares that may be issued at settlement by Counterparty will be limited to the total Shares authorized but not outstanding, reduced by the total amount of contingently issuable Shares.  In any event, the number of Shares issuable by Counterparty at settlement shall not exceed </w:t>
            </w:r>
            <w:r>
              <w:rPr>
                <w:color w:val="000000"/>
              </w:rPr>
              <w:t>4,000,000</w:t>
            </w:r>
            <w:r>
              <w:rPr/>
              <w:t xml:space="preserve"> Shares, as such number may be adjusted by the Calculation Agent in the event of any Potential Adjustment Event or Merger Event.</w:t>
            </w:r>
          </w:p>
        </w:tc>
      </w:tr>
      <w:tr>
        <w:trPr/>
        <w:tc>
          <w:tcPr>
            <w:tcW w:w="3960" w:type="dxa"/>
            <w:tcBorders/>
          </w:tcPr>
          <w:p>
            <w:pPr>
              <w:pStyle w:val="Normal"/>
              <w:spacing w:before="100" w:after="0"/>
              <w:ind w:firstLine="342" w:end="0"/>
              <w:rPr>
                <w:rFonts w:ascii="Times New Roman;Times New Roman" w:hAnsi="Times New Roman;Times New Roman" w:cs="Times New Roman;Times New Roman"/>
                <w:b/>
                <w:sz w:val="20"/>
              </w:rPr>
            </w:pPr>
            <w:r>
              <w:rPr>
                <w:rFonts w:cs="Times New Roman;Times New Roman" w:ascii="Times New Roman;Times New Roman" w:hAnsi="Times New Roman;Times New Roman"/>
                <w:sz w:val="20"/>
              </w:rPr>
              <w:t>Price Trigger Settlement:</w:t>
            </w:r>
          </w:p>
        </w:tc>
        <w:tc>
          <w:tcPr>
            <w:tcW w:w="6660" w:type="dxa"/>
            <w:tcBorders/>
          </w:tcPr>
          <w:p>
            <w:pPr>
              <w:pStyle w:val="BodyText0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0"/>
              <w:rPr>
                <w:rFonts w:ascii="Times New Roman;Times New Roman" w:hAnsi="Times New Roman;Times New Roman" w:cs="Times New Roman;Times New Roman"/>
                <w:sz w:val="20"/>
                <w:lang w:eastAsia="en-US"/>
              </w:rPr>
            </w:pPr>
            <w:r>
              <w:rPr>
                <w:rFonts w:cs="Times New Roman;Times New Roman" w:ascii="Times New Roman;Times New Roman" w:hAnsi="Times New Roman;Times New Roman"/>
                <w:sz w:val="20"/>
                <w:lang w:eastAsia="en-US"/>
              </w:rPr>
              <w:t xml:space="preserve">Upon the occurrence and continuation of a Price Trigger Event, First Union shall be entitled to terminate or cause settlement of this Transaction with respect to all or a portion of the Shares. First Union partial exercise of such right in connection with a Price Trigger Event shall not preclude later exercises with respect to the remaining portion of Shares. </w:t>
            </w:r>
          </w:p>
          <w:p>
            <w:pPr>
              <w:pStyle w:val="Normal"/>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If First Union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First Union by written notice of its election of Net Share Settlement within one (1) Business Day of the effective date of the Price Trigger Notice.</w:t>
            </w:r>
          </w:p>
          <w:p>
            <w:pPr>
              <w:pStyle w:val="Normal"/>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If Party A elects to terminate this Transaction, the Price Trigger Event shall constitute an Additional Termination Event with respect to Party B and Party B shall be the sole Affected Party.  "Price Trigger Event" means the closing price of a Share on the Exchange is [__] per Share or lower for [__] consecutive Exchange Business Days.</w:t>
            </w:r>
          </w:p>
          <w:p>
            <w:pPr>
              <w:pStyle w:val="Normal"/>
              <w:spacing w:before="100" w:after="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tc>
      </w:tr>
      <w:tr>
        <w:trPr/>
        <w:tc>
          <w:tcPr>
            <w:tcW w:w="3960" w:type="dxa"/>
            <w:tcBorders/>
          </w:tcPr>
          <w:p>
            <w:pPr>
              <w:pStyle w:val="gt1"/>
              <w:spacing w:before="100" w:after="0"/>
              <w:ind w:start="342" w:end="0"/>
              <w:rPr/>
            </w:pPr>
            <w:r>
              <w:rPr/>
              <w:t>Increased Costs:</w:t>
            </w:r>
          </w:p>
        </w:tc>
        <w:tc>
          <w:tcPr>
            <w:tcW w:w="6660" w:type="dxa"/>
            <w:tcBorders/>
          </w:tcPr>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If after the Trade Date any change in law or in the interpretation or application thereof or compliance by First Union with any request or directive (whether or not having the force of law) from any regulatory authority having jurisdiction over it shall increase carrying costs borne by First Union in connection with this Transaction then First Union shall adjust the Strike Price to compensate First Union for such additional costs incurred  </w:t>
            </w:r>
          </w:p>
          <w:p>
            <w:pPr>
              <w:pStyle w:val="Normal"/>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If First Union determines that any change in law or in the interpretation or application thereof regarding capital requirements applicable to banking institutions or their holding companies governed by the Federal Reserve Board or the Office of the Comptroller of the Currency has or would have the effect of reducing the rate of return on such institution’s capital or on the capital of such institution’s holding company, then if , as a consequence of such change and this Transaction, the rate of return to First Union or its holding company would be reduced to a level below that which First Union or First Union’s holding company could have achieved but for such change in law or in the interpretation or application thereof (taking into consideration First Union’s policies and the policies of First Union’s holding company with respect to capital adequacy), then from time to time First Union will adjust the Strike Price to compensate First Union or First Union’s holding company for any such reduction suffered.</w:t>
            </w:r>
          </w:p>
          <w:p>
            <w:pPr>
              <w:pStyle w:val="col2"/>
              <w:spacing w:lineRule="auto" w:line="240" w:before="100" w:after="0"/>
              <w:rPr>
                <w:rFonts w:ascii="Times New Roman;Times New Roman" w:hAnsi="Times New Roman;Times New Roman" w:cs="Times New Roman;Times New Roman"/>
                <w:sz w:val="20"/>
              </w:rPr>
            </w:pPr>
            <w:r>
              <w:rPr>
                <w:rFonts w:cs="Times New Roman;Times New Roman"/>
                <w:sz w:val="20"/>
              </w:rPr>
            </w:r>
          </w:p>
        </w:tc>
      </w:tr>
      <w:tr>
        <w:trPr/>
        <w:tc>
          <w:tcPr>
            <w:tcW w:w="3960" w:type="dxa"/>
            <w:tcBorders/>
          </w:tcPr>
          <w:p>
            <w:pPr>
              <w:pStyle w:val="gt1"/>
              <w:snapToGrid w:val="false"/>
              <w:spacing w:before="100" w:after="0"/>
              <w:ind w:start="342" w:end="0"/>
              <w:rPr>
                <w:sz w:val="20"/>
              </w:rPr>
            </w:pPr>
            <w:r>
              <w:rPr>
                <w:sz w:val="20"/>
              </w:rPr>
            </w:r>
          </w:p>
        </w:tc>
        <w:tc>
          <w:tcPr>
            <w:tcW w:w="6660" w:type="dxa"/>
            <w:tcBorders/>
          </w:tcPr>
          <w:p>
            <w:pPr>
              <w:pStyle w:val="col2"/>
              <w:snapToGrid w:val="false"/>
              <w:spacing w:lineRule="auto" w:line="240" w:before="100" w:after="0"/>
              <w:rPr/>
            </w:pPr>
            <w:r>
              <w:rPr/>
            </w:r>
          </w:p>
        </w:tc>
      </w:tr>
    </w:tbl>
    <w:p>
      <w:pPr>
        <w:pStyle w:val="Normal"/>
        <w:keepNext w:val="true"/>
        <w:keepLines/>
        <w:tabs>
          <w:tab w:val="left" w:pos="720" w:leader="none"/>
        </w:tabs>
        <w:rPr/>
      </w:pPr>
      <w:r>
        <w:rPr>
          <w:rFonts w:cs="Times New Roman;Times New Roman" w:ascii="Times New Roman;Times New Roman" w:hAnsi="Times New Roman;Times New Roman"/>
          <w:sz w:val="20"/>
        </w:rPr>
        <w:tab/>
      </w:r>
      <w:r>
        <w:rPr>
          <w:rFonts w:cs="Times New Roman;Times New Roman" w:ascii="Times New Roman;Times New Roman" w:hAnsi="Times New Roman;Times New Roman"/>
          <w:sz w:val="20"/>
          <w:u w:val="single"/>
        </w:rPr>
        <w:t>Adjustments</w:t>
      </w:r>
      <w:r>
        <w:rPr>
          <w:rFonts w:cs="Times New Roman;Times New Roman" w:ascii="Times New Roman;Times New Roman" w:hAnsi="Times New Roman;Times New Roman"/>
          <w:sz w:val="20"/>
        </w:rPr>
        <w:t>:</w:t>
      </w:r>
    </w:p>
    <w:p>
      <w:pPr>
        <w:pStyle w:val="Normal"/>
        <w:keepNext w:val="true"/>
        <w:keepLines/>
        <w:spacing w:lineRule="exact" w:line="244"/>
        <w:ind w:hanging="2880" w:start="360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r>
    </w:p>
    <w:p>
      <w:pPr>
        <w:pStyle w:val="Normal"/>
        <w:keepNext w:val="true"/>
        <w:keepLines/>
        <w:spacing w:lineRule="exact" w:line="244"/>
        <w:ind w:hanging="3600" w:start="432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rPr>
        <w:tab/>
        <w:t>Method of Adjustment:</w:t>
        <w:tab/>
        <w:tab/>
        <w:t>Calculation Agent Adjustment</w:t>
      </w:r>
    </w:p>
    <w:p>
      <w:pPr>
        <w:pStyle w:val="Normal"/>
        <w:keepNext w:val="true"/>
        <w:keepLines/>
        <w:spacing w:lineRule="exact" w:line="244"/>
        <w:ind w:hanging="2880" w:start="360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r>
    </w:p>
    <w:p>
      <w:pPr>
        <w:pStyle w:val="Normal"/>
        <w:keepNext w:val="true"/>
        <w:keepLines/>
        <w:spacing w:lineRule="exact" w:line="244"/>
        <w:ind w:firstLine="720" w:end="0"/>
        <w:jc w:val="both"/>
        <w:rPr/>
      </w:pPr>
      <w:r>
        <w:rPr>
          <w:rFonts w:cs="Times New Roman;Times New Roman" w:ascii="Times New Roman;Times New Roman" w:hAnsi="Times New Roman;Times New Roman"/>
          <w:sz w:val="20"/>
          <w:u w:val="single"/>
        </w:rPr>
        <w:t>Extraordinary Events</w:t>
      </w:r>
      <w:r>
        <w:rPr>
          <w:rFonts w:cs="Times New Roman;Times New Roman" w:ascii="Times New Roman;Times New Roman" w:hAnsi="Times New Roman;Times New Roman"/>
          <w:sz w:val="20"/>
        </w:rPr>
        <w:t>:</w:t>
      </w:r>
    </w:p>
    <w:p>
      <w:pPr>
        <w:pStyle w:val="Normal"/>
        <w:spacing w:lineRule="exact" w:line="244"/>
        <w:ind w:hanging="2880" w:start="360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r>
    </w:p>
    <w:p>
      <w:pPr>
        <w:pStyle w:val="Normal"/>
        <w:spacing w:lineRule="exact" w:line="244"/>
        <w:ind w:hanging="216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Consequences of Merger Events:</w:t>
      </w:r>
    </w:p>
    <w:p>
      <w:pPr>
        <w:pStyle w:val="Normal"/>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clear" w:pos="720"/>
          <w:tab w:val="left" w:pos="1890" w:leader="none"/>
        </w:tabs>
        <w:spacing w:lineRule="exact" w:line="244"/>
        <w:ind w:hanging="3600"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 Share-for-Share:</w:t>
        <w:tab/>
        <w:tab/>
        <w:t>Alternative Obligation</w:t>
      </w:r>
    </w:p>
    <w:p>
      <w:pPr>
        <w:pStyle w:val="Normal"/>
        <w:tabs>
          <w:tab w:val="clear" w:pos="720"/>
          <w:tab w:val="left" w:pos="1890" w:leader="none"/>
        </w:tabs>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clear" w:pos="720"/>
          <w:tab w:val="left" w:pos="1890" w:leader="none"/>
        </w:tabs>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(b) Share-for-Other:</w:t>
        <w:tab/>
        <w:tab/>
        <w:t>Alternative Obligation</w:t>
      </w:r>
    </w:p>
    <w:p>
      <w:pPr>
        <w:pStyle w:val="Normal"/>
        <w:tabs>
          <w:tab w:val="clear" w:pos="720"/>
          <w:tab w:val="left" w:pos="1890" w:leader="none"/>
        </w:tabs>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clear" w:pos="720"/>
          <w:tab w:val="left" w:pos="1890" w:leader="none"/>
        </w:tabs>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(c) Share-for-Combined:</w:t>
        <w:tab/>
        <w:t>Alternative Obligation</w:t>
      </w:r>
    </w:p>
    <w:p>
      <w:pPr>
        <w:pStyle w:val="Normal"/>
        <w:spacing w:lineRule="exact" w:line="244"/>
        <w:ind w:hanging="288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216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Nationalization or </w:t>
      </w:r>
    </w:p>
    <w:p>
      <w:pPr>
        <w:pStyle w:val="Normal"/>
        <w:spacing w:lineRule="exact" w:line="244"/>
        <w:ind w:hanging="2160" w:start="360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Insolvency:</w:t>
        <w:tab/>
        <w:tab/>
        <w:tab/>
        <w:t>Cancellation and Payment</w:t>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rFonts w:ascii="Times New Roman;Times New Roman" w:hAnsi="Times New Roman;Times New Roman" w:cs="Times New Roman;Times New Roman"/>
          <w:sz w:val="20"/>
          <w:u w:val="single"/>
          <w:lang w:val="en-GB"/>
        </w:rPr>
      </w:pPr>
      <w:r>
        <w:rPr>
          <w:rFonts w:cs="Times New Roman;Times New Roman" w:ascii="Times New Roman;Times New Roman" w:hAnsi="Times New Roman;Times New Roman"/>
          <w:sz w:val="20"/>
          <w:u w:val="single"/>
          <w:lang w:val="en-GB"/>
        </w:rPr>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pPr>
      <w:r>
        <w:rPr>
          <w:rFonts w:cs="Times New Roman;Times New Roman" w:ascii="Times New Roman;Times New Roman" w:hAnsi="Times New Roman;Times New Roman"/>
          <w:sz w:val="20"/>
          <w:u w:val="single"/>
          <w:lang w:val="en-GB"/>
        </w:rPr>
        <w:t>Calculation Agent</w:t>
      </w:r>
      <w:r>
        <w:rPr>
          <w:rFonts w:cs="Times New Roman;Times New Roman" w:ascii="Times New Roman;Times New Roman" w:hAnsi="Times New Roman;Times New Roman"/>
          <w:sz w:val="20"/>
          <w:lang w:val="en-GB"/>
        </w:rPr>
        <w:t xml:space="preserve">:  </w:t>
        <w:tab/>
        <w:tab/>
        <w:tab/>
        <w:t>First Union</w:t>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rFonts w:ascii="Times New Roman;Times New Roman" w:hAnsi="Times New Roman;Times New Roman" w:cs="Times New Roman;Times New Roman"/>
          <w:sz w:val="20"/>
          <w:u w:val="single"/>
          <w:lang w:val="en-GB"/>
        </w:rPr>
      </w:pPr>
      <w:r>
        <w:rPr>
          <w:rFonts w:cs="Times New Roman;Times New Roman" w:ascii="Times New Roman;Times New Roman" w:hAnsi="Times New Roman;Times New Roman"/>
          <w:sz w:val="20"/>
          <w:u w:val="single"/>
          <w:lang w:val="en-GB"/>
        </w:rPr>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pPr>
      <w:r>
        <w:rPr>
          <w:rFonts w:cs="Times New Roman;Times New Roman" w:ascii="Times New Roman;Times New Roman" w:hAnsi="Times New Roman;Times New Roman"/>
          <w:sz w:val="20"/>
          <w:u w:val="single"/>
          <w:lang w:val="en-GB"/>
        </w:rPr>
        <w:t>Governing Law</w:t>
      </w:r>
      <w:r>
        <w:rPr>
          <w:rFonts w:cs="Times New Roman;Times New Roman" w:ascii="Times New Roman;Times New Roman" w:hAnsi="Times New Roman;Times New Roman"/>
          <w:sz w:val="20"/>
          <w:lang w:val="en-GB"/>
        </w:rPr>
        <w:t>:</w:t>
        <w:tab/>
        <w:tab/>
        <w:tab/>
        <w:tab/>
        <w:t>New York Law, without reference to choice of law doctrine.</w:t>
      </w:r>
    </w:p>
    <w:p>
      <w:pPr>
        <w:pStyle w:val="Normal"/>
        <w:tabs>
          <w:tab w:val="clear" w:pos="720"/>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 w:val="left" w:pos="10800" w:leader="none"/>
        </w:tabs>
        <w:ind w:start="720" w:end="0"/>
        <w:jc w:val="both"/>
        <w:rPr>
          <w:rFonts w:ascii="Times New Roman;Times New Roman" w:hAnsi="Times New Roman;Times New Roman" w:cs="Times New Roman;Times New Roman"/>
          <w:sz w:val="20"/>
          <w:lang w:val="en-GB"/>
        </w:rPr>
      </w:pPr>
      <w:r>
        <w:rPr>
          <w:rFonts w:cs="Times New Roman;Times New Roman" w:ascii="Times New Roman;Times New Roman" w:hAnsi="Times New Roman;Times New Roman"/>
          <w:sz w:val="20"/>
          <w:lang w:val="en-GB"/>
        </w:rPr>
      </w:r>
    </w:p>
    <w:p>
      <w:pPr>
        <w:pStyle w:val="Normal"/>
        <w:spacing w:before="100" w:after="0"/>
        <w:ind w:hanging="3600" w:start="4320" w:end="0"/>
        <w:jc w:val="both"/>
        <w:rPr/>
      </w:pPr>
      <w:r>
        <w:rPr>
          <w:rFonts w:cs="Times New Roman;Times New Roman" w:ascii="Times New Roman;Times New Roman" w:hAnsi="Times New Roman;Times New Roman"/>
          <w:sz w:val="20"/>
          <w:u w:val="single"/>
        </w:rPr>
        <w:t>Early Termination</w:t>
      </w:r>
      <w:r>
        <w:rPr>
          <w:rFonts w:cs="Times New Roman;Times New Roman" w:ascii="Times New Roman;Times New Roman" w:hAnsi="Times New Roman;Times New Roman"/>
          <w:sz w:val="20"/>
          <w:lang w:val="en-GB"/>
        </w:rPr>
        <w:t xml:space="preserve">: </w:t>
        <w:tab/>
        <w:tab/>
        <w:tab/>
        <w:t>For purposes of determining the Settlement Amount under Section 6(e) of the Master Agreement, “Second Method” and “Loss” shall apply.</w:t>
      </w:r>
      <w:r>
        <w:rPr>
          <w:rFonts w:cs="Times New Roman;Times New Roman" w:ascii="Times New Roman;Times New Roman" w:hAnsi="Times New Roman;Times New Roman"/>
          <w:sz w:val="20"/>
        </w:rPr>
        <w:t xml:space="preserve"> Notwithstanding any provision to the contrary, upon the designation of an Early Termination Date hereunder, a party's payment obligation in respect of this Terminated Transaction (the "Transaction Early Termination Amount") may, at the option of Counterparty, be satisfied by the party owing such amount by the delivery of a number of Shares equal to the Early Termination Amount divided by the Termination Price (the "Early Termination Share Settlement"); </w:t>
      </w:r>
      <w:r>
        <w:rPr>
          <w:rFonts w:cs="Times New Roman;Times New Roman" w:ascii="Times New Roman;Times New Roman" w:hAnsi="Times New Roman;Times New Roman"/>
          <w:sz w:val="20"/>
          <w:u w:val="single"/>
        </w:rPr>
        <w:t>provided</w:t>
      </w:r>
      <w:r>
        <w:rPr>
          <w:rFonts w:cs="Times New Roman;Times New Roman" w:ascii="Times New Roman;Times New Roman" w:hAnsi="Times New Roman;Times New Roman"/>
          <w:sz w:val="20"/>
        </w:rPr>
        <w:t xml:space="preserve"> </w:t>
      </w:r>
      <w:r>
        <w:rPr>
          <w:rFonts w:cs="Times New Roman;Times New Roman" w:ascii="Times New Roman;Times New Roman" w:hAnsi="Times New Roman;Times New Roman"/>
          <w:sz w:val="20"/>
          <w:u w:val="single"/>
        </w:rPr>
        <w:t>however</w:t>
      </w:r>
      <w:r>
        <w:rPr>
          <w:rFonts w:cs="Times New Roman;Times New Roman" w:ascii="Times New Roman;Times New Roman" w:hAnsi="Times New Roman;Times New Roman"/>
          <w:sz w:val="20"/>
        </w:rPr>
        <w:t>, that Counterparty must notify First Union of its election of Early Termination Share Settlement by the close of business on the day that the notice designating the Early Termination Date is effective.</w:t>
      </w:r>
    </w:p>
    <w:p>
      <w:pPr>
        <w:pStyle w:val="Normal"/>
        <w:spacing w:before="100" w:after="0"/>
        <w:ind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"Termination Price" means:</w:t>
      </w:r>
    </w:p>
    <w:p>
      <w:pPr>
        <w:pStyle w:val="Normal"/>
        <w:numPr>
          <w:ilvl w:val="0"/>
          <w:numId w:val="2"/>
        </w:numPr>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where First Union is the party receiving delivery of Shares, (x) the bid price per Share as quoted by the Exchange at the Valuation Time on the date specified in the notice delivered pursuant to Section 6(d)(i) of the Master Agreement (the “Calculation Notice”), or (y) the Shares delivered in connection with the Early Termination Net Share Settlement are not fully registered and freely tradable and free and clear of any lien, charge, claim or other encumbrance or the Counterparty has not otherwise complied with the Registration Provisions set forth herein, the price determined by First Union in a commercially reasonable manner, and </w:t>
      </w:r>
    </w:p>
    <w:p>
      <w:pPr>
        <w:pStyle w:val="Normal"/>
        <w:numPr>
          <w:ilvl w:val="0"/>
          <w:numId w:val="2"/>
        </w:numPr>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(ii) where Counterparty is the party receiving delivery of Shares, the bid prices per Share as quoted by the Exchange at the Valuation Time on the date specified in the Calculation Notice.  </w:t>
      </w:r>
    </w:p>
    <w:p>
      <w:pPr>
        <w:pStyle w:val="Normal"/>
        <w:spacing w:before="100" w:after="0"/>
        <w:ind w:start="4320" w:end="0"/>
        <w:jc w:val="both"/>
        <w:rPr/>
      </w:pPr>
      <w:r>
        <w:rPr>
          <w:rFonts w:cs="Times New Roman;Times New Roman" w:ascii="Times New Roman;Times New Roman" w:hAnsi="Times New Roman;Times New Roman"/>
          <w:sz w:val="20"/>
        </w:rPr>
        <w:t>A number of Shares calculated as being due in respect of any Early Termination Share Settlement will be deliverable on the third Exchange Business Day following the date that the Calculation Notice (specifying the number of Shares deliverable) is effective (the "Early Termination Share Settlement Payment Date").  Any fractional Share shall be multiplied by the Termination Price and paid in cash to First Union on the Early Termination Share Settlement Payment Date. Section 6(d)(i) of the Master Agreement is hereby amended by adding the following</w:t>
      </w:r>
      <w:r>
        <w:rPr>
          <w:sz w:val="20"/>
        </w:rPr>
        <w:t xml:space="preserve"> words </w:t>
      </w:r>
      <w:r>
        <w:rPr>
          <w:rFonts w:cs="Times New Roman;Times New Roman" w:ascii="Times New Roman;Times New Roman" w:hAnsi="Times New Roman;Times New Roman"/>
          <w:sz w:val="20"/>
        </w:rPr>
        <w:t>after the word "paid" in the 5</w:t>
      </w:r>
      <w:r>
        <w:rPr>
          <w:rFonts w:cs="Times New Roman;Times New Roman" w:ascii="Times New Roman;Times New Roman" w:hAnsi="Times New Roman;Times New Roman"/>
          <w:sz w:val="20"/>
          <w:vertAlign w:val="superscript"/>
        </w:rPr>
        <w:t>th</w:t>
      </w:r>
      <w:r>
        <w:rPr>
          <w:rFonts w:cs="Times New Roman;Times New Roman" w:ascii="Times New Roman;Times New Roman" w:hAnsi="Times New Roman;Times New Roman"/>
          <w:sz w:val="20"/>
        </w:rPr>
        <w:t xml:space="preserve"> line thereof: "or any delivery is to be made, as applicable".  Counterparty understands and acknowledges that the Termination Price may be lower if (i) the Shares to be delivered under Early Termination Net Share Settlement are not registered under a registration statement and freely tradable or (ii) if the parties are unable to enter into an Underwriting Agreement as requested by First Union.</w:t>
      </w:r>
    </w:p>
    <w:p>
      <w:pPr>
        <w:pStyle w:val="Normal"/>
        <w:spacing w:before="100" w:after="0"/>
        <w:ind w:start="43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tbl>
      <w:tblPr>
        <w:tblW w:w="10620" w:type="dxa"/>
        <w:jc w:val="start"/>
        <w:tblInd w:w="378" w:type="dxa"/>
        <w:tblLayout w:type="fixed"/>
        <w:tblCellMar>
          <w:top w:w="0" w:type="dxa"/>
          <w:start w:w="108" w:type="dxa"/>
          <w:bottom w:w="0" w:type="dxa"/>
          <w:end w:w="108" w:type="dxa"/>
        </w:tblCellMar>
      </w:tblPr>
      <w:tblGrid>
        <w:gridCol w:w="3960"/>
        <w:gridCol w:w="6660"/>
      </w:tblGrid>
      <w:tr>
        <w:trPr/>
        <w:tc>
          <w:tcPr>
            <w:tcW w:w="3960" w:type="dxa"/>
            <w:tcBorders/>
          </w:tcPr>
          <w:p>
            <w:pPr>
              <w:pStyle w:val="Normal"/>
              <w:spacing w:before="100" w:after="0"/>
              <w:ind w:start="360" w:end="0"/>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t>Registration Provisions:</w:t>
            </w:r>
          </w:p>
        </w:tc>
        <w:tc>
          <w:tcPr>
            <w:tcW w:w="6660" w:type="dxa"/>
            <w:tcBorders/>
          </w:tcPr>
          <w:p>
            <w:pPr>
              <w:pStyle w:val="Normal"/>
              <w:spacing w:before="120" w:after="0"/>
              <w:ind w:hanging="18" w:end="0"/>
              <w:jc w:val="both"/>
              <w:rPr/>
            </w:pPr>
            <w:r>
              <w:rPr>
                <w:rFonts w:cs="Times New Roman;Times New Roman" w:ascii="Times New Roman;Times New Roman" w:hAnsi="Times New Roman;Times New Roman"/>
                <w:sz w:val="20"/>
              </w:rPr>
              <w:t xml:space="preserve">If Counterparty elects Net-Share Settlement or to deliver Shares in connection with an Early Termination Share Settlement, at the time of such Settlement, Counterparty shall make a registration statement available to First Union for the registration of Shares actually delivered and all other Shares sold by First Union arising from such settlement for resale, which registration statement shall be effective at all times from and including the date that (i) in the case of Net Share Settlement, is ten Exchange Business Days prior to the Valuation Date and (ii) in the case of an Early Termination Share Settlement, is the </w:t>
            </w:r>
            <w:r>
              <w:rPr>
                <w:sz w:val="20"/>
              </w:rPr>
              <w:t>Early Termination Share Settlement Payment Date,</w:t>
            </w:r>
            <w:r>
              <w:rPr>
                <w:rFonts w:cs="Times New Roman;Times New Roman" w:ascii="Times New Roman;Times New Roman" w:hAnsi="Times New Roman;Times New Roman"/>
                <w:sz w:val="20"/>
              </w:rPr>
              <w:t xml:space="preserve"> to and including the date that First Union or its affiliate(s) has finally sold any Shares hereunder.  </w:t>
            </w:r>
          </w:p>
          <w:p>
            <w:pPr>
              <w:pStyle w:val="Normal"/>
              <w:spacing w:before="120" w:after="0"/>
              <w:ind w:hanging="18" w:end="0"/>
              <w:jc w:val="both"/>
              <w:rPr/>
            </w:pPr>
            <w:r>
              <w:rPr>
                <w:rFonts w:cs="Times New Roman;Times New Roman" w:ascii="Times New Roman;Times New Roman" w:hAnsi="Times New Roman;Times New Roman"/>
                <w:sz w:val="20"/>
              </w:rPr>
              <w:t>In connection with any delivery of Shares at the request of First Union, First Union, or any nationally recognized underwriter selected by it and reasonably acceptable</w:t>
            </w:r>
            <w:r>
              <w:rPr>
                <w:rFonts w:cs="Times New Roman;Times New Roman" w:ascii="Times New Roman;Times New Roman" w:hAnsi="Times New Roman;Times New Roman"/>
                <w:b/>
                <w:sz w:val="20"/>
                <w:u w:val="single"/>
              </w:rPr>
              <w:t xml:space="preserve"> </w:t>
            </w:r>
            <w:r>
              <w:rPr>
                <w:rFonts w:cs="Times New Roman;Times New Roman" w:ascii="Times New Roman;Times New Roman" w:hAnsi="Times New Roman;Times New Roman"/>
                <w:sz w:val="20"/>
              </w:rPr>
              <w:t>to the Counterparty</w:t>
            </w:r>
            <w:r>
              <w:rPr>
                <w:rFonts w:cs="Times New Roman;Times New Roman" w:ascii="Times New Roman;Times New Roman" w:hAnsi="Times New Roman;Times New Roman"/>
                <w:b/>
                <w:sz w:val="20"/>
                <w:u w:val="single"/>
              </w:rPr>
              <w:t>,</w:t>
            </w:r>
            <w:r>
              <w:rPr>
                <w:rFonts w:cs="Times New Roman;Times New Roman" w:ascii="Times New Roman;Times New Roman" w:hAnsi="Times New Roman;Times New Roman"/>
                <w:sz w:val="20"/>
              </w:rPr>
              <w:t xml:space="preserve"> and the Counterparty shall enter into an agreement (the “Underwriting Agreement”) on reasonable and customary underwriting terms, including but not limited to, indemnification and contribution, and the delivery of (i) an opinion of counsel for the Counterparty in a form reasonably acceptable to First Union or the Underwriter and (ii) a “cold comfort” letter signed by the independent public accountants who have issued a report on the Counterparty’s financial statements included in the registration statement, covering substantially the same matters with respect to such securities and the offering, sale and issuance thereof as are customarily covered in opinions of issuer’s counsel and in accountants’ letters delivered to underwriters in underwritten public offerings of securities, and, in the case of the accountants’ letter, such other financial matters as First Union or the underwriter may have reasonably requested</w:t>
            </w:r>
            <w:r>
              <w:rPr>
                <w:rFonts w:cs="Times New Roman;Times New Roman" w:ascii="Times New Roman;Times New Roman" w:hAnsi="Times New Roman;Times New Roman"/>
                <w:b/>
                <w:sz w:val="20"/>
              </w:rPr>
              <w:t xml:space="preserve"> </w:t>
            </w:r>
            <w:r>
              <w:rPr>
                <w:rFonts w:cs="Times New Roman;Times New Roman" w:ascii="Times New Roman;Times New Roman" w:hAnsi="Times New Roman;Times New Roman"/>
                <w:sz w:val="20"/>
              </w:rPr>
              <w:t>and shall allow such underwriter to complete a customary “due diligence” review of the Counterparty</w:t>
            </w:r>
            <w:r>
              <w:rPr>
                <w:rFonts w:cs="Times New Roman;Times New Roman" w:ascii="Times New Roman;Times New Roman" w:hAnsi="Times New Roman;Times New Roman"/>
                <w:b/>
                <w:sz w:val="20"/>
                <w:u w:val="single"/>
              </w:rPr>
              <w:t>.</w:t>
            </w:r>
            <w:r>
              <w:rPr>
                <w:rFonts w:cs="Times New Roman;Times New Roman" w:ascii="Times New Roman;Times New Roman" w:hAnsi="Times New Roman;Times New Roman"/>
                <w:sz w:val="20"/>
              </w:rPr>
              <w:t xml:space="preserve">  In addition, Counterparty shall have registered or qualified the securities under securities or “blue sky” laws of such states or other jurisdictions in the United States and Puerto Rico that First Union or any underwriter shall have reasonably requested</w:t>
            </w:r>
            <w:r>
              <w:rPr>
                <w:rFonts w:cs="Times New Roman;Times New Roman" w:ascii="Times New Roman;Times New Roman" w:hAnsi="Times New Roman;Times New Roman"/>
                <w:b/>
                <w:sz w:val="20"/>
              </w:rPr>
              <w:t>.</w:t>
            </w:r>
          </w:p>
          <w:p>
            <w:pPr>
              <w:pStyle w:val="Normal"/>
              <w:spacing w:before="120" w:after="0"/>
              <w:ind w:hanging="18"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Counterparty shall have caused such Shares to be registered with or approved by such other governmental agencies or authorities in the United States as may be necessary to enable First Union or any underwriter to consummate the disposition of such Shares.  </w:t>
            </w:r>
          </w:p>
          <w:p>
            <w:pPr>
              <w:pStyle w:val="Normal"/>
              <w:spacing w:before="120" w:after="0"/>
              <w:ind w:hanging="18"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Counterparty shall have all such securities to be listed on the Exchange and on each securities exchange on which similar securities issued by Counterparty are then listed</w:t>
            </w:r>
          </w:p>
          <w:p>
            <w:pPr>
              <w:pStyle w:val="Normal"/>
              <w:spacing w:before="120" w:after="0"/>
              <w:ind w:hanging="18"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Counterparty shall pay all reasonable costs and expenses incurred in connection with the foregoing.</w:t>
            </w:r>
          </w:p>
          <w:p>
            <w:pPr>
              <w:pStyle w:val="Normal"/>
              <w:spacing w:before="120" w:after="0"/>
              <w:ind w:hanging="18"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Counterparty will not be required to make a registration statement available or register or qualify the shares under state securities or blue sky laws or enter into the Underwriting Agreement if, in the unqualified written opinion of counsel for Counterparty reasonably acceptable to First Union, no registration under the Securities Act of 1933, as amended, and registration or qualification under state securities or blue sky laws is required for resales. Such opinion shall be provided to First Union and shall state that First Union is entitled to rely thereon; Counterparty shall indemnify First Union from any liabilities, costs and expenses incurred by First Union in effecting any resales without registration in reliance on such opinion.</w:t>
            </w:r>
          </w:p>
          <w:p>
            <w:pPr>
              <w:pStyle w:val="BodyTextIndent"/>
              <w:ind w:start="0" w:end="0"/>
              <w:rPr>
                <w:rFonts w:ascii="Times New Roman;Times New Roman" w:hAnsi="Times New Roman;Times New Roman" w:cs="Times New Roman;Times New Roman"/>
                <w:sz w:val="20"/>
              </w:rPr>
            </w:pPr>
            <w:r>
              <w:rPr>
                <w:rFonts w:cs="Times New Roman;Times New Roman"/>
                <w:sz w:val="20"/>
              </w:rPr>
            </w:r>
          </w:p>
        </w:tc>
      </w:tr>
      <w:tr>
        <w:trPr>
          <w:trHeight w:val="3240" w:hRule="atLeast"/>
        </w:trPr>
        <w:tc>
          <w:tcPr>
            <w:tcW w:w="3960" w:type="dxa"/>
            <w:tcBorders/>
          </w:tcPr>
          <w:p>
            <w:pPr>
              <w:pStyle w:val="gt1"/>
              <w:tabs>
                <w:tab w:val="clear" w:pos="720"/>
                <w:tab w:val="left" w:pos="342" w:leader="none"/>
              </w:tabs>
              <w:spacing w:before="100" w:after="0"/>
              <w:ind w:start="342" w:end="0"/>
              <w:rPr>
                <w:u w:val="single"/>
              </w:rPr>
            </w:pPr>
            <w:r>
              <w:rPr>
                <w:u w:val="single"/>
              </w:rPr>
              <w:t>Indemnification:</w:t>
            </w:r>
          </w:p>
        </w:tc>
        <w:tc>
          <w:tcPr>
            <w:tcW w:w="6660" w:type="dxa"/>
            <w:tcBorders/>
          </w:tcPr>
          <w:p>
            <w:pPr>
              <w:pStyle w:val="col2"/>
              <w:keepNext w:val="true"/>
              <w:keepLines/>
              <w:spacing w:lineRule="auto" w:line="240" w:before="0" w:after="0"/>
              <w:rPr/>
            </w:pPr>
            <w:r>
              <w:rPr/>
              <w:t>If First Union or any of its affiliates or the respective directors, officers, partners, agents, or employees of First Union or any of its affiliates (collectively, “Indemnified Persons”) becomes involved in any capacity in any action, claim, suit, investigation or proceeding, actual or threatened, in connection with, based upon or as a result of First Union conducting any sales of shares received from the Counterparty hereunder, other than in connection with a registration statement, the Counterparty shall promptly reimburse such Indemnified Person for all of its reasonable legal and other costs and expenses incurred in connection therewith as such costs and expenses are incurred and the Counterparty shall also fully indemnify and hold harmless any Indemnified Person from any losses, claims, damages or liabilities (including, without limitation, actions or proceedings in respect thereof) arising out of or relating to any such sales of shares received from the Counterparty hereunder, by First Union.</w:t>
            </w:r>
          </w:p>
        </w:tc>
      </w:tr>
      <w:tr>
        <w:trPr>
          <w:trHeight w:val="4590" w:hRule="atLeast"/>
        </w:trPr>
        <w:tc>
          <w:tcPr>
            <w:tcW w:w="3960" w:type="dxa"/>
            <w:tcBorders/>
          </w:tcPr>
          <w:p>
            <w:pPr>
              <w:pStyle w:val="gt1"/>
              <w:tabs>
                <w:tab w:val="clear" w:pos="720"/>
                <w:tab w:val="left" w:pos="342" w:leader="none"/>
              </w:tabs>
              <w:spacing w:before="100" w:after="0"/>
              <w:ind w:start="342" w:end="0"/>
              <w:rPr>
                <w:u w:val="single"/>
              </w:rPr>
            </w:pPr>
            <w:r>
              <w:rPr>
                <w:u w:val="single"/>
              </w:rPr>
              <w:t>Set-Off</w:t>
            </w:r>
          </w:p>
        </w:tc>
        <w:tc>
          <w:tcPr>
            <w:tcW w:w="6660" w:type="dxa"/>
            <w:tcBorders/>
          </w:tcPr>
          <w:p>
            <w:pPr>
              <w:pStyle w:val="col2"/>
              <w:spacing w:lineRule="auto" w:line="240" w:before="0" w:after="0"/>
              <w:rPr/>
            </w:pPr>
            <w:r>
              <w:rPr/>
              <w:t>Section 6 of the Master Agreement is hereby amended by inserting the following as new subsection 6(f):</w:t>
            </w:r>
          </w:p>
          <w:p>
            <w:pPr>
              <w:pStyle w:val="col2"/>
              <w:spacing w:lineRule="auto" w:line="240" w:before="100" w:after="0"/>
              <w:rPr/>
            </w:pPr>
            <w:r>
              <w:rPr/>
              <w:t>(f) Set-off.  Without affecting the provisions of this Agreement or any specific Transaction requiring the calculation of certain net payment amounts, all payments under this Agreement will be made without setoff or counterclaim.</w:t>
            </w:r>
          </w:p>
          <w:p>
            <w:pPr>
              <w:pStyle w:val="col2"/>
              <w:spacing w:lineRule="auto" w:line="240" w:before="120" w:after="0"/>
              <w:rPr/>
            </w:pPr>
            <w:r>
              <w:rPr/>
              <w:t>Notwithstanding Sections 6(e) and 7(f) of this Agreement, in no event shall either First Union or Counterparty be entitled to net or set-off (whether by counterclaim or otherwise) its payment or delivery obligations under this Agreement or any Transaction hereunder against the payment or delivery obligations of the other party other than payment or delivery obligations of the other party under this Agreement and Transactions hereunder.  It being the intention of the parties that their respective payment and delivery obligations under this Agreement and all Transactions hereunder be treated separate and apart from all other transactions, liabilities, obligations and payments. Therefore, in the event of any early Termination Date, amounts payable under Section 6 of the Agreement with respect to this Agreement and the Transactions hereunder shall be determined and calculated separately from other amounts payable under the Agreement and shall be a separate obligation to be paid under Section 6 of the Agreement.</w:t>
            </w:r>
          </w:p>
        </w:tc>
      </w:tr>
      <w:tr>
        <w:trPr/>
        <w:tc>
          <w:tcPr>
            <w:tcW w:w="3960" w:type="dxa"/>
            <w:tcBorders/>
          </w:tcPr>
          <w:p>
            <w:pPr>
              <w:pStyle w:val="Normal"/>
              <w:spacing w:before="120" w:after="0"/>
              <w:ind w:start="360" w:end="0"/>
              <w:rPr/>
            </w:pPr>
            <w:r>
              <w:rPr>
                <w:rFonts w:cs="Times New Roman;Times New Roman" w:ascii="Times New Roman;Times New Roman" w:hAnsi="Times New Roman;Times New Roman"/>
                <w:sz w:val="20"/>
                <w:u w:val="single"/>
              </w:rPr>
              <w:t>Counterparty Representations</w:t>
            </w:r>
            <w:r>
              <w:rPr>
                <w:rFonts w:cs="Times New Roman;Times New Roman" w:ascii="Times New Roman;Times New Roman" w:hAnsi="Times New Roman;Times New Roman"/>
                <w:sz w:val="20"/>
              </w:rPr>
              <w:t>:</w:t>
            </w:r>
          </w:p>
        </w:tc>
        <w:tc>
          <w:tcPr>
            <w:tcW w:w="6660" w:type="dxa"/>
            <w:tcBorders/>
          </w:tcPr>
          <w:p>
            <w:pPr>
              <w:pStyle w:val="BodyText3"/>
              <w:spacing w:before="120" w:after="0"/>
              <w:jc w:val="both"/>
              <w:rPr>
                <w:b w:val="false"/>
                <w:sz w:val="20"/>
              </w:rPr>
            </w:pPr>
            <w:r>
              <w:rPr>
                <w:b w:val="false"/>
                <w:sz w:val="20"/>
              </w:rPr>
              <w:t>Counterparty represents that any registration statement it files pursuant to Rule 415 under the Securities Act of 1933, as amended, and any prospectus delivered to First Union in connection with sales made under such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3"/>
              <w:jc w:val="both"/>
              <w:rPr>
                <w:b w:val="false"/>
                <w:sz w:val="20"/>
              </w:rPr>
            </w:pPr>
            <w:r>
              <w:rPr>
                <w:b w:val="false"/>
                <w:sz w:val="20"/>
              </w:rPr>
            </w:r>
          </w:p>
          <w:p>
            <w:pPr>
              <w:pStyle w:val="BodyText3"/>
              <w:jc w:val="both"/>
              <w:rPr>
                <w:b w:val="false"/>
                <w:sz w:val="20"/>
              </w:rPr>
            </w:pPr>
            <w:r>
              <w:rPr>
                <w:b w:val="false"/>
                <w:sz w:val="20"/>
              </w:rPr>
              <w:t>Counterparty shall have reserved and have available, free from pre-emptive rights, out of its authorized and issued but not outstanding capital stock, the full number of Shares that would then be deliverable hereunder.  Upon such delivery, such Shares will be duly and validly authorized, issued and outstanding, fully paid and non-assessable and free of adverse claims, charges or other encumbrances.  It has not entered into any obligation that would contractually limit it from effecting Physical Settlement or Net Share Settlement under this Transaction and it agrees not to enter into any such obligation during the term of this Transaction.</w:t>
            </w:r>
          </w:p>
          <w:p>
            <w:pPr>
              <w:pStyle w:val="BodyText3"/>
              <w:jc w:val="both"/>
              <w:rPr>
                <w:b w:val="false"/>
                <w:sz w:val="20"/>
              </w:rPr>
            </w:pPr>
            <w:r>
              <w:rPr>
                <w:b w:val="false"/>
                <w:sz w:val="20"/>
              </w:rPr>
            </w:r>
          </w:p>
          <w:p>
            <w:pPr>
              <w:pStyle w:val="BodyText3"/>
              <w:keepNext w:val="true"/>
              <w:keepLines/>
              <w:jc w:val="both"/>
              <w:rPr>
                <w:b w:val="false"/>
                <w:sz w:val="20"/>
              </w:rPr>
            </w:pPr>
            <w:r>
              <w:rPr>
                <w:b w:val="false"/>
                <w:sz w:val="2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tc>
      </w:tr>
    </w:tbl>
    <w:p>
      <w:pPr>
        <w:pStyle w:val="Normal"/>
        <w:spacing w:lineRule="exact" w:line="244"/>
        <w:ind w:start="720" w:end="0"/>
        <w:jc w:val="both"/>
        <w:rPr>
          <w:rFonts w:ascii="Times New Roman;Times New Roman" w:hAnsi="Times New Roman;Times New Roman" w:cs="Times New Roman;Times New Roman"/>
          <w:sz w:val="20"/>
          <w:u w:val="single"/>
        </w:rPr>
      </w:pPr>
      <w:r>
        <w:rPr>
          <w:rFonts w:cs="Times New Roman;Times New Roman" w:ascii="Times New Roman;Times New Roman" w:hAnsi="Times New Roman;Times New Roman"/>
          <w:sz w:val="20"/>
          <w:u w:val="single"/>
        </w:rPr>
      </w:r>
    </w:p>
    <w:p>
      <w:pPr>
        <w:pStyle w:val="Normal"/>
        <w:tabs>
          <w:tab w:val="clear" w:pos="720"/>
          <w:tab w:val="left" w:pos="-1440" w:leader="none"/>
        </w:tabs>
        <w:spacing w:lineRule="exact" w:line="244"/>
        <w:ind w:start="720" w:end="0"/>
        <w:jc w:val="both"/>
        <w:rPr/>
      </w:pPr>
      <w:r>
        <w:rPr>
          <w:rFonts w:cs="Times New Roman;Times New Roman" w:ascii="Times New Roman;Times New Roman" w:hAnsi="Times New Roman;Times New Roman"/>
          <w:sz w:val="20"/>
          <w:u w:val="single"/>
        </w:rPr>
        <w:t>Payments to First Union</w:t>
      </w:r>
      <w:r>
        <w:rPr>
          <w:rFonts w:cs="Times New Roman;Times New Roman" w:ascii="Times New Roman;Times New Roman" w:hAnsi="Times New Roman;Times New Roman"/>
          <w:sz w:val="20"/>
        </w:rPr>
        <w:t>:</w:t>
        <w:tab/>
        <w:tab/>
        <w:tab/>
        <w:t>First Union Charlotte</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ab/>
        <w:t>Capital Markets</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ab/>
        <w:t>Attention: Derivatives Desk</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ab/>
        <w:t>Fed. ABA No.  053000219</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ab/>
        <w:tab/>
        <w:tab/>
        <w:tab/>
        <w:t>Ref: Equity Derivatives</w:t>
      </w:r>
    </w:p>
    <w:p>
      <w:pPr>
        <w:pStyle w:val="Normal"/>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spacing w:lineRule="exact" w:line="244"/>
        <w:ind w:hanging="3600" w:start="4320" w:end="0"/>
        <w:jc w:val="both"/>
        <w:rPr/>
      </w:pPr>
      <w:r>
        <w:rPr>
          <w:rFonts w:cs="Times New Roman;Times New Roman" w:ascii="Times New Roman;Times New Roman" w:hAnsi="Times New Roman;Times New Roman"/>
          <w:sz w:val="20"/>
          <w:u w:val="single"/>
        </w:rPr>
        <w:t>Payments to Counterparty</w:t>
      </w:r>
      <w:r>
        <w:rPr>
          <w:rFonts w:cs="Times New Roman;Times New Roman" w:ascii="Times New Roman;Times New Roman" w:hAnsi="Times New Roman;Times New Roman"/>
          <w:sz w:val="20"/>
        </w:rPr>
        <w:t>:</w:t>
        <w:tab/>
        <w:tab/>
        <w:tab/>
        <w:t>Please forward payment instructions to First Union in Charlotte, NC. Payments will not be made to Counterparty without its instructions.</w:t>
      </w:r>
    </w:p>
    <w:p>
      <w:pPr>
        <w:pStyle w:val="Heading4"/>
        <w:tabs>
          <w:tab w:val="left" w:pos="720" w:leader="none"/>
        </w:tabs>
        <w:ind w:hanging="0" w:start="720" w:end="0"/>
        <w:rPr>
          <w:rFonts w:ascii="Times New Roman;Times New Roman" w:hAnsi="Times New Roman;Times New Roman" w:cs="Times New Roman;Times New Roman"/>
          <w:sz w:val="20"/>
        </w:rPr>
      </w:pPr>
      <w:r>
        <w:rPr>
          <w:rFonts w:cs="Times New Roman;Times New Roman"/>
          <w:sz w:val="20"/>
        </w:rPr>
      </w:r>
    </w:p>
    <w:p>
      <w:pPr>
        <w:pStyle w:val="Heading4"/>
        <w:tabs>
          <w:tab w:val="left" w:pos="720" w:leader="none"/>
        </w:tabs>
        <w:ind w:hanging="0" w:start="720" w:end="0"/>
        <w:rPr/>
      </w:pPr>
      <w:r>
        <w:rPr/>
        <w:t>Terms relating to First Union Securities, Inc. as the Agent</w:t>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
        <w:tabs>
          <w:tab w:val="left" w:pos="720" w:leader="none"/>
        </w:tabs>
        <w:ind w:start="720" w:end="0"/>
        <w:rPr>
          <w:b w:val="false"/>
          <w:sz w:val="20"/>
        </w:rPr>
      </w:pPr>
      <w:r>
        <w:rPr>
          <w:b w:val="false"/>
          <w:sz w:val="20"/>
        </w:rPr>
        <w:t>(a) The Agent is registered as a broker-dealer with the U.S. Securities and Exchange Commission and the National Association of Securities Dealers, is acting hereunder for and on behalf of First Union solely in its capacity as agent for First Union pursuant to instructions from First Union, and is not and will not be acting as the Counterparty’s agent, broker, advisor or fiduciary in any respect under or in connection with this Transaction.</w:t>
      </w:r>
    </w:p>
    <w:p>
      <w:pPr>
        <w:pStyle w:val="Normal"/>
        <w:tabs>
          <w:tab w:val="left" w:pos="720" w:leader="none"/>
        </w:tabs>
        <w:ind w:start="720" w:end="0"/>
        <w:jc w:val="both"/>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 In addition to acting as First Union’s agent in executing this Transaction, the Agent is authorized from time to time to give written payment and/or delivery instructions to the Counterparty directing it to make its payments and/or deliveries under this Transaction to an account of the Agent for remittance to First Union (or its designee), and for that purpose any such payment or delivery by the Counterparty to the Agent shall be treated as a payment or delivery to First Union.</w:t>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 Except as otherwise provided herein, any and all notices, demands, or communications of any kind transmitted in writing by either First Union or the Counterparty under or in connection with this Transaction will be transmitted exclusively by such party to the other party through the Agent at the following address:</w:t>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First Union Securities, Inc.</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301 South College Street</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Charlotte, NC  28288-0601</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Facsimile No.: (704) 383-9139</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Telephone No.: (704) 383-6438</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Attention:  Equity Derivatives</w:t>
      </w:r>
    </w:p>
    <w:p>
      <w:pPr>
        <w:pStyle w:val="Normal"/>
        <w:tabs>
          <w:tab w:val="left" w:pos="720" w:leader="none"/>
        </w:tabs>
        <w:ind w:firstLine="720"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spacing w:lineRule="auto" w:line="240"/>
        <w:rPr>
          <w:sz w:val="20"/>
        </w:rPr>
      </w:pPr>
      <w:r>
        <w:rPr>
          <w:sz w:val="20"/>
        </w:rPr>
        <w:t>(d) The Agent shall have no responsibility or liability to First Union or the Counterparty for or arising from (i) any failure by either First Union or the Counterparty to perform any of their respective obligations under or in connection with this Transaction, (ii) the collection or enforcement of any such obligations, or (iii) the exercise of any of the rights and remedies of either First Union or the Counterparty under or in connection with this Transaction.  Each of First Union and the Counterparty agrees to proceed solely against the other to collect or enforce any such obligations, and the Agent shall have no liability in respect of this Transaction except for its negligence or willful misconduct in performing its duties as the agent of First Union.</w:t>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(e) Upon written request, the Agent will furnish to First Union and the Counterparty the date and time of the execution of this Transaction and a statement as to the source and amount of any remuneration received or to be received by the </w:t>
      </w:r>
    </w:p>
    <w:p>
      <w:pPr>
        <w:pStyle w:val="Normal"/>
        <w:tabs>
          <w:tab w:val="left" w:pos="720" w:leader="none"/>
        </w:tabs>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Agent in connection with this Transaction.</w:t>
      </w:r>
    </w:p>
    <w:p>
      <w:pPr>
        <w:pStyle w:val="Normal"/>
        <w:spacing w:before="240" w:after="0"/>
        <w:ind w:start="720" w:end="0"/>
        <w:jc w:val="both"/>
        <w:rPr>
          <w:rFonts w:ascii="Times New Roman;Times New Roman" w:hAnsi="Times New Roman;Times New Roman" w:cs="Times New Roman;Times New Roman"/>
          <w:sz w:val="20"/>
          <w:u w:val="single"/>
          <w:lang w:val="en-GB"/>
        </w:rPr>
      </w:pPr>
      <w:r>
        <w:rPr>
          <w:rFonts w:cs="Times New Roman;Times New Roman" w:ascii="Times New Roman;Times New Roman" w:hAnsi="Times New Roman;Times New Roman"/>
          <w:sz w:val="20"/>
          <w:u w:val="single"/>
          <w:lang w:val="en-GB"/>
        </w:rPr>
        <w:t>Representations:</w:t>
      </w:r>
    </w:p>
    <w:p>
      <w:pPr>
        <w:pStyle w:val="Normal"/>
        <w:spacing w:before="240" w:after="0"/>
        <w:ind w:start="720" w:end="0"/>
        <w:jc w:val="both"/>
        <w:rPr>
          <w:rFonts w:ascii="Times New Roman;Times New Roman" w:hAnsi="Times New Roman;Times New Roman" w:cs="Times New Roman;Times New Roman"/>
          <w:sz w:val="20"/>
          <w:lang w:val="en-GB"/>
        </w:rPr>
      </w:pPr>
      <w:r>
        <w:rPr>
          <w:rFonts w:cs="Times New Roman;Times New Roman" w:ascii="Times New Roman;Times New Roman" w:hAnsi="Times New Roman;Times New Roman"/>
          <w:sz w:val="20"/>
          <w:lang w:val="en-GB"/>
        </w:rPr>
        <w:t>Each party represents to the other party on the date hereof that (absent a written agreement between the parties that expressly imposes affirmative obligations to the contrary for this Transaction):</w:t>
      </w:r>
    </w:p>
    <w:p>
      <w:pPr>
        <w:pStyle w:val="Normal"/>
        <w:keepNext w:val="true"/>
        <w:tabs>
          <w:tab w:val="clear" w:pos="720"/>
          <w:tab w:val="left" w:pos="1800" w:leader="none"/>
        </w:tabs>
        <w:spacing w:before="240" w:after="60"/>
        <w:ind w:start="720" w:end="0"/>
        <w:rPr/>
      </w:pPr>
      <w:r>
        <w:rPr>
          <w:rFonts w:cs="Times New Roman;Times New Roman" w:ascii="Times New Roman;Times New Roman" w:hAnsi="Times New Roman;Times New Roman"/>
          <w:sz w:val="20"/>
          <w:lang w:val="en-GB"/>
        </w:rPr>
        <w:t xml:space="preserve">(a) </w:t>
      </w:r>
      <w:r>
        <w:rPr>
          <w:rFonts w:cs="Times New Roman;Times New Roman" w:ascii="Times New Roman;Times New Roman" w:hAnsi="Times New Roman;Times New Roman"/>
          <w:sz w:val="20"/>
          <w:u w:val="single"/>
          <w:lang w:val="en-GB"/>
        </w:rPr>
        <w:t>Non-Reliance</w:t>
      </w:r>
      <w:r>
        <w:rPr>
          <w:rFonts w:cs="Times New Roman;Times New Roman" w:ascii="Times New Roman;Times New Roman" w:hAnsi="Times New Roman;Times New Roman"/>
          <w:sz w:val="20"/>
          <w:lang w:val="en-GB"/>
        </w:rPr>
        <w:t>.  It has made its own independent decision to enter into this Transaction, is acting at arm’s length for its own account, and is not relying on any communication (written or oral) of the other party as a recommendation or investment advice regarding this Transaction.</w:t>
      </w:r>
    </w:p>
    <w:p>
      <w:pPr>
        <w:pStyle w:val="Normal"/>
        <w:keepNext w:val="true"/>
        <w:tabs>
          <w:tab w:val="clear" w:pos="720"/>
          <w:tab w:val="left" w:pos="1800" w:leader="none"/>
        </w:tabs>
        <w:spacing w:before="240" w:after="60"/>
        <w:ind w:start="720" w:end="0"/>
        <w:rPr/>
      </w:pPr>
      <w:r>
        <w:rPr>
          <w:rFonts w:cs="Times New Roman;Times New Roman" w:ascii="Times New Roman;Times New Roman" w:hAnsi="Times New Roman;Times New Roman"/>
          <w:sz w:val="20"/>
          <w:lang w:val="en-GB"/>
        </w:rPr>
        <w:t xml:space="preserve">(b) </w:t>
      </w:r>
      <w:r>
        <w:rPr>
          <w:rFonts w:cs="Times New Roman;Times New Roman" w:ascii="Times New Roman;Times New Roman" w:hAnsi="Times New Roman;Times New Roman"/>
          <w:sz w:val="20"/>
          <w:u w:val="single"/>
          <w:lang w:val="en-GB"/>
        </w:rPr>
        <w:t>Evaluation and Understanding</w:t>
      </w:r>
      <w:r>
        <w:rPr>
          <w:rFonts w:cs="Times New Roman;Times New Roman" w:ascii="Times New Roman;Times New Roman" w:hAnsi="Times New Roman;Times New Roman"/>
          <w:sz w:val="20"/>
          <w:lang w:val="en-GB"/>
        </w:rPr>
        <w:t>.  It has the capability to evaluate and understand (on its own behalf or through independent professional advice), and does understand, the terms, conditions and risks of this Transaction and is willing to accept those terms and conditions and to assume (financially and otherwise) those risks.</w:t>
      </w:r>
    </w:p>
    <w:p>
      <w:pPr>
        <w:pStyle w:val="Normal"/>
        <w:keepNext w:val="true"/>
        <w:tabs>
          <w:tab w:val="clear" w:pos="720"/>
          <w:tab w:val="left" w:pos="1800" w:leader="none"/>
        </w:tabs>
        <w:spacing w:before="240" w:after="60"/>
        <w:ind w:start="720" w:end="0"/>
        <w:rPr/>
      </w:pPr>
      <w:r>
        <w:rPr>
          <w:rFonts w:cs="Times New Roman;Times New Roman" w:ascii="Times New Roman;Times New Roman" w:hAnsi="Times New Roman;Times New Roman"/>
          <w:sz w:val="20"/>
          <w:lang w:val="en-GB"/>
        </w:rPr>
        <w:t xml:space="preserve">(c) </w:t>
      </w:r>
      <w:r>
        <w:rPr>
          <w:rFonts w:cs="Times New Roman;Times New Roman" w:ascii="Times New Roman;Times New Roman" w:hAnsi="Times New Roman;Times New Roman"/>
          <w:sz w:val="20"/>
          <w:u w:val="single"/>
          <w:lang w:val="en-GB"/>
        </w:rPr>
        <w:t>CFTC Matters</w:t>
      </w:r>
      <w:r>
        <w:rPr>
          <w:rFonts w:cs="Times New Roman;Times New Roman" w:ascii="Times New Roman;Times New Roman" w:hAnsi="Times New Roman;Times New Roman"/>
          <w:sz w:val="20"/>
          <w:lang w:val="en-GB"/>
        </w:rPr>
        <w:t>:</w:t>
      </w:r>
    </w:p>
    <w:p>
      <w:pPr>
        <w:pStyle w:val="BodyText"/>
        <w:tabs>
          <w:tab w:val="clear" w:pos="720"/>
          <w:tab w:val="left" w:pos="1440" w:leader="none"/>
        </w:tabs>
        <w:spacing w:before="240" w:after="0"/>
        <w:rPr>
          <w:b w:val="false"/>
          <w:sz w:val="20"/>
          <w:lang w:val="en-GB"/>
        </w:rPr>
      </w:pPr>
      <w:r>
        <w:rPr>
          <w:b w:val="false"/>
          <w:sz w:val="20"/>
          <w:lang w:val="en-GB"/>
        </w:rPr>
        <w:tab/>
        <w:t>(i) It is an eligible contract participant, as defined in the Commodity Futures Modernization Act of 2000.</w:t>
      </w:r>
    </w:p>
    <w:p>
      <w:pPr>
        <w:pStyle w:val="Normal"/>
        <w:tabs>
          <w:tab w:val="clear" w:pos="720"/>
          <w:tab w:val="left" w:pos="2059" w:leader="none"/>
        </w:tabs>
        <w:spacing w:before="240" w:after="0"/>
        <w:ind w:start="1440" w:end="0"/>
        <w:jc w:val="both"/>
        <w:rPr/>
      </w:pPr>
      <w:r>
        <w:rPr>
          <w:rFonts w:cs="Times New Roman;Times New Roman" w:ascii="Times New Roman;Times New Roman" w:hAnsi="Times New Roman;Times New Roman"/>
          <w:sz w:val="20"/>
        </w:rPr>
        <w:t xml:space="preserve">(ii) </w:t>
      </w:r>
      <w:r>
        <w:rPr>
          <w:rFonts w:cs="Times New Roman;Times New Roman" w:ascii="Times New Roman;Times New Roman" w:hAnsi="Times New Roman;Times New Roman"/>
          <w:sz w:val="20"/>
          <w:lang w:val="en-GB"/>
        </w:rPr>
        <w:t>It has entered into the Agreement and this Transaction as principal (and not as agent or in any other capacity, fiduciary or otherwise).</w:t>
      </w:r>
    </w:p>
    <w:p>
      <w:pPr>
        <w:pStyle w:val="BodyText2"/>
        <w:ind w:start="720" w:end="0"/>
        <w:rPr>
          <w:rFonts w:ascii="Times New Roman;Times New Roman" w:hAnsi="Times New Roman;Times New Roman" w:cs="Times New Roman;Times New Roman"/>
          <w:sz w:val="20"/>
          <w:lang w:val="en-GB"/>
        </w:rPr>
      </w:pPr>
      <w:r>
        <w:rPr>
          <w:rFonts w:cs="Times New Roman;Times New Roman"/>
          <w:sz w:val="20"/>
          <w:lang w:val="en-GB"/>
        </w:rPr>
      </w:r>
    </w:p>
    <w:p>
      <w:pPr>
        <w:pStyle w:val="BodyText2"/>
        <w:ind w:start="720" w:end="0"/>
        <w:rPr/>
      </w:pPr>
      <w:r>
        <w:rPr/>
      </w:r>
    </w:p>
    <w:p>
      <w:pPr>
        <w:pStyle w:val="BodyText2"/>
        <w:ind w:start="720" w:end="0"/>
        <w:rPr/>
      </w:pPr>
      <w:r>
        <w:rPr/>
        <w:t>Please confirm that the foregoing correctly sets forth the terms of our agreement by executing a copy of this Confirmation and returning it to us by fax at 212-891-5042 (attention: Gregory Klass, by telephone contact (212) 909-0951).</w:t>
      </w:r>
    </w:p>
    <w:p>
      <w:pPr>
        <w:pStyle w:val="Normal"/>
        <w:tabs>
          <w:tab w:val="left" w:pos="720"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Very truly yours,</w:t>
      </w:r>
    </w:p>
    <w:p>
      <w:pPr>
        <w:pStyle w:val="Normal"/>
        <w:tabs>
          <w:tab w:val="left" w:pos="720"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start="720" w:end="27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FIRST UNION SECURITIES, INC.,</w:t>
        <w:tab/>
        <w:tab/>
        <w:tab/>
        <w:t>FIRST UNION NATIONAL BANK</w:t>
      </w:r>
    </w:p>
    <w:p>
      <w:pPr>
        <w:pStyle w:val="Normal"/>
        <w:ind w:start="720" w:end="27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acting solely in its capacity as Agent</w:t>
        <w:tab/>
        <w:tab/>
        <w:tab/>
        <w:t>By:</w:t>
        <w:tab/>
        <w:t>First Union Securities, Inc.,</w:t>
      </w:r>
    </w:p>
    <w:p>
      <w:pPr>
        <w:pStyle w:val="Normal"/>
        <w:ind w:start="720" w:end="27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of First Union National Bank</w:t>
        <w:tab/>
        <w:tab/>
        <w:tab/>
        <w:tab/>
        <w:t>acting solely in its capacity as its Agent</w:t>
      </w:r>
    </w:p>
    <w:p>
      <w:pPr>
        <w:pStyle w:val="BodyText0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27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0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27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0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27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01"/>
        <w:tabs>
          <w:tab w:val="clear" w:pos="7920"/>
          <w:tab w:val="clear" w:pos="8640"/>
          <w:tab w:val="clear" w:pos="9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720" w:end="27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By: _________________________</w:t>
        <w:tab/>
        <w:tab/>
        <w:tab/>
        <w:tab/>
        <w:t>By:_____________________________</w:t>
      </w:r>
    </w:p>
    <w:p>
      <w:pPr>
        <w:pStyle w:val="Normal"/>
        <w:ind w:start="720" w:end="27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Name:</w:t>
        <w:tab/>
        <w:tab/>
        <w:tab/>
        <w:tab/>
        <w:tab/>
        <w:tab/>
        <w:tab/>
        <w:t>Name:</w:t>
      </w:r>
    </w:p>
    <w:p>
      <w:pPr>
        <w:pStyle w:val="BodyTextIndent"/>
        <w:spacing w:lineRule="auto" w:line="240"/>
        <w:ind w:end="270"/>
        <w:rPr>
          <w:sz w:val="20"/>
        </w:rPr>
      </w:pPr>
      <w:r>
        <w:rPr>
          <w:sz w:val="20"/>
        </w:rPr>
        <w:t>Title:</w:t>
        <w:tab/>
        <w:tab/>
        <w:tab/>
        <w:tab/>
        <w:tab/>
        <w:tab/>
        <w:tab/>
        <w:t>Title: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Accepted and confirmed as</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of the date first above written:</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____________________________</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By:________________________</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Name: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 w:val="left" w:pos="8496" w:leader="none"/>
        </w:tabs>
        <w:spacing w:lineRule="exact" w:line="244"/>
        <w:ind w:start="720" w:end="0"/>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sectPr>
      <w:footerReference w:type="default" r:id="rId3"/>
      <w:footnotePr>
        <w:numFmt w:val="decimal"/>
      </w:footnotePr>
      <w:type w:val="nextPage"/>
      <w:pgSz w:w="12240" w:h="15840"/>
      <w:pgMar w:left="720" w:right="720" w:gutter="0" w:header="0" w:top="1152"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t xml:space="preserve">First Union Reference Number: </w:t>
    </w:r>
  </w:p>
  <w:p>
    <w:pPr>
      <w:pStyle w:val="Normal"/>
      <w:ind w:start="432" w:end="432"/>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Normal"/>
                      <w:jc w:val="center"/>
                      <w:rPr/>
                    </w:pPr>
                    <w:r>
                      <w:rPr/>
                      <w:fldChar w:fldCharType="begin"/>
                    </w:r>
                    <w:r>
                      <w:rPr/>
                      <w:instrText xml:space="preserve"> PAGE </w:instrText>
                    </w:r>
                    <w:r>
                      <w:rPr/>
                      <w:fldChar w:fldCharType="separate"/>
                    </w:r>
                    <w:r>
                      <w:rPr/>
                      <w:t>9</w:t>
                    </w:r>
                    <w: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Choose one.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Times New Roman" w:cs="CG Time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1728" w:leader="none"/>
        <w:tab w:val="left" w:pos="-1008" w:leader="none"/>
        <w:tab w:val="left" w:pos="-288" w:leader="none"/>
        <w:tab w:val="left" w:pos="432" w:leader="none"/>
        <w:tab w:val="left" w:pos="1152" w:leader="none"/>
        <w:tab w:val="left" w:pos="1440"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ind w:hanging="1440" w:start="1152" w:end="0"/>
      <w:jc w:val="both"/>
      <w:outlineLvl w:val="0"/>
    </w:pPr>
    <w:rPr>
      <w:rFonts w:ascii="Times New Roman;Times New Roman" w:hAnsi="Times New Roman;Times New Roman" w:cs="Times New Roman;Times New Roman"/>
      <w:b/>
      <w:sz w:val="22"/>
    </w:rPr>
  </w:style>
  <w:style w:type="paragraph" w:styleId="Heading2">
    <w:name w:val="heading 2"/>
    <w:basedOn w:val="Normal"/>
    <w:next w:val="Normal"/>
    <w:qFormat/>
    <w:pPr>
      <w:keepNext w:val="true"/>
      <w:numPr>
        <w:ilvl w:val="1"/>
        <w:numId w:val="1"/>
      </w:numPr>
      <w:ind w:hanging="0" w:start="720" w:end="0"/>
      <w:jc w:val="center"/>
      <w:outlineLvl w:val="1"/>
    </w:pPr>
    <w:rPr>
      <w:rFonts w:ascii="Times New Roman;Times New Roman" w:hAnsi="Times New Roman;Times New Roman" w:cs="Times New Roman;Times New Roman"/>
      <w:b/>
      <w:sz w:val="22"/>
    </w:rPr>
  </w:style>
  <w:style w:type="paragraph" w:styleId="Heading3">
    <w:name w:val="heading 3"/>
    <w:basedOn w:val="Normal"/>
    <w:next w:val="Normal"/>
    <w:qFormat/>
    <w:pPr>
      <w:keepNext w:val="true"/>
      <w:numPr>
        <w:ilvl w:val="2"/>
        <w:numId w:val="1"/>
      </w:numPr>
      <w:tabs>
        <w:tab w:val="clear" w:pos="720"/>
        <w:tab w:val="left" w:pos="2160" w:leader="none"/>
      </w:tabs>
      <w:ind w:hanging="0" w:start="720" w:end="0"/>
      <w:jc w:val="both"/>
      <w:outlineLvl w:val="2"/>
    </w:pPr>
    <w:rPr>
      <w:rFonts w:ascii="Times New Roman;Times New Roman" w:hAnsi="Times New Roman;Times New Roman" w:cs="Times New Roman;Times New Roman"/>
      <w:b/>
      <w:sz w:val="22"/>
    </w:rPr>
  </w:style>
  <w:style w:type="paragraph" w:styleId="Heading4">
    <w:name w:val="heading 4"/>
    <w:basedOn w:val="Normal"/>
    <w:next w:val="Normal"/>
    <w:qFormat/>
    <w:pPr>
      <w:keepNext w:val="true"/>
      <w:numPr>
        <w:ilvl w:val="3"/>
        <w:numId w:val="1"/>
      </w:numPr>
      <w:spacing w:lineRule="exact" w:line="244"/>
      <w:jc w:val="both"/>
      <w:outlineLvl w:val="3"/>
    </w:pPr>
    <w:rPr>
      <w:rFonts w:ascii="Times New Roman;Times New Roman" w:hAnsi="Times New Roman;Times New Roman" w:cs="Times New Roman;Times New Roman"/>
      <w:sz w:val="20"/>
      <w:u w:val="single"/>
    </w:rPr>
  </w:style>
  <w:style w:type="paragraph" w:styleId="Heading5">
    <w:name w:val="heading 5"/>
    <w:basedOn w:val="Normal"/>
    <w:next w:val="Normal"/>
    <w:qFormat/>
    <w:pPr>
      <w:keepNext w:val="true"/>
      <w:numPr>
        <w:ilvl w:val="4"/>
        <w:numId w:val="1"/>
      </w:numPr>
      <w:spacing w:lineRule="exact" w:line="244"/>
      <w:ind w:hanging="3600" w:start="4320" w:end="0"/>
      <w:jc w:val="both"/>
      <w:outlineLvl w:val="4"/>
    </w:pPr>
    <w:rPr>
      <w:rFonts w:ascii="Times New Roman;Times New Roman" w:hAnsi="Times New Roman;Times New Roman" w:cs="Times New Roman;Times New Roman"/>
      <w:sz w:val="22"/>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spacing w:lineRule="exact" w:line="244"/>
      <w:ind w:hanging="2880" w:start="4320" w:end="0"/>
      <w:jc w:val="both"/>
      <w:outlineLvl w:val="6"/>
    </w:pPr>
    <w:rPr>
      <w:rFonts w:ascii="Times New Roman;Times New Roman" w:hAnsi="Times New Roman;Times New Roman" w:cs="Times New Roman;Times New Roman"/>
      <w:b/>
      <w:sz w:val="22"/>
    </w:rPr>
  </w:style>
  <w:style w:type="paragraph" w:styleId="Heading8">
    <w:name w:val="heading 8"/>
    <w:basedOn w:val="Normal"/>
    <w:next w:val="Normal"/>
    <w:qFormat/>
    <w:pPr>
      <w:keepNext w:val="true"/>
      <w:numPr>
        <w:ilvl w:val="7"/>
        <w:numId w:val="1"/>
      </w:numPr>
      <w:jc w:val="both"/>
      <w:outlineLvl w:val="7"/>
    </w:pPr>
    <w:rPr>
      <w:rFonts w:ascii="Times New Roman;Times New Roman" w:hAnsi="Times New Roman;Times New Roman" w:cs="Times New Roman;Times New Roman"/>
      <w:b/>
      <w:sz w:val="22"/>
    </w:rPr>
  </w:style>
  <w:style w:type="paragraph" w:styleId="Heading9">
    <w:name w:val="heading 9"/>
    <w:basedOn w:val="Normal"/>
    <w:next w:val="Normal"/>
    <w:qFormat/>
    <w:pPr>
      <w:keepNext w:val="true"/>
      <w:widowControl/>
      <w:numPr>
        <w:ilvl w:val="8"/>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8"/>
    </w:pPr>
    <w:rPr>
      <w:rFonts w:ascii="Times New Roman;Times New Roman" w:hAnsi="Times New Roman;Times New Roman" w:cs="Times New Roman;Times New Roman"/>
      <w:b/>
      <w:sz w:val="22"/>
      <w:lang w:eastAsia="en-CA"/>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Times New Roman" w:hAnsi="Times New Roman;Times New Roman" w:cs="Times New Roman;Times New Roman"/>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lineRule="exact" w:line="244"/>
      <w:ind w:hanging="0" w:start="720" w:end="0"/>
      <w:jc w:val="both"/>
    </w:pPr>
    <w:rPr>
      <w:rFonts w:ascii="Times New Roman;Times New Roman" w:hAnsi="Times New Roman;Times New Roman" w:cs="Times New Roman;Times New Roman"/>
      <w:sz w:val="22"/>
    </w:rPr>
  </w:style>
  <w:style w:type="paragraph" w:styleId="BodyTextIndent2">
    <w:name w:val="Body Text Indent 2"/>
    <w:basedOn w:val="Normal"/>
    <w:qFormat/>
    <w:pPr>
      <w:tabs>
        <w:tab w:val="clear" w:pos="720"/>
        <w:tab w:val="left" w:pos="4770" w:leader="none"/>
      </w:tabs>
      <w:spacing w:lineRule="exact" w:line="244"/>
      <w:ind w:firstLine="720" w:start="4320" w:end="0"/>
      <w:jc w:val="both"/>
    </w:pPr>
    <w:rPr/>
  </w:style>
  <w:style w:type="paragraph" w:styleId="BodyTextIndent3">
    <w:name w:val="Body Text Indent 3"/>
    <w:basedOn w:val="Normal"/>
    <w:qFormat/>
    <w:pPr>
      <w:spacing w:lineRule="exact" w:line="244"/>
      <w:ind w:hanging="0" w:start="4770" w:end="0"/>
      <w:jc w:val="both"/>
    </w:pPr>
    <w:rPr>
      <w:rFonts w:ascii="Times New Roman;Times New Roman" w:hAnsi="Times New Roman;Times New Roman" w:cs="Times New Roma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s>
      <w:spacing w:lineRule="exact" w:line="244"/>
      <w:jc w:val="both"/>
    </w:pPr>
    <w:rPr>
      <w:rFonts w:ascii="Times New Roman;Times New Roman" w:hAnsi="Times New Roman;Times New Roman" w:cs="Times New Roman;Times New Roman"/>
      <w:sz w:val="20"/>
    </w:rPr>
  </w:style>
  <w:style w:type="paragraph" w:styleId="BodyText3">
    <w:name w:val="Body Tex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Times New Roman;Times New Roman" w:hAnsi="Times New Roman;Times New Roman" w:cs="Times New Roman;Times New Roman"/>
      <w:b/>
      <w:sz w:val="22"/>
      <w:lang w:eastAsia="en-CA"/>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720" w:end="450"/>
      <w:jc w:val="both"/>
    </w:pPr>
    <w:rPr>
      <w:rFonts w:ascii="Times New Roman;Times New Roman" w:hAnsi="Times New Roman;Times New Roman" w:cs="Times New Roman;Times New Roman"/>
      <w:sz w:val="22"/>
    </w:rPr>
  </w:style>
  <w:style w:type="paragraph" w:styleId="Header">
    <w:name w:val="header"/>
    <w:basedOn w:val="Normal"/>
    <w:pPr>
      <w:tabs>
        <w:tab w:val="clear" w:pos="720"/>
        <w:tab w:val="center" w:pos="4320" w:leader="none"/>
        <w:tab w:val="right" w:pos="8640" w:leader="none"/>
      </w:tabs>
    </w:pPr>
    <w:rPr/>
  </w:style>
  <w:style w:type="paragraph" w:styleId="col2">
    <w:name w:val="col2"/>
    <w:basedOn w:val="Normal"/>
    <w:qFormat/>
    <w:pPr>
      <w:widowControl/>
      <w:spacing w:lineRule="atLeast" w:line="240" w:before="0" w:after="240"/>
      <w:jc w:val="both"/>
    </w:pPr>
    <w:rPr>
      <w:rFonts w:ascii="Times New Roman;Times New Roman" w:hAnsi="Times New Roman;Times New Roman" w:cs="Times New Roman;Times New Roman"/>
      <w:sz w:val="20"/>
      <w:lang w:eastAsia="en-CA"/>
    </w:rPr>
  </w:style>
  <w:style w:type="paragraph" w:styleId="BodyText01">
    <w:name w:val="Body Text01"/>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pPr>
    <w:rPr>
      <w:rFonts w:ascii="Courier" w:hAnsi="Courier" w:eastAsia="Times New Roman;Times New Roman" w:cs="Courier"/>
      <w:color w:val="auto"/>
      <w:sz w:val="22"/>
      <w:szCs w:val="20"/>
      <w:lang w:val="en-US" w:eastAsia="zh-CN" w:bidi="hi-IN"/>
    </w:rPr>
  </w:style>
  <w:style w:type="paragraph" w:styleId="gt1">
    <w:name w:val="gt1"/>
    <w:basedOn w:val="Normal"/>
    <w:qFormat/>
    <w:pPr>
      <w:widowControl/>
      <w:spacing w:lineRule="atLeast" w:line="240" w:before="0" w:after="240"/>
      <w:ind w:hanging="0" w:start="720" w:end="0"/>
      <w:jc w:val="both"/>
    </w:pPr>
    <w:rPr>
      <w:rFonts w:ascii="Times New Roman;Times New Roman" w:hAnsi="Times New Roman;Times New Roman" w:cs="Times New Roman;Times New Roman"/>
      <w:sz w:val="20"/>
      <w:lang w:eastAsia="en-CA"/>
    </w:rPr>
  </w:style>
  <w:style w:type="paragraph" w:styleId="HeadingConfirm">
    <w:name w:val="Heading (Confirm)"/>
    <w:basedOn w:val="Normal"/>
    <w:qFormat/>
    <w:pPr>
      <w:widowControl/>
      <w:tabs>
        <w:tab w:val="clear" w:pos="720"/>
        <w:tab w:val="left" w:pos="576" w:leader="none"/>
        <w:tab w:val="left" w:pos="900" w:leader="none"/>
      </w:tabs>
      <w:spacing w:before="240" w:after="0"/>
      <w:jc w:val="both"/>
    </w:pPr>
    <w:rPr>
      <w:rFonts w:ascii="Times New Roman;Times New Roman" w:hAnsi="Times New Roman;Times New Roman" w:cs="Times New Roman;Times New Roman"/>
      <w:sz w:val="20"/>
      <w:lang w:eastAsia="en-CA"/>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2001-07-20T17:42:00Z</dcterms:created>
  <dc:creator>A008125</dc:creator>
  <dc:description/>
  <dc:language>en-CA</dc:language>
  <cp:lastModifiedBy>PC_Unix Integration</cp:lastModifiedBy>
  <cp:lastPrinted>2001-07-26T12:20:00Z</cp:lastPrinted>
  <dcterms:modified xsi:type="dcterms:W3CDTF">2001-07-26T14:36:00Z</dcterms:modified>
  <cp:revision>7</cp:revision>
  <dc:subject/>
  <dc:title>This draft is for discussion purposes only and is neither an offer to enter into any transaction nor a contract or commitment of any kind</dc:title>
</cp:coreProperties>
</file>