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207899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2078990"/>
                        </a:xfrm>
                        <a:prstGeom prst="rect"/>
                        <a:solidFill>
                          <a:srgbClr val="FFFFFF">
                            <a:alpha val="0"/>
                          </a:srgbClr>
                        </a:solidFill>
                      </wps:spPr>
                      <wps:txbx>
                        <w:txbxContent>
                          <w:p>
                            <w:pPr>
                              <w:pStyle w:val="Normal"/>
                              <w:spacing w:before="0" w:after="0"/>
                              <w:rPr/>
                            </w:pPr>
                            <w:r>
                              <w:rPr/>
                              <w:drawing>
                                <wp:inline distT="0" distB="0" distL="0" distR="0">
                                  <wp:extent cx="1783080" cy="17716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3" t="-13" r="-13" b="-13"/>
                                          <a:stretch>
                                            <a:fillRect/>
                                          </a:stretch>
                                        </pic:blipFill>
                                        <pic:spPr bwMode="auto">
                                          <a:xfrm>
                                            <a:off x="0" y="0"/>
                                            <a:ext cx="1783080" cy="1771650"/>
                                          </a:xfrm>
                                          <a:prstGeom prst="rect">
                                            <a:avLst/>
                                          </a:prstGeom>
                                          <a:noFill/>
                                        </pic:spPr>
                                      </pic:pic>
                                    </a:graphicData>
                                  </a:graphic>
                                </wp:inline>
                              </w:drawing>
                            </w:r>
                            <w:bookmarkStart w:id="0" w:name="_Ref480190648"/>
                            <w:bookmarkEnd w:id="0"/>
                          </w:p>
                          <w:p>
                            <w:pPr>
                              <w:pStyle w:val="Normal"/>
                              <w:spacing w:before="0" w:after="0"/>
                              <w:rPr/>
                            </w:pPr>
                            <w:r>
                              <w:rPr/>
                            </w:r>
                          </w:p>
                          <w:p>
                            <w:pPr>
                              <w:pStyle w:val="Normal"/>
                              <w:spacing w:before="0" w:after="0"/>
                              <w:rPr>
                                <w:color w:val="000080"/>
                                <w:sz w:val="22"/>
                              </w:rPr>
                            </w:pPr>
                            <w:r>
                              <w:rPr>
                                <w:b/>
                                <w:color w:val="000080"/>
                                <w:sz w:val="22"/>
                              </w:rPr>
                              <w:t>InterOffice Memo</w:t>
                            </w:r>
                          </w:p>
                        </w:txbxContent>
                      </wps:txbx>
                      <wps:bodyPr anchor="t" lIns="0" tIns="0" rIns="0" bIns="0">
                        <a:noAutofit/>
                      </wps:bodyPr>
                    </wps:wsp>
                  </a:graphicData>
                </a:graphic>
              </wp:anchor>
            </w:drawing>
          </mc:Choice>
          <mc:Fallback>
            <w:pict>
              <v:rect fillcolor="#FFFFFF" style="position:absolute;rotation:-0;width:300.8pt;height:163.7pt;mso-wrap-distance-left:9pt;mso-wrap-distance-right:9pt;mso-wrap-distance-top:0pt;mso-wrap-distance-bottom:0pt;margin-top:-50.95pt;mso-position-vertical-relative:text;margin-left:83.3pt;mso-position-horizontal-relative:page">
                <v:fill opacity="0f"/>
                <v:textbox inset="0in,0in,0in,0in">
                  <w:txbxContent>
                    <w:p>
                      <w:pPr>
                        <w:pStyle w:val="Normal"/>
                        <w:spacing w:before="0" w:after="0"/>
                        <w:rPr/>
                      </w:pPr>
                      <w:r>
                        <w:rPr/>
                        <w:drawing>
                          <wp:inline distT="0" distB="0" distL="0" distR="0">
                            <wp:extent cx="1783080" cy="17716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3" t="-13" r="-13" b="-13"/>
                                    <a:stretch>
                                      <a:fillRect/>
                                    </a:stretch>
                                  </pic:blipFill>
                                  <pic:spPr bwMode="auto">
                                    <a:xfrm>
                                      <a:off x="0" y="0"/>
                                      <a:ext cx="1783080" cy="1771650"/>
                                    </a:xfrm>
                                    <a:prstGeom prst="rect">
                                      <a:avLst/>
                                    </a:prstGeom>
                                    <a:noFill/>
                                  </pic:spPr>
                                </pic:pic>
                              </a:graphicData>
                            </a:graphic>
                          </wp:inline>
                        </w:drawing>
                      </w:r>
                      <w:bookmarkStart w:id="1" w:name="_Ref480190648"/>
                      <w:bookmarkEnd w:id="1"/>
                    </w:p>
                    <w:p>
                      <w:pPr>
                        <w:pStyle w:val="Normal"/>
                        <w:spacing w:before="0" w:after="0"/>
                        <w:rPr/>
                      </w:pPr>
                      <w:r>
                        <w:rPr/>
                      </w:r>
                    </w:p>
                    <w:p>
                      <w:pPr>
                        <w:pStyle w:val="Normal"/>
                        <w:spacing w:before="0" w:after="0"/>
                        <w:rPr>
                          <w:color w:val="000080"/>
                          <w:sz w:val="22"/>
                        </w:rPr>
                      </w:pPr>
                      <w:r>
                        <w:rPr>
                          <w:b/>
                          <w:color w:val="000080"/>
                          <w:sz w:val="22"/>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0" w:after="0"/>
              <w:rPr>
                <w:color w:val="000080"/>
                <w:sz w:val="22"/>
              </w:rPr>
            </w:pPr>
            <w:r>
              <w:rPr>
                <w:b/>
                <w:color w:val="000080"/>
                <w:sz w:val="22"/>
              </w:rPr>
              <w:t>To:</w:t>
            </w:r>
          </w:p>
        </w:tc>
        <w:tc>
          <w:tcPr>
            <w:tcW w:w="7560" w:type="dxa"/>
            <w:tcBorders/>
          </w:tcPr>
          <w:p>
            <w:pPr>
              <w:pStyle w:val="To"/>
              <w:spacing w:before="0" w:after="0"/>
              <w:rPr>
                <w:b/>
                <w:color w:val="000080"/>
                <w:sz w:val="22"/>
              </w:rPr>
            </w:pPr>
            <w:bookmarkStart w:id="2" w:name="To"/>
            <w:bookmarkEnd w:id="2"/>
            <w:r>
              <w:rPr>
                <w:b/>
                <w:color w:val="000080"/>
                <w:sz w:val="22"/>
              </w:rPr>
              <w:t>Government Affairs</w:t>
            </w:r>
          </w:p>
        </w:tc>
      </w:tr>
      <w:tr>
        <w:trPr/>
        <w:tc>
          <w:tcPr>
            <w:tcW w:w="1188" w:type="dxa"/>
            <w:tcBorders/>
          </w:tcPr>
          <w:p>
            <w:pPr>
              <w:pStyle w:val="Normal"/>
              <w:spacing w:before="0" w:after="0"/>
              <w:rPr>
                <w:color w:val="000080"/>
                <w:sz w:val="22"/>
              </w:rPr>
            </w:pPr>
            <w:r>
              <w:rPr>
                <w:b/>
                <w:color w:val="000080"/>
                <w:sz w:val="22"/>
              </w:rPr>
              <w:t>From:</w:t>
            </w:r>
          </w:p>
        </w:tc>
        <w:tc>
          <w:tcPr>
            <w:tcW w:w="7560" w:type="dxa"/>
            <w:tcBorders/>
          </w:tcPr>
          <w:p>
            <w:pPr>
              <w:pStyle w:val="From"/>
              <w:spacing w:before="0" w:after="0"/>
              <w:rPr>
                <w:b/>
                <w:color w:val="000080"/>
                <w:sz w:val="22"/>
              </w:rPr>
            </w:pPr>
            <w:bookmarkStart w:id="3" w:name="From"/>
            <w:bookmarkEnd w:id="3"/>
            <w:r>
              <w:rPr>
                <w:b/>
                <w:color w:val="000080"/>
                <w:sz w:val="22"/>
              </w:rPr>
              <w:t>A. Ibrahim</w:t>
            </w:r>
          </w:p>
        </w:tc>
      </w:tr>
      <w:tr>
        <w:trPr/>
        <w:tc>
          <w:tcPr>
            <w:tcW w:w="1188" w:type="dxa"/>
            <w:tcBorders/>
          </w:tcPr>
          <w:p>
            <w:pPr>
              <w:pStyle w:val="Normal"/>
              <w:spacing w:before="0" w:after="0"/>
              <w:rPr>
                <w:color w:val="000080"/>
                <w:sz w:val="22"/>
              </w:rPr>
            </w:pPr>
            <w:r>
              <w:rPr>
                <w:b/>
                <w:color w:val="000080"/>
                <w:sz w:val="22"/>
              </w:rPr>
              <w:t>Date:</w:t>
            </w:r>
          </w:p>
        </w:tc>
        <w:tc>
          <w:tcPr>
            <w:tcW w:w="7560" w:type="dxa"/>
            <w:tcBorders/>
          </w:tcPr>
          <w:p>
            <w:pPr>
              <w:pStyle w:val="Date"/>
              <w:spacing w:before="0" w:after="0"/>
              <w:rPr>
                <w:b/>
                <w:color w:val="000080"/>
                <w:sz w:val="22"/>
              </w:rPr>
            </w:pPr>
            <w:r>
              <w:rPr>
                <w:b/>
                <w:color w:val="000080"/>
                <w:sz w:val="22"/>
              </w:rPr>
              <w:t>November 8, 2001</w:t>
            </w:r>
          </w:p>
        </w:tc>
      </w:tr>
      <w:tr>
        <w:trPr/>
        <w:tc>
          <w:tcPr>
            <w:tcW w:w="1188" w:type="dxa"/>
            <w:tcBorders>
              <w:bottom w:val="single" w:sz="18" w:space="0" w:color="000000"/>
            </w:tcBorders>
          </w:tcPr>
          <w:p>
            <w:pPr>
              <w:pStyle w:val="Normal"/>
              <w:spacing w:before="0" w:after="0"/>
              <w:rPr>
                <w:color w:val="000080"/>
                <w:sz w:val="22"/>
              </w:rPr>
            </w:pPr>
            <w:r>
              <w:rPr>
                <w:b/>
                <w:color w:val="000080"/>
                <w:sz w:val="22"/>
              </w:rPr>
              <w:t>Subject:</w:t>
            </w:r>
          </w:p>
        </w:tc>
        <w:tc>
          <w:tcPr>
            <w:tcW w:w="7560" w:type="dxa"/>
            <w:tcBorders>
              <w:bottom w:val="single" w:sz="18" w:space="0" w:color="000000"/>
            </w:tcBorders>
          </w:tcPr>
          <w:p>
            <w:pPr>
              <w:pStyle w:val="Subject"/>
              <w:spacing w:before="0" w:after="0"/>
              <w:rPr>
                <w:color w:val="000080"/>
                <w:sz w:val="22"/>
              </w:rPr>
            </w:pPr>
            <w:bookmarkStart w:id="4" w:name="Subject"/>
            <w:bookmarkEnd w:id="4"/>
            <w:r>
              <w:rPr>
                <w:b/>
                <w:color w:val="000080"/>
                <w:sz w:val="22"/>
              </w:rPr>
              <w:t>Credit worthiness – Participation Requirements - ISOs</w:t>
            </w:r>
          </w:p>
        </w:tc>
      </w:tr>
    </w:tbl>
    <w:p>
      <w:pPr>
        <w:pStyle w:val="Normal"/>
        <w:spacing w:before="0" w:after="0"/>
        <w:rPr>
          <w:color w:val="000080"/>
          <w:sz w:val="22"/>
        </w:rPr>
      </w:pPr>
      <w:r>
        <w:rPr>
          <w:color w:val="000080"/>
          <w:sz w:val="22"/>
        </w:rPr>
      </w:r>
      <w:bookmarkStart w:id="5" w:name="StartOfMemo"/>
      <w:bookmarkStart w:id="6" w:name="StartOfMemo"/>
      <w:bookmarkEnd w:id="6"/>
    </w:p>
    <w:p>
      <w:pPr>
        <w:pStyle w:val="Heading2"/>
        <w:spacing w:before="0" w:after="0"/>
        <w:ind w:hanging="0" w:start="0"/>
        <w:jc w:val="both"/>
        <w:rPr>
          <w:b w:val="false"/>
          <w:bCs/>
          <w:color w:val="000080"/>
        </w:rPr>
      </w:pPr>
      <w:r>
        <w:rPr>
          <w:b w:val="false"/>
          <w:bCs/>
          <w:color w:val="000080"/>
        </w:rPr>
        <w:t xml:space="preserve">This memorandum is prepared by Regulatory Analytics to explain the credit worthiness requirements for participation in the different ISOs in the US and Canada.  The primary sources for this summary are available at your first request.  </w:t>
      </w:r>
    </w:p>
    <w:p>
      <w:pPr>
        <w:pStyle w:val="Normal"/>
        <w:spacing w:before="0" w:after="0"/>
        <w:rPr>
          <w:b/>
          <w:bCs/>
          <w:color w:val="000080"/>
        </w:rPr>
      </w:pPr>
      <w:r>
        <w:rPr>
          <w:b/>
          <w:bCs/>
          <w:color w:val="000080"/>
        </w:rPr>
      </w:r>
    </w:p>
    <w:p>
      <w:pPr>
        <w:pStyle w:val="Heading2"/>
        <w:spacing w:before="0" w:after="0"/>
        <w:ind w:hanging="0" w:start="0"/>
        <w:jc w:val="both"/>
        <w:rPr>
          <w:color w:val="000080"/>
          <w:u w:val="single"/>
        </w:rPr>
      </w:pPr>
      <w:r>
        <w:rPr>
          <w:color w:val="000080"/>
          <w:u w:val="single"/>
        </w:rPr>
        <w:t>In USA</w:t>
      </w:r>
    </w:p>
    <w:p>
      <w:pPr>
        <w:pStyle w:val="Heading1"/>
        <w:numPr>
          <w:ilvl w:val="0"/>
          <w:numId w:val="2"/>
        </w:numPr>
        <w:spacing w:before="0" w:after="0"/>
        <w:rPr>
          <w:b w:val="false"/>
          <w:bCs/>
          <w:color w:val="000080"/>
          <w:sz w:val="22"/>
        </w:rPr>
      </w:pPr>
      <w:hyperlink w:anchor="_NYISO_Credit_Policy">
        <w:r>
          <w:rPr>
            <w:rStyle w:val="Hyperlink"/>
            <w:b/>
            <w:bCs/>
            <w:color w:val="000080"/>
            <w:sz w:val="22"/>
          </w:rPr>
          <w:t>NYISO Credit Policy</w:t>
        </w:r>
      </w:hyperlink>
    </w:p>
    <w:p>
      <w:pPr>
        <w:pStyle w:val="Normal"/>
        <w:numPr>
          <w:ilvl w:val="0"/>
          <w:numId w:val="2"/>
        </w:numPr>
        <w:spacing w:before="0" w:after="0"/>
        <w:rPr>
          <w:color w:val="000080"/>
          <w:sz w:val="22"/>
        </w:rPr>
      </w:pPr>
      <w:hyperlink w:anchor="_New_England_Power">
        <w:r>
          <w:rPr>
            <w:rStyle w:val="Hyperlink"/>
            <w:color w:val="000080"/>
            <w:sz w:val="22"/>
          </w:rPr>
          <w:t>New England Power Pool Credit Policy</w:t>
        </w:r>
      </w:hyperlink>
    </w:p>
    <w:p>
      <w:pPr>
        <w:pStyle w:val="Normal"/>
        <w:numPr>
          <w:ilvl w:val="0"/>
          <w:numId w:val="2"/>
        </w:numPr>
        <w:spacing w:before="0" w:after="0"/>
        <w:rPr>
          <w:color w:val="000080"/>
          <w:sz w:val="22"/>
        </w:rPr>
      </w:pPr>
      <w:hyperlink w:anchor="_PJM_Credit_Policy">
        <w:r>
          <w:rPr>
            <w:rStyle w:val="Hyperlink"/>
            <w:color w:val="000080"/>
            <w:sz w:val="22"/>
          </w:rPr>
          <w:t>PJM Credit Policy</w:t>
        </w:r>
      </w:hyperlink>
    </w:p>
    <w:p>
      <w:pPr>
        <w:pStyle w:val="Normal"/>
        <w:numPr>
          <w:ilvl w:val="0"/>
          <w:numId w:val="2"/>
        </w:numPr>
        <w:spacing w:before="0" w:after="0"/>
        <w:rPr>
          <w:color w:val="000080"/>
          <w:sz w:val="22"/>
        </w:rPr>
      </w:pPr>
      <w:hyperlink w:anchor="_CA_ISO_Credit_1">
        <w:r>
          <w:rPr>
            <w:rStyle w:val="Hyperlink"/>
            <w:color w:val="000080"/>
            <w:sz w:val="22"/>
          </w:rPr>
          <w:t>CA ISO Credit Policy</w:t>
        </w:r>
      </w:hyperlink>
    </w:p>
    <w:p>
      <w:pPr>
        <w:pStyle w:val="Normal"/>
        <w:numPr>
          <w:ilvl w:val="0"/>
          <w:numId w:val="2"/>
        </w:numPr>
        <w:spacing w:before="0" w:after="0"/>
        <w:rPr>
          <w:color w:val="000080"/>
          <w:sz w:val="22"/>
        </w:rPr>
      </w:pPr>
      <w:hyperlink w:anchor="_ERCOT">
        <w:r>
          <w:rPr>
            <w:rStyle w:val="Hyperlink"/>
            <w:color w:val="000080"/>
            <w:sz w:val="22"/>
          </w:rPr>
          <w:t>ERCOT</w:t>
        </w:r>
      </w:hyperlink>
    </w:p>
    <w:p>
      <w:pPr>
        <w:pStyle w:val="Heading5"/>
        <w:ind w:hanging="0" w:start="0"/>
        <w:jc w:val="start"/>
        <w:rPr>
          <w:color w:val="000080"/>
          <w:sz w:val="22"/>
          <w:u w:val="single"/>
        </w:rPr>
      </w:pPr>
      <w:r>
        <w:rPr>
          <w:color w:val="000080"/>
          <w:sz w:val="22"/>
          <w:u w:val="single"/>
        </w:rPr>
        <w:t>In Canada</w:t>
      </w:r>
    </w:p>
    <w:p>
      <w:pPr>
        <w:pStyle w:val="Normal"/>
        <w:numPr>
          <w:ilvl w:val="0"/>
          <w:numId w:val="6"/>
        </w:numPr>
        <w:spacing w:before="0" w:after="0"/>
        <w:rPr>
          <w:color w:val="000080"/>
          <w:sz w:val="22"/>
        </w:rPr>
      </w:pPr>
      <w:hyperlink w:anchor="_Alberta_Power_Pool">
        <w:r>
          <w:rPr>
            <w:rStyle w:val="Hyperlink"/>
            <w:color w:val="000080"/>
            <w:sz w:val="22"/>
          </w:rPr>
          <w:t>Alberta Power Pool</w:t>
        </w:r>
      </w:hyperlink>
    </w:p>
    <w:p>
      <w:pPr>
        <w:pStyle w:val="Normal"/>
        <w:numPr>
          <w:ilvl w:val="0"/>
          <w:numId w:val="6"/>
        </w:numPr>
        <w:spacing w:before="0" w:after="0"/>
        <w:rPr>
          <w:color w:val="000080"/>
          <w:sz w:val="22"/>
        </w:rPr>
      </w:pPr>
      <w:hyperlink w:anchor="_Ontario_IMO_Credit">
        <w:r>
          <w:rPr>
            <w:rStyle w:val="Hyperlink"/>
            <w:color w:val="000080"/>
            <w:sz w:val="22"/>
          </w:rPr>
          <w:t>Ontario IMO Credit Policy</w:t>
        </w:r>
      </w:hyperlink>
    </w:p>
    <w:p>
      <w:pPr>
        <w:pStyle w:val="Heading1"/>
        <w:spacing w:before="0" w:after="0"/>
        <w:ind w:hanging="0" w:start="0"/>
        <w:rPr>
          <w:color w:val="000080"/>
          <w:sz w:val="22"/>
        </w:rPr>
      </w:pPr>
      <w:r>
        <w:rPr>
          <w:color w:val="000080"/>
          <w:sz w:val="22"/>
        </w:rPr>
      </w:r>
    </w:p>
    <w:p>
      <w:pPr>
        <w:pStyle w:val="Heading1"/>
        <w:spacing w:before="0" w:after="0"/>
        <w:ind w:hanging="0" w:start="0"/>
        <w:rPr>
          <w:b w:val="false"/>
          <w:bCs/>
          <w:color w:val="000080"/>
          <w:sz w:val="22"/>
        </w:rPr>
      </w:pPr>
      <w:bookmarkStart w:id="7" w:name="_NYISO_Credit_Policy"/>
      <w:bookmarkEnd w:id="7"/>
      <w:r>
        <w:rPr>
          <w:color w:val="000080"/>
          <w:sz w:val="22"/>
        </w:rPr>
        <w:t>NYISO Credit Policy</w:t>
      </w:r>
    </w:p>
    <w:p>
      <w:pPr>
        <w:pStyle w:val="Normal"/>
        <w:spacing w:before="0" w:after="0"/>
        <w:jc w:val="both"/>
        <w:rPr>
          <w:color w:val="000080"/>
          <w:sz w:val="22"/>
        </w:rPr>
      </w:pPr>
      <w:r>
        <w:rPr>
          <w:color w:val="000080"/>
          <w:sz w:val="22"/>
        </w:rPr>
        <w:t>The NYISO has established the following creditworthiness policy to ensure that customer can meet its obligations and to protect against the risk of non-payment of invoices.  A summary of this policy is as follows:</w:t>
      </w:r>
    </w:p>
    <w:p>
      <w:pPr>
        <w:pStyle w:val="Normal"/>
        <w:numPr>
          <w:ilvl w:val="0"/>
          <w:numId w:val="10"/>
        </w:numPr>
        <w:spacing w:before="0" w:after="0"/>
        <w:jc w:val="both"/>
        <w:rPr>
          <w:color w:val="000080"/>
          <w:sz w:val="22"/>
        </w:rPr>
      </w:pPr>
      <w:r>
        <w:rPr>
          <w:color w:val="000080"/>
          <w:sz w:val="22"/>
        </w:rPr>
        <w:t xml:space="preserve">To assure credit worthiness, a NYISO customer may provide a cash deposit, an unconditional and irrevocable letter of credit (from an acceptable American or Canadian Bank with A credit rating from S&amp;P, or A2 by Moody’s), or obtain corporate guarantee from its parent company for all financial obligations under the tariffs; assuming that the parent company complies with credit ratings acceptable.  </w:t>
      </w:r>
      <w:r>
        <w:rPr>
          <w:color w:val="000080"/>
          <w:sz w:val="22"/>
          <w:u w:val="single"/>
        </w:rPr>
        <w:t>The amount of the instrument equals the sum of the customer’s obligations to the NYISO for three months (the greatest over a rolling 12-month period)</w:t>
      </w:r>
      <w:r>
        <w:rPr>
          <w:color w:val="000080"/>
          <w:sz w:val="22"/>
        </w:rPr>
        <w:t>.</w:t>
      </w:r>
    </w:p>
    <w:p>
      <w:pPr>
        <w:pStyle w:val="Normal"/>
        <w:numPr>
          <w:ilvl w:val="0"/>
          <w:numId w:val="10"/>
        </w:numPr>
        <w:spacing w:before="0" w:after="0"/>
        <w:jc w:val="both"/>
        <w:rPr>
          <w:color w:val="000080"/>
          <w:sz w:val="22"/>
        </w:rPr>
      </w:pPr>
      <w:r>
        <w:rPr>
          <w:color w:val="000080"/>
          <w:sz w:val="22"/>
        </w:rPr>
        <w:t xml:space="preserve">In lieu of </w:t>
      </w:r>
      <w:r>
        <w:rPr>
          <w:color w:val="000080"/>
          <w:sz w:val="22"/>
          <w:u w:val="single"/>
        </w:rPr>
        <w:t>cash deposits, letters of credit, or corporate guarantee</w:t>
      </w:r>
      <w:r>
        <w:rPr>
          <w:color w:val="000080"/>
          <w:sz w:val="22"/>
        </w:rPr>
        <w:t xml:space="preserve">, the customer must submit initially, and annually thereafter, a current debt-rating agency of a minimum of “BBB” or “Baa2” by SP, or Moody’s respectively.  </w:t>
      </w:r>
    </w:p>
    <w:p>
      <w:pPr>
        <w:pStyle w:val="Normal"/>
        <w:spacing w:before="0" w:after="0"/>
        <w:jc w:val="both"/>
        <w:rPr>
          <w:color w:val="000080"/>
          <w:sz w:val="22"/>
        </w:rPr>
      </w:pPr>
      <w:r>
        <w:rPr>
          <w:color w:val="000080"/>
          <w:sz w:val="22"/>
        </w:rPr>
      </w:r>
    </w:p>
    <w:p>
      <w:pPr>
        <w:pStyle w:val="Normal"/>
        <w:numPr>
          <w:ilvl w:val="0"/>
          <w:numId w:val="10"/>
        </w:numPr>
        <w:spacing w:before="0" w:after="0"/>
        <w:jc w:val="both"/>
        <w:rPr>
          <w:color w:val="000080"/>
          <w:sz w:val="22"/>
        </w:rPr>
      </w:pPr>
      <w:r>
        <w:rPr>
          <w:color w:val="000080"/>
          <w:sz w:val="22"/>
        </w:rPr>
        <w:t xml:space="preserve">Any services provided under the Tariff may be terminated either immediately (for Service Tariffs) or upon 60 days prior notice (OATT) if the customer fails to demonstrate its creditworthiness.  </w:t>
      </w:r>
    </w:p>
    <w:p>
      <w:pPr>
        <w:pStyle w:val="Normal"/>
        <w:numPr>
          <w:ilvl w:val="0"/>
          <w:numId w:val="10"/>
        </w:numPr>
        <w:spacing w:before="0" w:after="0"/>
        <w:jc w:val="both"/>
        <w:rPr/>
      </w:pPr>
      <w:r>
        <w:rPr>
          <w:color w:val="000080"/>
          <w:sz w:val="22"/>
        </w:rPr>
        <w:t>A NYISO customer must immediately inform the NYISO of any material change in its financial position.</w:t>
      </w:r>
    </w:p>
    <w:p>
      <w:pPr>
        <w:pStyle w:val="Heading1"/>
        <w:spacing w:before="0" w:after="0"/>
        <w:ind w:hanging="0" w:start="0"/>
        <w:rPr>
          <w:color w:val="000080"/>
          <w:sz w:val="22"/>
        </w:rPr>
      </w:pPr>
      <w:bookmarkStart w:id="8" w:name="_New_England_Power"/>
      <w:bookmarkEnd w:id="8"/>
      <w:r>
        <w:rPr>
          <w:color w:val="000080"/>
          <w:sz w:val="22"/>
        </w:rPr>
        <w:t>New England Power Pool Credit Policy</w:t>
      </w:r>
    </w:p>
    <w:p>
      <w:pPr>
        <w:pStyle w:val="Normal"/>
        <w:autoSpaceDE w:val="false"/>
        <w:spacing w:before="0" w:after="0"/>
        <w:jc w:val="both"/>
        <w:rPr>
          <w:color w:val="000080"/>
          <w:sz w:val="22"/>
        </w:rPr>
      </w:pPr>
      <w:r>
        <w:rPr>
          <w:color w:val="000080"/>
          <w:sz w:val="22"/>
        </w:rPr>
        <w:t>The NEPOOL has established the following creditworthiness policy to ensure that participants can meet their obligations and to protect against the risk of non-payment of invoices.  A summary of this policy is as follows:</w:t>
      </w:r>
    </w:p>
    <w:p>
      <w:pPr>
        <w:pStyle w:val="Normal"/>
        <w:numPr>
          <w:ilvl w:val="0"/>
          <w:numId w:val="5"/>
        </w:numPr>
        <w:spacing w:before="0" w:after="0"/>
        <w:jc w:val="both"/>
        <w:rPr>
          <w:color w:val="000080"/>
          <w:sz w:val="22"/>
        </w:rPr>
      </w:pPr>
      <w:r>
        <w:rPr>
          <w:color w:val="000080"/>
          <w:sz w:val="22"/>
        </w:rPr>
        <w:t>Generally, any Applicant or Participant that does not have an investment grade rating by either S&amp;P’s, Moody’s, Duff &amp; Phelps, or Fitch (or in the case of Applicants or Participants that are not rated themselves, any Applicant or Participant that does not have outstanding debt with such a rating) will be required to provide financial assurances, as described below.</w:t>
      </w:r>
    </w:p>
    <w:p>
      <w:pPr>
        <w:pStyle w:val="Normal"/>
        <w:numPr>
          <w:ilvl w:val="0"/>
          <w:numId w:val="5"/>
        </w:numPr>
        <w:spacing w:before="0" w:after="0"/>
        <w:jc w:val="both"/>
        <w:rPr>
          <w:color w:val="000080"/>
          <w:sz w:val="22"/>
          <w:u w:val="single"/>
        </w:rPr>
      </w:pPr>
      <w:r>
        <w:rPr>
          <w:color w:val="000080"/>
          <w:sz w:val="22"/>
        </w:rPr>
        <w:t xml:space="preserve">Each Participant is responsible for informing NEPOOL in writing within ten business days of any material change in its financial status.  A material change in financial status includes, but is not limited to, the following: a downgrade to a below investment grade rating of senior long term debt by a major rating agency, being placed on credit watch with negative implication by a major rating agency if senior long term debt does not have an investment grade rating, a bankruptcy filing, insolvency, a report of a significant quarterly loss or decline of earnings, the resignation of key officer(s), and/or the filing of a material lawsuit that could materially impact financial results.  </w:t>
      </w:r>
      <w:r>
        <w:rPr>
          <w:color w:val="000080"/>
          <w:sz w:val="22"/>
          <w:u w:val="single"/>
        </w:rPr>
        <w:t xml:space="preserve">A Participant’s failure to provide this information may result in termination proceedings by NEPOOL. </w:t>
      </w:r>
    </w:p>
    <w:p>
      <w:pPr>
        <w:pStyle w:val="Normal"/>
        <w:numPr>
          <w:ilvl w:val="0"/>
          <w:numId w:val="5"/>
        </w:numPr>
        <w:spacing w:before="0" w:after="0"/>
        <w:jc w:val="both"/>
        <w:rPr>
          <w:color w:val="000080"/>
          <w:sz w:val="22"/>
        </w:rPr>
      </w:pPr>
      <w:r>
        <w:rPr>
          <w:color w:val="000080"/>
          <w:sz w:val="22"/>
        </w:rPr>
        <w:t xml:space="preserve">Applicants or Participants that do not satisfy the rating requirement or NEPOOL's credit review process must submit instead one of the following additional financial assurances: </w:t>
      </w:r>
      <w:r>
        <w:rPr>
          <w:color w:val="000080"/>
          <w:sz w:val="22"/>
          <w:u w:val="single"/>
        </w:rPr>
        <w:t>cash deposit, letter of credit or performance bond</w:t>
      </w:r>
      <w:r>
        <w:rPr>
          <w:color w:val="000080"/>
          <w:sz w:val="22"/>
        </w:rPr>
        <w:t xml:space="preserve">. The amount of financial assurance is based on their average monthly charges, with a maximum of 3 ½ months’ NEPOOL Charges, when the monthly charge is larger than $50,000. </w:t>
      </w:r>
    </w:p>
    <w:p>
      <w:pPr>
        <w:pStyle w:val="Normal"/>
        <w:numPr>
          <w:ilvl w:val="0"/>
          <w:numId w:val="5"/>
        </w:numPr>
        <w:spacing w:before="0" w:after="0"/>
        <w:jc w:val="both"/>
        <w:rPr>
          <w:color w:val="000080"/>
          <w:sz w:val="22"/>
        </w:rPr>
      </w:pPr>
      <w:r>
        <w:rPr>
          <w:color w:val="000080"/>
          <w:sz w:val="22"/>
        </w:rPr>
        <w:t>An irrevocable corporate guaranty obtained from a Participant’s affiliated company (“Guarantor”) for the full value of the Financial Assurance Requirement, may also be an acceptable form of financial assurance to NEPOOL (assuming that the affiliated company complies with credit ratings acceptable).</w:t>
      </w:r>
    </w:p>
    <w:p>
      <w:pPr>
        <w:pStyle w:val="Normal"/>
        <w:numPr>
          <w:ilvl w:val="0"/>
          <w:numId w:val="5"/>
        </w:numPr>
        <w:spacing w:before="0" w:after="0"/>
        <w:jc w:val="both"/>
        <w:rPr>
          <w:color w:val="000080"/>
          <w:sz w:val="22"/>
        </w:rPr>
      </w:pPr>
      <w:r>
        <w:rPr>
          <w:color w:val="000080"/>
          <w:sz w:val="22"/>
        </w:rPr>
        <w:t xml:space="preserve">A Participant that does not satisfy the rating requirement may request that, in lieu of providing one of the additional financial assurances set forth above, a weekly billing schedule be implemented for it.  </w:t>
      </w:r>
    </w:p>
    <w:p>
      <w:pPr>
        <w:pStyle w:val="Heading1"/>
        <w:spacing w:before="0" w:after="0"/>
        <w:ind w:hanging="0" w:start="0"/>
        <w:rPr>
          <w:color w:val="000080"/>
          <w:sz w:val="22"/>
        </w:rPr>
      </w:pPr>
      <w:bookmarkStart w:id="9" w:name="_PJM_Credit_Policy"/>
      <w:bookmarkEnd w:id="9"/>
      <w:r>
        <w:rPr>
          <w:color w:val="000080"/>
          <w:sz w:val="22"/>
        </w:rPr>
        <w:t>PJM Credit Policy</w:t>
      </w:r>
    </w:p>
    <w:p>
      <w:pPr>
        <w:pStyle w:val="Normal"/>
        <w:spacing w:before="0" w:after="0"/>
        <w:jc w:val="both"/>
        <w:rPr/>
      </w:pPr>
      <w:r>
        <w:rPr>
          <w:color w:val="000080"/>
          <w:sz w:val="22"/>
        </w:rPr>
        <w:t xml:space="preserve">It is the policy of PJM that prior to an entity participating in the PJM markets, or in order to take Transmission service, it must have an approved credit application, and an </w:t>
      </w:r>
      <w:r>
        <w:rPr>
          <w:color w:val="000080"/>
          <w:sz w:val="22"/>
          <w:u w:val="single"/>
        </w:rPr>
        <w:t>Established Maximum Outstanding Obligation Limit</w:t>
      </w:r>
      <w:r>
        <w:rPr>
          <w:color w:val="000080"/>
          <w:sz w:val="22"/>
        </w:rPr>
        <w:t xml:space="preserve"> with PJM. This Maximum; it is a defined term; is one third of the peak market activity established for an applicant or participant, multiplied by 1.5; this is the amount against which a participant’s net obligation to PJM is monitored/compared.  Each participant must satisfy the financial viability requirement, and if applicable, provide the financial assurances set below.    </w:t>
      </w:r>
    </w:p>
    <w:p>
      <w:pPr>
        <w:pStyle w:val="Normal"/>
        <w:spacing w:before="0" w:after="0"/>
        <w:jc w:val="both"/>
        <w:rPr>
          <w:color w:val="000080"/>
          <w:sz w:val="22"/>
        </w:rPr>
      </w:pPr>
      <w:r>
        <w:rPr>
          <w:color w:val="000080"/>
          <w:sz w:val="22"/>
        </w:rPr>
      </w:r>
    </w:p>
    <w:p>
      <w:pPr>
        <w:pStyle w:val="Normal"/>
        <w:spacing w:before="0" w:after="0"/>
        <w:jc w:val="both"/>
        <w:rPr>
          <w:color w:val="000080"/>
          <w:sz w:val="22"/>
        </w:rPr>
      </w:pPr>
      <w:r>
        <w:rPr>
          <w:color w:val="000080"/>
          <w:sz w:val="22"/>
        </w:rPr>
        <w:t>For an Applicant or Participant to be considered or participate in PJM Markets, without furnishing additional assurances, they must have a minimum credit rating of:</w:t>
      </w:r>
    </w:p>
    <w:p>
      <w:pPr>
        <w:pStyle w:val="Normal"/>
        <w:numPr>
          <w:ilvl w:val="1"/>
          <w:numId w:val="9"/>
        </w:numPr>
        <w:spacing w:before="0" w:after="0"/>
        <w:jc w:val="both"/>
        <w:rPr>
          <w:color w:val="000080"/>
          <w:sz w:val="22"/>
        </w:rPr>
      </w:pPr>
      <w:r>
        <w:rPr>
          <w:color w:val="000080"/>
          <w:sz w:val="22"/>
        </w:rPr>
        <w:t>S&amp;P’s – BBB</w:t>
      </w:r>
    </w:p>
    <w:p>
      <w:pPr>
        <w:pStyle w:val="Normal"/>
        <w:numPr>
          <w:ilvl w:val="1"/>
          <w:numId w:val="9"/>
        </w:numPr>
        <w:spacing w:before="0" w:after="0"/>
        <w:jc w:val="both"/>
        <w:rPr>
          <w:color w:val="000080"/>
          <w:sz w:val="22"/>
        </w:rPr>
      </w:pPr>
      <w:r>
        <w:rPr>
          <w:color w:val="000080"/>
          <w:sz w:val="22"/>
        </w:rPr>
        <w:t>Moody’s – Baa2</w:t>
      </w:r>
    </w:p>
    <w:p>
      <w:pPr>
        <w:pStyle w:val="BodyText2"/>
        <w:rPr>
          <w:color w:val="000080"/>
          <w:sz w:val="22"/>
        </w:rPr>
      </w:pPr>
      <w:r>
        <w:rPr>
          <w:color w:val="000080"/>
          <w:sz w:val="22"/>
        </w:rPr>
        <w:t>An exception may be granted to participants who compiles a financial analysis coupled by a “satisfactory” payment history, and have demonstrated a consistent record of compliance with PJM’s terms.</w:t>
      </w:r>
    </w:p>
    <w:p>
      <w:pPr>
        <w:pStyle w:val="Normal"/>
        <w:spacing w:before="0" w:after="0"/>
        <w:jc w:val="both"/>
        <w:rPr>
          <w:color w:val="000080"/>
          <w:sz w:val="22"/>
        </w:rPr>
      </w:pPr>
      <w:r>
        <w:rPr>
          <w:color w:val="000080"/>
          <w:sz w:val="22"/>
        </w:rPr>
      </w:r>
    </w:p>
    <w:p>
      <w:pPr>
        <w:pStyle w:val="Normal"/>
        <w:spacing w:before="0" w:after="0"/>
        <w:jc w:val="both"/>
        <w:rPr/>
      </w:pPr>
      <w:r>
        <w:rPr>
          <w:color w:val="000080"/>
          <w:sz w:val="22"/>
        </w:rPr>
        <w:t xml:space="preserve">Each Participant must submit audited financial statements every two years, as well as current fiscal year interim-unaudited statements. Furthermore, each Participant is responsible for notifying PJM </w:t>
      </w:r>
      <w:r>
        <w:rPr>
          <w:color w:val="000080"/>
          <w:sz w:val="22"/>
          <w:u w:val="single"/>
        </w:rPr>
        <w:t>in writing, any change in its financial condition – within 5 business days of the change</w:t>
      </w:r>
      <w:r>
        <w:rPr>
          <w:color w:val="000080"/>
          <w:sz w:val="22"/>
        </w:rPr>
        <w:t xml:space="preserve">.  This includes: any downgrade, being place on credit watch, bankruptcy filling, filling a Form 8-K, insolvency, a report of a significant quarterly loss, a resignation of any key officers, or any lawsuit that may effect financial results.  </w:t>
      </w:r>
    </w:p>
    <w:p>
      <w:pPr>
        <w:pStyle w:val="BodyText3"/>
        <w:rPr>
          <w:sz w:val="22"/>
        </w:rPr>
      </w:pPr>
      <w:r>
        <w:rPr>
          <w:sz w:val="22"/>
        </w:rPr>
        <w:t xml:space="preserve">The accepted forms of guarantees (financial assurance in PJM parlance) are: a) cash deposits, b) letter of credit, c) surety bond, or, d) corporate guaranty. </w:t>
      </w:r>
    </w:p>
    <w:p>
      <w:pPr>
        <w:pStyle w:val="Heading1"/>
        <w:spacing w:before="0" w:after="0"/>
        <w:ind w:hanging="0" w:start="0"/>
        <w:rPr>
          <w:color w:val="000080"/>
          <w:sz w:val="22"/>
        </w:rPr>
      </w:pPr>
      <w:bookmarkStart w:id="10" w:name="_CA_ISO_Credit_1"/>
      <w:bookmarkEnd w:id="10"/>
      <w:r>
        <w:rPr>
          <w:color w:val="000080"/>
          <w:sz w:val="22"/>
        </w:rPr>
        <w:t>CA ISO Credit Policy</w:t>
      </w:r>
    </w:p>
    <w:p>
      <w:pPr>
        <w:pStyle w:val="Normal"/>
        <w:autoSpaceDE w:val="false"/>
        <w:spacing w:before="0" w:after="0"/>
        <w:jc w:val="both"/>
        <w:rPr>
          <w:color w:val="000080"/>
          <w:sz w:val="22"/>
        </w:rPr>
      </w:pPr>
      <w:r>
        <w:rPr>
          <w:color w:val="000080"/>
          <w:sz w:val="22"/>
        </w:rPr>
        <w:t>The situation with the California ISO is complicated by the fact that they recently had to face a loss of creditworthiness from PG&amp;E and Southern California Edison. In an amendment to the ISO Tariff, the ISO proposed revisions to the tariff that would in effect waive the sanctions of the ISO Tariff's creditworthiness requirements for certain entities that were creditworthy as of January 3, 2001 but were about to lose the Approved Credit Rating that established their creditworthiness. This only applies to purchases using their own generation and transmission, but opened a Pandora box in the evaluation of creditworthiness for market participants in California. In addition, the ISO Tariff did not have procedures in place to admit guarantees from third parties to back energy, ancillary services and grid management charges. A process was incorporated to this effect recently to allow SCE and PG&amp;E buy power backed by California Department of Water Resources.</w:t>
      </w:r>
    </w:p>
    <w:p>
      <w:pPr>
        <w:pStyle w:val="Normal"/>
        <w:autoSpaceDE w:val="false"/>
        <w:spacing w:before="0" w:after="0"/>
        <w:jc w:val="both"/>
        <w:rPr>
          <w:color w:val="000080"/>
          <w:sz w:val="22"/>
        </w:rPr>
      </w:pPr>
      <w:r>
        <w:rPr>
          <w:color w:val="000080"/>
          <w:sz w:val="22"/>
        </w:rPr>
        <w:t>In any event, each Scheduling Coordinator (SC), Utility Distribution Company (UDC) or Metered Subsystem (MSS) must maintain an approved Credit Rating or provide in favor of the ISO one for the following forms of security for an amount to be determined by the SC, UDC or MSS in the form stated in the Tariff:</w:t>
      </w:r>
    </w:p>
    <w:p>
      <w:pPr>
        <w:pStyle w:val="Normal"/>
        <w:numPr>
          <w:ilvl w:val="0"/>
          <w:numId w:val="3"/>
        </w:numPr>
        <w:autoSpaceDE w:val="false"/>
        <w:spacing w:before="0" w:after="0"/>
        <w:jc w:val="both"/>
        <w:rPr>
          <w:color w:val="000080"/>
          <w:sz w:val="22"/>
        </w:rPr>
      </w:pPr>
      <w:r>
        <w:rPr>
          <w:color w:val="000080"/>
          <w:sz w:val="22"/>
        </w:rPr>
        <w:t>An irrevocable and unconditional letter of credit confirmed by a bank or financial institution reasonably acceptable to the ISO;</w:t>
      </w:r>
    </w:p>
    <w:p>
      <w:pPr>
        <w:pStyle w:val="Normal"/>
        <w:numPr>
          <w:ilvl w:val="0"/>
          <w:numId w:val="3"/>
        </w:numPr>
        <w:autoSpaceDE w:val="false"/>
        <w:spacing w:before="0" w:after="0"/>
        <w:jc w:val="both"/>
        <w:rPr>
          <w:color w:val="000080"/>
          <w:sz w:val="22"/>
        </w:rPr>
      </w:pPr>
      <w:r>
        <w:rPr>
          <w:color w:val="000080"/>
          <w:sz w:val="22"/>
        </w:rPr>
        <w:t>An irrevocable and unconditional surety bond posted by an insurance company reasonably acceptable to the ISO;</w:t>
      </w:r>
    </w:p>
    <w:p>
      <w:pPr>
        <w:pStyle w:val="Normal"/>
        <w:numPr>
          <w:ilvl w:val="0"/>
          <w:numId w:val="3"/>
        </w:numPr>
        <w:autoSpaceDE w:val="false"/>
        <w:spacing w:before="0" w:after="0"/>
        <w:jc w:val="both"/>
        <w:rPr>
          <w:color w:val="000080"/>
          <w:sz w:val="22"/>
        </w:rPr>
      </w:pPr>
      <w:r>
        <w:rPr>
          <w:color w:val="000080"/>
          <w:sz w:val="22"/>
        </w:rPr>
        <w:t>An irrevocable and unconditional guarantee, which has and maintains an Approved Credit Rating;</w:t>
      </w:r>
    </w:p>
    <w:p>
      <w:pPr>
        <w:pStyle w:val="Normal"/>
        <w:numPr>
          <w:ilvl w:val="0"/>
          <w:numId w:val="3"/>
        </w:numPr>
        <w:autoSpaceDE w:val="false"/>
        <w:spacing w:before="0" w:after="0"/>
        <w:jc w:val="both"/>
        <w:rPr>
          <w:color w:val="000080"/>
          <w:sz w:val="22"/>
        </w:rPr>
      </w:pPr>
      <w:r>
        <w:rPr>
          <w:color w:val="000080"/>
          <w:sz w:val="22"/>
        </w:rPr>
        <w:t>A cash deposit standing to the credit for an interested bearing escrow account maintained at a bank or financial institution designated by the ISO;</w:t>
      </w:r>
    </w:p>
    <w:p>
      <w:pPr>
        <w:pStyle w:val="Normal"/>
        <w:numPr>
          <w:ilvl w:val="0"/>
          <w:numId w:val="3"/>
        </w:numPr>
        <w:autoSpaceDE w:val="false"/>
        <w:spacing w:before="0" w:after="0"/>
        <w:jc w:val="both"/>
        <w:rPr>
          <w:color w:val="000080"/>
          <w:sz w:val="22"/>
        </w:rPr>
      </w:pPr>
      <w:r>
        <w:rPr>
          <w:color w:val="000080"/>
          <w:sz w:val="22"/>
        </w:rPr>
        <w:t>A certificate of deposit in the name of the ISO from a financial institution designated by the ISO; or</w:t>
      </w:r>
    </w:p>
    <w:p>
      <w:pPr>
        <w:pStyle w:val="Normal"/>
        <w:numPr>
          <w:ilvl w:val="0"/>
          <w:numId w:val="3"/>
        </w:numPr>
        <w:autoSpaceDE w:val="false"/>
        <w:spacing w:before="0" w:after="0"/>
        <w:jc w:val="both"/>
        <w:rPr>
          <w:color w:val="000080"/>
          <w:sz w:val="22"/>
        </w:rPr>
      </w:pPr>
      <w:r>
        <w:rPr>
          <w:color w:val="000080"/>
          <w:sz w:val="22"/>
        </w:rPr>
        <w:t>A payment bond certificate in the name of the ISO from a financial institution designated by the ISO;</w:t>
      </w:r>
    </w:p>
    <w:p>
      <w:pPr>
        <w:pStyle w:val="Normal"/>
        <w:autoSpaceDE w:val="false"/>
        <w:spacing w:before="0" w:after="0"/>
        <w:jc w:val="both"/>
        <w:rPr>
          <w:color w:val="000080"/>
          <w:sz w:val="22"/>
        </w:rPr>
      </w:pPr>
      <w:r>
        <w:rPr>
          <w:color w:val="000080"/>
          <w:sz w:val="22"/>
        </w:rPr>
        <w:t>Letters of credit, guarantees, surety bonds, payment bond certificates, escrow agreements and certificates of deposit shall be in such form as the ISO may reasonably require from time to time by notice to SC, UDCs or MSSs. SCs, UDCs or MSSs that do not maintain an approved credit rating will not be allowed to submit a schedule to the ISO, and the ISO will reject any schedule submitted if the security amount is not deposited. If an outstanding liability exceeds 90% of the required security amount, a notification by the ISO will be issued to cover the security within 15 days.</w:t>
      </w:r>
    </w:p>
    <w:p>
      <w:pPr>
        <w:pStyle w:val="Normal"/>
        <w:autoSpaceDE w:val="false"/>
        <w:spacing w:before="0" w:after="0"/>
        <w:jc w:val="both"/>
        <w:rPr>
          <w:color w:val="000080"/>
          <w:sz w:val="22"/>
        </w:rPr>
      </w:pPr>
      <w:r>
        <w:rPr>
          <w:color w:val="000080"/>
          <w:sz w:val="22"/>
        </w:rPr>
        <w:t>As of March 13, 2000, an approved credit rating with respect to market obligations, is defined as an entity maintaining at lest an A2/P2 (or equivalent) short-term issuer credit rating or a A3/A- (or equivalent) long-term credit rating from a national credit rating agency. Market obligations are Imbalance energy, Ancillary Services, Grid Operations Charge, Wheeling Access Charge, High Voltage Access Charge, Transition Charge, Usage Charges and FERC Annual Charges. It is supposed that day-ahead energy charges are also included since the dissolution of the PX, although no explicit reference to this issue in the regulations.</w:t>
      </w:r>
    </w:p>
    <w:p>
      <w:pPr>
        <w:pStyle w:val="BodyText3"/>
        <w:rPr>
          <w:sz w:val="22"/>
        </w:rPr>
      </w:pPr>
      <w:r>
        <w:rPr>
          <w:sz w:val="22"/>
        </w:rPr>
        <w:t>SCs, UDCs or MSSs must maintain A1/P1 (or equivalent) short-term issuer credit rating for the Grid Management charges, or the charges the ISO makes to fund its operations.</w:t>
      </w:r>
    </w:p>
    <w:p>
      <w:pPr>
        <w:pStyle w:val="BodyText3"/>
        <w:rPr>
          <w:sz w:val="22"/>
        </w:rPr>
      </w:pPr>
      <w:r>
        <w:rPr>
          <w:sz w:val="22"/>
        </w:rPr>
      </w:r>
    </w:p>
    <w:p>
      <w:pPr>
        <w:pStyle w:val="Heading1"/>
        <w:spacing w:before="0" w:after="0"/>
        <w:ind w:hanging="0" w:start="0"/>
        <w:rPr>
          <w:color w:val="000080"/>
        </w:rPr>
      </w:pPr>
      <w:bookmarkStart w:id="11" w:name="_ERCOT"/>
      <w:bookmarkEnd w:id="11"/>
      <w:r>
        <w:rPr>
          <w:color w:val="000080"/>
        </w:rPr>
        <w:t>ERCOT</w:t>
      </w:r>
    </w:p>
    <w:p>
      <w:pPr>
        <w:pStyle w:val="Normal"/>
        <w:rPr>
          <w:color w:val="000080"/>
          <w:sz w:val="22"/>
        </w:rPr>
      </w:pPr>
      <w:r>
        <w:rPr>
          <w:color w:val="000080"/>
          <w:sz w:val="22"/>
        </w:rPr>
        <w:t>ERCOT’s credit worthiness parameters are governed by ERCOT Protocols, Section 16.  A summary of these protocols are as follows:</w:t>
      </w:r>
    </w:p>
    <w:p>
      <w:pPr>
        <w:pStyle w:val="BodyTextIndent"/>
        <w:numPr>
          <w:ilvl w:val="0"/>
          <w:numId w:val="4"/>
        </w:numPr>
        <w:tabs>
          <w:tab w:val="left" w:pos="720" w:leader="none"/>
        </w:tabs>
        <w:ind w:hanging="450" w:start="720" w:end="0"/>
        <w:rPr>
          <w:color w:val="000080"/>
          <w:sz w:val="22"/>
        </w:rPr>
      </w:pPr>
      <w:r>
        <w:rPr>
          <w:color w:val="000080"/>
          <w:sz w:val="22"/>
        </w:rPr>
        <w:t xml:space="preserve">The Qualified Scheduling Entity (QSE’s) must meet ERCOT’s creditworthiness requirements and maintain any minimum-security amount required.  If the QSE’s creditworthiness rating falls below the level established by the ERCOT Board. ERCOT will suspend the QSE’s scheduling rights under until the QSE submits another form of security.  </w:t>
      </w:r>
    </w:p>
    <w:p>
      <w:pPr>
        <w:pStyle w:val="BodyTextIndent"/>
        <w:numPr>
          <w:ilvl w:val="0"/>
          <w:numId w:val="4"/>
        </w:numPr>
        <w:tabs>
          <w:tab w:val="left" w:pos="720" w:leader="none"/>
        </w:tabs>
        <w:ind w:hanging="450" w:start="720" w:end="0"/>
        <w:rPr>
          <w:color w:val="000080"/>
          <w:sz w:val="22"/>
        </w:rPr>
      </w:pPr>
      <w:r>
        <w:rPr/>
        <w:t>A QSE may meet ERCOT’s credit requirements, and is not initially required to post security, if the QSE Has a Short-Term or Long-Term Debt Rating that meets or exceeds the Minimum Short-Term and Long-Term Debt Ratings adopted by the Board.  The current maximum levels for unsecured lines--as a percentage of shareholder’s equity--are demonstrated below taking into consideration that the actual limits will be calculated by ERCOT.</w:t>
      </w:r>
    </w:p>
    <w:tbl>
      <w:tblPr>
        <w:tblW w:w="7850" w:type="dxa"/>
        <w:jc w:val="start"/>
        <w:tblInd w:w="465" w:type="dxa"/>
        <w:tblLayout w:type="fixed"/>
        <w:tblCellMar>
          <w:top w:w="15" w:type="dxa"/>
          <w:start w:w="15" w:type="dxa"/>
          <w:bottom w:w="0" w:type="dxa"/>
          <w:end w:w="15" w:type="dxa"/>
        </w:tblCellMar>
      </w:tblPr>
      <w:tblGrid>
        <w:gridCol w:w="2700"/>
        <w:gridCol w:w="218"/>
        <w:gridCol w:w="46"/>
        <w:gridCol w:w="171"/>
        <w:gridCol w:w="850"/>
        <w:gridCol w:w="1343"/>
        <w:gridCol w:w="246"/>
        <w:gridCol w:w="996"/>
        <w:gridCol w:w="190"/>
        <w:gridCol w:w="130"/>
        <w:gridCol w:w="960"/>
      </w:tblGrid>
      <w:tr>
        <w:trPr>
          <w:trHeight w:val="255" w:hRule="atLeast"/>
        </w:trPr>
        <w:tc>
          <w:tcPr>
            <w:tcW w:w="2700" w:type="dxa"/>
            <w:tcBorders/>
            <w:vAlign w:val="bottom"/>
          </w:tcPr>
          <w:p>
            <w:pPr>
              <w:pStyle w:val="Normal"/>
              <w:snapToGrid w:val="false"/>
              <w:spacing w:before="0" w:after="0"/>
              <w:jc w:val="center"/>
              <w:rPr>
                <w:rFonts w:eastAsia="Arial Unicode MS"/>
                <w:b/>
                <w:bCs/>
                <w:color w:val="000080"/>
                <w:sz w:val="22"/>
              </w:rPr>
            </w:pPr>
            <w:r>
              <w:rPr>
                <w:rFonts w:eastAsia="Arial Unicode MS"/>
                <w:b/>
                <w:bCs/>
                <w:color w:val="000080"/>
                <w:sz w:val="22"/>
              </w:rPr>
            </w:r>
          </w:p>
        </w:tc>
        <w:tc>
          <w:tcPr>
            <w:tcW w:w="264" w:type="dxa"/>
            <w:gridSpan w:val="2"/>
            <w:tcBorders/>
            <w:vAlign w:val="bottom"/>
          </w:tcPr>
          <w:p>
            <w:pPr>
              <w:pStyle w:val="Normal"/>
              <w:snapToGrid w:val="false"/>
              <w:spacing w:before="0" w:after="0"/>
              <w:jc w:val="center"/>
              <w:rPr>
                <w:rFonts w:eastAsia="Arial Unicode MS"/>
                <w:b/>
                <w:bCs/>
                <w:color w:val="000080"/>
                <w:sz w:val="22"/>
              </w:rPr>
            </w:pPr>
            <w:r>
              <w:rPr>
                <w:rFonts w:eastAsia="Arial Unicode MS"/>
                <w:b/>
                <w:bCs/>
                <w:color w:val="000080"/>
                <w:sz w:val="22"/>
              </w:rPr>
            </w:r>
          </w:p>
        </w:tc>
        <w:tc>
          <w:tcPr>
            <w:tcW w:w="2364" w:type="dxa"/>
            <w:gridSpan w:val="3"/>
            <w:tcBorders/>
            <w:vAlign w:val="bottom"/>
          </w:tcPr>
          <w:p>
            <w:pPr>
              <w:pStyle w:val="Normal"/>
              <w:snapToGrid w:val="false"/>
              <w:spacing w:before="0" w:after="0"/>
              <w:jc w:val="center"/>
              <w:rPr>
                <w:rFonts w:eastAsia="Arial Unicode MS"/>
                <w:b/>
                <w:bCs/>
                <w:color w:val="000080"/>
                <w:sz w:val="22"/>
              </w:rPr>
            </w:pPr>
            <w:r>
              <w:rPr>
                <w:rFonts w:eastAsia="Arial Unicode MS"/>
                <w:b/>
                <w:bCs/>
                <w:color w:val="000080"/>
                <w:sz w:val="22"/>
              </w:rPr>
            </w:r>
          </w:p>
        </w:tc>
        <w:tc>
          <w:tcPr>
            <w:tcW w:w="246" w:type="dxa"/>
            <w:tcBorders/>
            <w:vAlign w:val="bottom"/>
          </w:tcPr>
          <w:p>
            <w:pPr>
              <w:pStyle w:val="Normal"/>
              <w:snapToGrid w:val="false"/>
              <w:spacing w:before="0" w:after="0"/>
              <w:jc w:val="center"/>
              <w:rPr>
                <w:rFonts w:eastAsia="Arial Unicode MS"/>
                <w:b/>
                <w:bCs/>
                <w:color w:val="000080"/>
                <w:sz w:val="22"/>
              </w:rPr>
            </w:pPr>
            <w:r>
              <w:rPr>
                <w:rFonts w:eastAsia="Arial Unicode MS"/>
                <w:b/>
                <w:bCs/>
                <w:color w:val="000080"/>
                <w:sz w:val="22"/>
              </w:rPr>
            </w:r>
          </w:p>
        </w:tc>
        <w:tc>
          <w:tcPr>
            <w:tcW w:w="996" w:type="dxa"/>
            <w:tcBorders>
              <w:bottom w:val="single" w:sz="4" w:space="0" w:color="000000"/>
            </w:tcBorders>
            <w:vAlign w:val="bottom"/>
          </w:tcPr>
          <w:p>
            <w:pPr>
              <w:pStyle w:val="Normal"/>
              <w:snapToGrid w:val="false"/>
              <w:spacing w:before="0" w:after="0"/>
              <w:jc w:val="center"/>
              <w:rPr>
                <w:rFonts w:eastAsia="Arial Unicode MS"/>
                <w:b/>
                <w:bCs/>
                <w:color w:val="000080"/>
                <w:sz w:val="22"/>
              </w:rPr>
            </w:pPr>
            <w:r>
              <w:rPr>
                <w:rFonts w:eastAsia="Arial Unicode MS"/>
                <w:b/>
                <w:bCs/>
                <w:color w:val="000080"/>
                <w:sz w:val="22"/>
              </w:rPr>
            </w:r>
          </w:p>
        </w:tc>
        <w:tc>
          <w:tcPr>
            <w:tcW w:w="320" w:type="dxa"/>
            <w:gridSpan w:val="2"/>
            <w:tcBorders>
              <w:bottom w:val="single" w:sz="4" w:space="0" w:color="000000"/>
            </w:tcBorders>
            <w:vAlign w:val="bottom"/>
          </w:tcPr>
          <w:p>
            <w:pPr>
              <w:pStyle w:val="Normal"/>
              <w:snapToGrid w:val="false"/>
              <w:spacing w:before="0" w:after="0"/>
              <w:jc w:val="center"/>
              <w:rPr>
                <w:rFonts w:eastAsia="Arial Unicode MS"/>
                <w:b/>
                <w:bCs/>
                <w:color w:val="000080"/>
                <w:sz w:val="22"/>
              </w:rPr>
            </w:pPr>
            <w:r>
              <w:rPr>
                <w:rFonts w:eastAsia="Arial Unicode MS"/>
                <w:b/>
                <w:bCs/>
                <w:color w:val="000080"/>
                <w:sz w:val="22"/>
              </w:rPr>
            </w:r>
          </w:p>
        </w:tc>
        <w:tc>
          <w:tcPr>
            <w:tcW w:w="960" w:type="dxa"/>
            <w:tcBorders>
              <w:bottom w:val="single" w:sz="4" w:space="0" w:color="000000"/>
            </w:tcBorders>
            <w:vAlign w:val="bottom"/>
          </w:tcPr>
          <w:p>
            <w:pPr>
              <w:pStyle w:val="Normal"/>
              <w:snapToGrid w:val="false"/>
              <w:spacing w:before="0" w:after="0"/>
              <w:rPr>
                <w:rFonts w:eastAsia="Arial Unicode MS"/>
                <w:b/>
                <w:bCs/>
                <w:color w:val="000080"/>
                <w:sz w:val="22"/>
              </w:rPr>
            </w:pPr>
            <w:r>
              <w:rPr>
                <w:rFonts w:eastAsia="Arial Unicode MS"/>
                <w:b/>
                <w:bCs/>
                <w:color w:val="000080"/>
                <w:sz w:val="22"/>
              </w:rPr>
            </w:r>
          </w:p>
        </w:tc>
      </w:tr>
      <w:tr>
        <w:trPr>
          <w:trHeight w:val="315" w:hRule="atLeast"/>
        </w:trPr>
        <w:tc>
          <w:tcPr>
            <w:tcW w:w="2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eastAsia="Arial Unicode MS"/>
                <w:color w:val="000080"/>
                <w:sz w:val="22"/>
                <w:u w:val="single"/>
              </w:rPr>
            </w:pPr>
            <w:r>
              <w:rPr>
                <w:color w:val="000080"/>
                <w:sz w:val="22"/>
                <w:u w:val="single"/>
              </w:rPr>
              <w:t>IF your entity has</w:t>
            </w:r>
          </w:p>
        </w:tc>
        <w:tc>
          <w:tcPr>
            <w:tcW w:w="264" w:type="dxa"/>
            <w:gridSpan w:val="2"/>
            <w:tcBorders/>
            <w:vAlign w:val="bottom"/>
          </w:tcPr>
          <w:p>
            <w:pPr>
              <w:pStyle w:val="Normal"/>
              <w:snapToGrid w:val="false"/>
              <w:spacing w:before="0" w:after="0"/>
              <w:jc w:val="center"/>
              <w:rPr>
                <w:rFonts w:eastAsia="Arial Unicode MS"/>
                <w:color w:val="000080"/>
                <w:sz w:val="22"/>
                <w:szCs w:val="24"/>
                <w:u w:val="single"/>
              </w:rPr>
            </w:pPr>
            <w:r>
              <w:rPr>
                <w:rFonts w:eastAsia="Arial Unicode MS"/>
                <w:color w:val="000080"/>
                <w:sz w:val="22"/>
                <w:szCs w:val="24"/>
                <w:u w:val="single"/>
              </w:rPr>
            </w:r>
          </w:p>
        </w:tc>
        <w:tc>
          <w:tcPr>
            <w:tcW w:w="2364"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eastAsia="Arial Unicode MS"/>
                <w:color w:val="000080"/>
                <w:sz w:val="22"/>
                <w:szCs w:val="24"/>
                <w:u w:val="single"/>
              </w:rPr>
            </w:pPr>
            <w:r>
              <w:rPr>
                <w:color w:val="000080"/>
                <w:sz w:val="22"/>
                <w:u w:val="single"/>
              </w:rPr>
              <w:t>AND</w:t>
            </w:r>
          </w:p>
        </w:tc>
        <w:tc>
          <w:tcPr>
            <w:tcW w:w="246" w:type="dxa"/>
            <w:tcBorders>
              <w:end w:val="single" w:sz="4" w:space="0" w:color="000000"/>
            </w:tcBorders>
            <w:vAlign w:val="bottom"/>
          </w:tcPr>
          <w:p>
            <w:pPr>
              <w:pStyle w:val="Normal"/>
              <w:snapToGrid w:val="false"/>
              <w:spacing w:before="0" w:after="0"/>
              <w:jc w:val="center"/>
              <w:rPr>
                <w:rFonts w:eastAsia="Arial Unicode MS"/>
                <w:color w:val="000080"/>
                <w:sz w:val="22"/>
                <w:szCs w:val="24"/>
                <w:u w:val="single"/>
              </w:rPr>
            </w:pPr>
            <w:r>
              <w:rPr>
                <w:rFonts w:eastAsia="Arial Unicode MS"/>
                <w:color w:val="000080"/>
                <w:sz w:val="22"/>
                <w:szCs w:val="24"/>
                <w:u w:val="single"/>
              </w:rPr>
            </w:r>
          </w:p>
        </w:tc>
        <w:tc>
          <w:tcPr>
            <w:tcW w:w="2276"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rFonts w:eastAsia="Arial Unicode MS"/>
                <w:color w:val="000080"/>
                <w:sz w:val="22"/>
                <w:szCs w:val="24"/>
                <w:u w:val="single"/>
              </w:rPr>
            </w:pPr>
            <w:r>
              <w:rPr>
                <w:color w:val="000080"/>
                <w:sz w:val="22"/>
                <w:u w:val="single"/>
              </w:rPr>
              <w:t>THEN</w:t>
            </w:r>
          </w:p>
        </w:tc>
      </w:tr>
      <w:tr>
        <w:trPr>
          <w:trHeight w:val="420" w:hRule="atLeast"/>
        </w:trPr>
        <w:tc>
          <w:tcPr>
            <w:tcW w:w="2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rPr>
                <w:rFonts w:eastAsia="Arial Unicode MS"/>
                <w:b/>
                <w:bCs/>
                <w:color w:val="000080"/>
                <w:sz w:val="22"/>
                <w:szCs w:val="24"/>
                <w:u w:val="single"/>
              </w:rPr>
            </w:pPr>
            <w:r>
              <w:rPr>
                <w:rFonts w:eastAsia="Arial Unicode MS"/>
                <w:b/>
                <w:bCs/>
                <w:color w:val="000080"/>
                <w:sz w:val="22"/>
                <w:szCs w:val="24"/>
                <w:u w:val="single"/>
              </w:rPr>
            </w:r>
          </w:p>
        </w:tc>
        <w:tc>
          <w:tcPr>
            <w:tcW w:w="264" w:type="dxa"/>
            <w:gridSpan w:val="2"/>
            <w:tcBorders/>
            <w:vAlign w:val="bottom"/>
          </w:tcPr>
          <w:p>
            <w:pPr>
              <w:pStyle w:val="Normal"/>
              <w:snapToGrid w:val="false"/>
              <w:spacing w:before="0" w:after="0"/>
              <w:jc w:val="center"/>
              <w:rPr>
                <w:rFonts w:eastAsia="Arial Unicode MS"/>
                <w:b/>
                <w:bCs/>
                <w:color w:val="000080"/>
                <w:sz w:val="22"/>
              </w:rPr>
            </w:pPr>
            <w:r>
              <w:rPr>
                <w:rFonts w:eastAsia="Arial Unicode MS"/>
                <w:b/>
                <w:bCs/>
                <w:color w:val="000080"/>
                <w:sz w:val="22"/>
              </w:rPr>
            </w:r>
          </w:p>
        </w:tc>
        <w:tc>
          <w:tcPr>
            <w:tcW w:w="2364"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rPr>
                <w:rFonts w:eastAsia="Arial Unicode MS"/>
                <w:b/>
                <w:bCs/>
                <w:color w:val="000080"/>
                <w:sz w:val="22"/>
                <w:szCs w:val="24"/>
                <w:u w:val="single"/>
              </w:rPr>
            </w:pPr>
            <w:r>
              <w:rPr>
                <w:rFonts w:eastAsia="Arial Unicode MS"/>
                <w:b/>
                <w:bCs/>
                <w:color w:val="000080"/>
                <w:sz w:val="22"/>
                <w:szCs w:val="24"/>
                <w:u w:val="single"/>
              </w:rPr>
            </w:r>
          </w:p>
        </w:tc>
        <w:tc>
          <w:tcPr>
            <w:tcW w:w="246" w:type="dxa"/>
            <w:tcBorders>
              <w:end w:val="single" w:sz="4" w:space="0" w:color="000000"/>
            </w:tcBorders>
            <w:vAlign w:val="bottom"/>
          </w:tcPr>
          <w:p>
            <w:pPr>
              <w:pStyle w:val="Normal"/>
              <w:snapToGrid w:val="false"/>
              <w:spacing w:before="0" w:after="0"/>
              <w:jc w:val="center"/>
              <w:rPr>
                <w:rFonts w:eastAsia="Arial Unicode MS"/>
                <w:b/>
                <w:bCs/>
                <w:color w:val="000080"/>
                <w:sz w:val="22"/>
                <w:szCs w:val="24"/>
                <w:u w:val="single"/>
              </w:rPr>
            </w:pPr>
            <w:r>
              <w:rPr>
                <w:rFonts w:eastAsia="Arial Unicode MS"/>
                <w:b/>
                <w:bCs/>
                <w:color w:val="000080"/>
                <w:sz w:val="22"/>
                <w:szCs w:val="24"/>
                <w:u w:val="single"/>
              </w:rPr>
            </w:r>
          </w:p>
        </w:tc>
        <w:tc>
          <w:tcPr>
            <w:tcW w:w="2276"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rPr>
                <w:rFonts w:eastAsia="Arial Unicode MS"/>
                <w:b/>
                <w:bCs/>
                <w:color w:val="000080"/>
                <w:sz w:val="22"/>
                <w:szCs w:val="24"/>
                <w:u w:val="single"/>
              </w:rPr>
            </w:pPr>
            <w:r>
              <w:rPr>
                <w:rFonts w:eastAsia="Arial Unicode MS"/>
                <w:b/>
                <w:bCs/>
                <w:color w:val="000080"/>
                <w:sz w:val="22"/>
                <w:szCs w:val="24"/>
                <w:u w:val="single"/>
              </w:rPr>
            </w:r>
          </w:p>
        </w:tc>
      </w:tr>
      <w:tr>
        <w:trPr>
          <w:trHeight w:val="255" w:hRule="atLeast"/>
        </w:trPr>
        <w:tc>
          <w:tcPr>
            <w:tcW w:w="2700" w:type="dxa"/>
            <w:tcBorders/>
            <w:vAlign w:val="bottom"/>
          </w:tcPr>
          <w:p>
            <w:pPr>
              <w:pStyle w:val="Normal"/>
              <w:snapToGrid w:val="false"/>
              <w:spacing w:before="0" w:after="0"/>
              <w:jc w:val="center"/>
              <w:rPr>
                <w:rFonts w:eastAsia="Arial Unicode MS"/>
                <w:b/>
                <w:bCs/>
                <w:color w:val="000080"/>
                <w:sz w:val="22"/>
                <w:szCs w:val="24"/>
                <w:u w:val="single"/>
              </w:rPr>
            </w:pPr>
            <w:r>
              <w:rPr>
                <w:rFonts w:eastAsia="Arial Unicode MS"/>
                <w:b/>
                <w:bCs/>
                <w:color w:val="000080"/>
                <w:sz w:val="22"/>
                <w:szCs w:val="24"/>
                <w:u w:val="single"/>
              </w:rPr>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top w:val="single" w:sz="4" w:space="0" w:color="000000"/>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320" w:type="dxa"/>
            <w:gridSpan w:val="2"/>
            <w:tcBorders>
              <w:top w:val="single" w:sz="4" w:space="0" w:color="000000"/>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60" w:type="dxa"/>
            <w:tcBorders>
              <w:top w:val="single" w:sz="4" w:space="0" w:color="000000"/>
            </w:tcBorders>
            <w:vAlign w:val="bottom"/>
          </w:tcPr>
          <w:p>
            <w:pPr>
              <w:pStyle w:val="Normal"/>
              <w:snapToGrid w:val="false"/>
              <w:spacing w:before="0" w:after="0"/>
              <w:rPr>
                <w:rFonts w:eastAsia="Arial Unicode MS"/>
                <w:color w:val="000080"/>
                <w:sz w:val="22"/>
              </w:rPr>
            </w:pPr>
            <w:r>
              <w:rPr>
                <w:rFonts w:eastAsia="Arial Unicode MS"/>
                <w:color w:val="000080"/>
                <w:sz w:val="22"/>
              </w:rPr>
            </w:r>
          </w:p>
        </w:tc>
      </w:tr>
      <w:tr>
        <w:trPr>
          <w:trHeight w:val="300" w:hRule="atLeast"/>
        </w:trPr>
        <w:tc>
          <w:tcPr>
            <w:tcW w:w="2700" w:type="dxa"/>
            <w:tcBorders>
              <w:top w:val="single" w:sz="4" w:space="0" w:color="000000"/>
              <w:start w:val="single" w:sz="4" w:space="0" w:color="000000"/>
              <w:bottom w:val="single" w:sz="4" w:space="0" w:color="000000"/>
            </w:tcBorders>
            <w:vAlign w:val="bottom"/>
          </w:tcPr>
          <w:p>
            <w:pPr>
              <w:pStyle w:val="Normal"/>
              <w:spacing w:before="0" w:after="0"/>
              <w:rPr>
                <w:rFonts w:eastAsia="Arial Unicode MS"/>
                <w:i/>
                <w:i/>
                <w:iCs/>
                <w:color w:val="000080"/>
                <w:sz w:val="22"/>
                <w:szCs w:val="22"/>
              </w:rPr>
            </w:pPr>
            <w:r>
              <w:rPr>
                <w:i/>
                <w:iCs/>
                <w:color w:val="000080"/>
                <w:sz w:val="22"/>
                <w:szCs w:val="22"/>
              </w:rPr>
              <w:t>Minimum Equity</w:t>
            </w:r>
          </w:p>
        </w:tc>
        <w:tc>
          <w:tcPr>
            <w:tcW w:w="3870" w:type="dxa"/>
            <w:gridSpan w:val="7"/>
            <w:tcBorders>
              <w:top w:val="single" w:sz="4" w:space="0" w:color="000000"/>
              <w:bottom w:val="single" w:sz="4" w:space="0" w:color="000000"/>
            </w:tcBorders>
            <w:vAlign w:val="bottom"/>
          </w:tcPr>
          <w:p>
            <w:pPr>
              <w:pStyle w:val="Normal"/>
              <w:spacing w:before="0" w:after="0"/>
              <w:rPr>
                <w:rFonts w:eastAsia="Arial Unicode MS"/>
                <w:i/>
                <w:i/>
                <w:iCs/>
                <w:color w:val="000080"/>
                <w:sz w:val="22"/>
                <w:szCs w:val="24"/>
              </w:rPr>
            </w:pPr>
            <w:r>
              <w:rPr>
                <w:i/>
                <w:iCs/>
                <w:color w:val="000080"/>
                <w:sz w:val="22"/>
              </w:rPr>
              <w:t xml:space="preserve">              </w:t>
            </w:r>
            <w:r>
              <w:rPr>
                <w:i/>
                <w:iCs/>
                <w:color w:val="000080"/>
                <w:sz w:val="22"/>
              </w:rPr>
              <w:t>$100,000,000</w:t>
            </w:r>
          </w:p>
        </w:tc>
        <w:tc>
          <w:tcPr>
            <w:tcW w:w="320" w:type="dxa"/>
            <w:gridSpan w:val="2"/>
            <w:tcBorders>
              <w:top w:val="single" w:sz="4" w:space="0" w:color="000000"/>
              <w:bottom w:val="single" w:sz="4" w:space="0" w:color="000000"/>
            </w:tcBorders>
            <w:vAlign w:val="bottom"/>
          </w:tcPr>
          <w:p>
            <w:pPr>
              <w:pStyle w:val="Normal"/>
              <w:spacing w:before="0" w:after="0"/>
              <w:jc w:val="center"/>
              <w:rPr>
                <w:rFonts w:eastAsia="Arial Unicode MS"/>
                <w:color w:val="000080"/>
                <w:sz w:val="22"/>
              </w:rPr>
            </w:pPr>
            <w:r>
              <w:rPr>
                <w:color w:val="000080"/>
                <w:sz w:val="22"/>
              </w:rPr>
              <w:t> </w:t>
            </w:r>
          </w:p>
        </w:tc>
        <w:tc>
          <w:tcPr>
            <w:tcW w:w="960" w:type="dxa"/>
            <w:tcBorders>
              <w:top w:val="single" w:sz="4" w:space="0" w:color="000000"/>
              <w:bottom w:val="single" w:sz="4" w:space="0" w:color="000000"/>
              <w:end w:val="single" w:sz="4" w:space="0" w:color="000000"/>
            </w:tcBorders>
            <w:vAlign w:val="bottom"/>
          </w:tcPr>
          <w:p>
            <w:pPr>
              <w:pStyle w:val="Normal"/>
              <w:spacing w:before="0" w:after="0"/>
              <w:rPr>
                <w:rFonts w:eastAsia="Arial Unicode MS"/>
                <w:color w:val="000080"/>
                <w:sz w:val="22"/>
              </w:rPr>
            </w:pPr>
            <w:r>
              <w:rPr>
                <w:color w:val="000080"/>
                <w:sz w:val="22"/>
              </w:rPr>
              <w:t> </w:t>
            </w:r>
          </w:p>
        </w:tc>
      </w:tr>
      <w:tr>
        <w:trPr>
          <w:trHeight w:val="510" w:hRule="atLeast"/>
        </w:trPr>
        <w:tc>
          <w:tcPr>
            <w:tcW w:w="2700" w:type="dxa"/>
            <w:tcBorders/>
            <w:vAlign w:val="bottom"/>
          </w:tcPr>
          <w:p>
            <w:pPr>
              <w:pStyle w:val="Normal"/>
              <w:spacing w:before="0" w:after="0"/>
              <w:ind w:end="81"/>
              <w:jc w:val="center"/>
              <w:rPr>
                <w:rFonts w:eastAsia="Arial Unicode MS"/>
                <w:color w:val="000080"/>
                <w:sz w:val="22"/>
              </w:rPr>
            </w:pPr>
            <w:r>
              <w:rPr>
                <w:color w:val="000080"/>
                <w:sz w:val="22"/>
              </w:rPr>
              <w:t xml:space="preserve">     </w:t>
            </w:r>
            <w:r>
              <w:rPr>
                <w:color w:val="000080"/>
                <w:sz w:val="22"/>
              </w:rPr>
              <w:t xml:space="preserve">S&amp;P Rating or Moody's </w:t>
            </w:r>
          </w:p>
        </w:tc>
        <w:tc>
          <w:tcPr>
            <w:tcW w:w="264" w:type="dxa"/>
            <w:gridSpan w:val="2"/>
            <w:tcBorders/>
            <w:vAlign w:val="bottom"/>
          </w:tcPr>
          <w:p>
            <w:pPr>
              <w:pStyle w:val="Normal"/>
              <w:snapToGrid w:val="false"/>
              <w:spacing w:before="0" w:after="0"/>
              <w:rPr>
                <w:rFonts w:eastAsia="Arial Unicode MS"/>
                <w:b/>
                <w:bCs/>
                <w:color w:val="000080"/>
                <w:sz w:val="22"/>
              </w:rPr>
            </w:pPr>
            <w:r>
              <w:rPr>
                <w:rFonts w:eastAsia="Arial Unicode MS"/>
                <w:b/>
                <w:bCs/>
                <w:color w:val="000080"/>
                <w:sz w:val="22"/>
              </w:rPr>
            </w:r>
          </w:p>
        </w:tc>
        <w:tc>
          <w:tcPr>
            <w:tcW w:w="2364" w:type="dxa"/>
            <w:gridSpan w:val="3"/>
            <w:vMerge w:val="restart"/>
            <w:tcBorders/>
            <w:vAlign w:val="bottom"/>
          </w:tcPr>
          <w:p>
            <w:pPr>
              <w:pStyle w:val="Normal"/>
              <w:spacing w:before="0" w:after="0"/>
              <w:jc w:val="center"/>
              <w:rPr>
                <w:color w:val="000080"/>
                <w:sz w:val="22"/>
              </w:rPr>
            </w:pPr>
            <w:r>
              <w:rPr>
                <w:color w:val="000080"/>
                <w:sz w:val="22"/>
              </w:rPr>
              <w:t>Shareholder Equity Greater than</w:t>
            </w:r>
          </w:p>
        </w:tc>
        <w:tc>
          <w:tcPr>
            <w:tcW w:w="246" w:type="dxa"/>
            <w:tcBorders/>
            <w:vAlign w:val="bottom"/>
          </w:tcPr>
          <w:p>
            <w:pPr>
              <w:pStyle w:val="Normal"/>
              <w:snapToGrid w:val="false"/>
              <w:spacing w:before="0" w:after="0"/>
              <w:rPr>
                <w:rFonts w:eastAsia="Arial Unicode MS"/>
                <w:b/>
                <w:bCs/>
                <w:color w:val="000080"/>
                <w:sz w:val="22"/>
              </w:rPr>
            </w:pPr>
            <w:r>
              <w:rPr>
                <w:rFonts w:eastAsia="Arial Unicode MS"/>
                <w:b/>
                <w:bCs/>
                <w:color w:val="000080"/>
                <w:sz w:val="22"/>
              </w:rPr>
            </w:r>
          </w:p>
        </w:tc>
        <w:tc>
          <w:tcPr>
            <w:tcW w:w="2276" w:type="dxa"/>
            <w:gridSpan w:val="4"/>
            <w:tcBorders/>
            <w:vAlign w:val="bottom"/>
          </w:tcPr>
          <w:p>
            <w:pPr>
              <w:pStyle w:val="Normal"/>
              <w:spacing w:before="0" w:after="0"/>
              <w:jc w:val="center"/>
              <w:rPr>
                <w:rFonts w:eastAsia="Arial Unicode MS"/>
                <w:color w:val="000080"/>
                <w:sz w:val="22"/>
              </w:rPr>
            </w:pPr>
            <w:r>
              <w:rPr>
                <w:color w:val="000080"/>
                <w:sz w:val="22"/>
              </w:rPr>
              <w:t xml:space="preserve">Max Unsecured line as a </w:t>
            </w:r>
          </w:p>
        </w:tc>
      </w:tr>
      <w:tr>
        <w:trPr>
          <w:trHeight w:val="338" w:hRule="atLeast"/>
        </w:trPr>
        <w:tc>
          <w:tcPr>
            <w:tcW w:w="2700" w:type="dxa"/>
            <w:tcBorders>
              <w:bottom w:val="single" w:sz="4" w:space="0" w:color="000000"/>
            </w:tcBorders>
            <w:vAlign w:val="bottom"/>
          </w:tcPr>
          <w:p>
            <w:pPr>
              <w:pStyle w:val="Normal"/>
              <w:snapToGrid w:val="false"/>
              <w:spacing w:before="0" w:after="0"/>
              <w:ind w:end="81"/>
              <w:jc w:val="center"/>
              <w:rPr>
                <w:rFonts w:eastAsia="Arial Unicode MS"/>
                <w:color w:val="000080"/>
                <w:sz w:val="22"/>
              </w:rPr>
            </w:pPr>
            <w:r>
              <w:rPr>
                <w:rFonts w:eastAsia="Arial Unicode MS"/>
                <w:color w:val="000080"/>
                <w:sz w:val="22"/>
              </w:rPr>
            </w:r>
          </w:p>
        </w:tc>
        <w:tc>
          <w:tcPr>
            <w:tcW w:w="264" w:type="dxa"/>
            <w:gridSpan w:val="2"/>
            <w:tcBorders/>
            <w:vAlign w:val="bottom"/>
          </w:tcPr>
          <w:p>
            <w:pPr>
              <w:pStyle w:val="Normal"/>
              <w:snapToGrid w:val="false"/>
              <w:spacing w:before="0" w:after="0"/>
              <w:rPr>
                <w:rFonts w:eastAsia="Arial Unicode MS"/>
                <w:b/>
                <w:bCs/>
                <w:color w:val="000080"/>
                <w:sz w:val="22"/>
              </w:rPr>
            </w:pPr>
            <w:r>
              <w:rPr>
                <w:rFonts w:eastAsia="Arial Unicode MS"/>
                <w:b/>
                <w:bCs/>
                <w:color w:val="000080"/>
                <w:sz w:val="22"/>
              </w:rPr>
            </w:r>
          </w:p>
        </w:tc>
        <w:tc>
          <w:tcPr>
            <w:tcW w:w="2364" w:type="dxa"/>
            <w:gridSpan w:val="3"/>
            <w:vMerge w:val="continue"/>
            <w:tcBorders/>
            <w:vAlign w:val="bottom"/>
          </w:tcPr>
          <w:p>
            <w:pPr>
              <w:pStyle w:val="Normal"/>
              <w:snapToGrid w:val="false"/>
              <w:spacing w:before="0" w:after="0"/>
              <w:jc w:val="center"/>
              <w:rPr>
                <w:rFonts w:eastAsia="Arial Unicode MS"/>
                <w:b/>
                <w:bCs/>
                <w:color w:val="000080"/>
                <w:sz w:val="22"/>
              </w:rPr>
            </w:pPr>
            <w:r>
              <w:rPr>
                <w:rFonts w:eastAsia="Arial Unicode MS"/>
                <w:b/>
                <w:bCs/>
                <w:color w:val="000080"/>
                <w:sz w:val="22"/>
              </w:rPr>
            </w:r>
          </w:p>
        </w:tc>
        <w:tc>
          <w:tcPr>
            <w:tcW w:w="246" w:type="dxa"/>
            <w:tcBorders/>
            <w:vAlign w:val="bottom"/>
          </w:tcPr>
          <w:p>
            <w:pPr>
              <w:pStyle w:val="Normal"/>
              <w:snapToGrid w:val="false"/>
              <w:spacing w:before="0" w:after="0"/>
              <w:rPr>
                <w:rFonts w:eastAsia="Arial Unicode MS"/>
                <w:b/>
                <w:bCs/>
                <w:color w:val="000080"/>
                <w:sz w:val="22"/>
              </w:rPr>
            </w:pPr>
            <w:r>
              <w:rPr>
                <w:rFonts w:eastAsia="Arial Unicode MS"/>
                <w:b/>
                <w:bCs/>
                <w:color w:val="000080"/>
                <w:sz w:val="22"/>
              </w:rPr>
            </w:r>
          </w:p>
        </w:tc>
        <w:tc>
          <w:tcPr>
            <w:tcW w:w="2276" w:type="dxa"/>
            <w:gridSpan w:val="4"/>
            <w:tcBorders>
              <w:bottom w:val="single" w:sz="4" w:space="0" w:color="000000"/>
            </w:tcBorders>
            <w:vAlign w:val="bottom"/>
          </w:tcPr>
          <w:p>
            <w:pPr>
              <w:pStyle w:val="Normal"/>
              <w:spacing w:before="0" w:after="0"/>
              <w:jc w:val="center"/>
              <w:rPr>
                <w:rFonts w:eastAsia="Arial Unicode MS"/>
                <w:color w:val="000080"/>
                <w:sz w:val="22"/>
              </w:rPr>
            </w:pPr>
            <w:r>
              <w:rPr>
                <w:color w:val="000080"/>
                <w:sz w:val="22"/>
              </w:rPr>
              <w:t>% of Shareholder's Equity</w:t>
            </w:r>
          </w:p>
        </w:tc>
      </w:tr>
      <w:tr>
        <w:trPr>
          <w:trHeight w:val="255" w:hRule="atLeast"/>
        </w:trPr>
        <w:tc>
          <w:tcPr>
            <w:tcW w:w="2700" w:type="dxa"/>
            <w:tcBorders/>
            <w:vAlign w:val="bottom"/>
          </w:tcPr>
          <w:p>
            <w:pPr>
              <w:pStyle w:val="Normal"/>
              <w:spacing w:before="0" w:after="0"/>
              <w:rPr>
                <w:rFonts w:eastAsia="Arial Unicode MS"/>
                <w:b/>
                <w:bCs/>
                <w:i/>
                <w:i/>
                <w:iCs/>
                <w:color w:val="000080"/>
                <w:sz w:val="22"/>
              </w:rPr>
            </w:pPr>
            <w:r>
              <w:rPr>
                <w:b/>
                <w:bCs/>
                <w:i/>
                <w:iCs/>
                <w:color w:val="000080"/>
                <w:sz w:val="22"/>
              </w:rPr>
              <w:t>Long-term or Issuer</w:t>
            </w:r>
          </w:p>
        </w:tc>
        <w:tc>
          <w:tcPr>
            <w:tcW w:w="264" w:type="dxa"/>
            <w:gridSpan w:val="2"/>
            <w:tcBorders/>
            <w:vAlign w:val="bottom"/>
          </w:tcPr>
          <w:p>
            <w:pPr>
              <w:pStyle w:val="Normal"/>
              <w:snapToGrid w:val="false"/>
              <w:spacing w:before="0" w:after="0"/>
              <w:rPr>
                <w:rFonts w:eastAsia="Arial Unicode MS"/>
                <w:b/>
                <w:bCs/>
                <w:i/>
                <w:i/>
                <w:iCs/>
                <w:color w:val="000080"/>
                <w:sz w:val="22"/>
              </w:rPr>
            </w:pPr>
            <w:r>
              <w:rPr>
                <w:rFonts w:eastAsia="Arial Unicode MS"/>
                <w:b/>
                <w:bCs/>
                <w:i/>
                <w:iCs/>
                <w:color w:val="000080"/>
                <w:sz w:val="22"/>
              </w:rPr>
            </w:r>
          </w:p>
        </w:tc>
        <w:tc>
          <w:tcPr>
            <w:tcW w:w="2364" w:type="dxa"/>
            <w:gridSpan w:val="3"/>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246" w:type="dxa"/>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996" w:type="dxa"/>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320" w:type="dxa"/>
            <w:gridSpan w:val="2"/>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960" w:type="dxa"/>
            <w:tcBorders/>
            <w:vAlign w:val="bottom"/>
          </w:tcPr>
          <w:p>
            <w:pPr>
              <w:pStyle w:val="Normal"/>
              <w:snapToGrid w:val="false"/>
              <w:spacing w:before="0" w:after="0"/>
              <w:rPr>
                <w:rFonts w:eastAsia="Arial Unicode MS"/>
                <w:color w:val="000080"/>
                <w:sz w:val="22"/>
              </w:rPr>
            </w:pPr>
            <w:r>
              <w:rPr>
                <w:rFonts w:eastAsia="Arial Unicode MS"/>
                <w:color w:val="000080"/>
                <w:sz w:val="22"/>
              </w:rPr>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AA or above</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 xml:space="preserve">$1,000,000,000 </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5.00%</w:t>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AA or above</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$500,000,000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3.00%</w:t>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AA or above</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$100,000,000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2.00%</w:t>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 to AA-</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$2,000,000,000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4.00%</w:t>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 to AA-</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$1,000,000,000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2.50%</w:t>
            </w:r>
          </w:p>
        </w:tc>
      </w:tr>
      <w:tr>
        <w:trPr>
          <w:trHeight w:val="255" w:hRule="atLeast"/>
        </w:trPr>
        <w:tc>
          <w:tcPr>
            <w:tcW w:w="2700"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320" w:type="dxa"/>
            <w:gridSpan w:val="2"/>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960"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 to AA-</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$500,000,000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1.75%</w:t>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 to BBB</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$3,000,000,000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3.00%</w:t>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 to BBB</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$1,500,000,000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2.00%</w:t>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 to BBB</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$750,000,000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1.00%</w:t>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BBB-</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 xml:space="preserve">$5,000,000,000 </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1.00%</w:t>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BBB-</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 xml:space="preserve">$2,500,000,000 </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0.50%</w:t>
            </w:r>
          </w:p>
        </w:tc>
      </w:tr>
      <w:tr>
        <w:trPr>
          <w:trHeight w:val="255" w:hRule="atLeast"/>
        </w:trPr>
        <w:tc>
          <w:tcPr>
            <w:tcW w:w="2700"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320" w:type="dxa"/>
            <w:gridSpan w:val="2"/>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960"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r>
      <w:tr>
        <w:trPr>
          <w:trHeight w:val="405" w:hRule="atLeast"/>
        </w:trPr>
        <w:tc>
          <w:tcPr>
            <w:tcW w:w="2700" w:type="dxa"/>
            <w:tcBorders/>
            <w:vAlign w:val="bottom"/>
          </w:tcPr>
          <w:p>
            <w:pPr>
              <w:pStyle w:val="Normal"/>
              <w:spacing w:before="0" w:after="0"/>
              <w:rPr>
                <w:rFonts w:eastAsia="Arial Unicode MS"/>
                <w:b/>
                <w:bCs/>
                <w:color w:val="000080"/>
                <w:sz w:val="22"/>
                <w:szCs w:val="32"/>
                <w:u w:val="single"/>
              </w:rPr>
            </w:pPr>
            <w:r>
              <w:rPr>
                <w:b/>
                <w:bCs/>
                <w:color w:val="000080"/>
                <w:sz w:val="22"/>
                <w:szCs w:val="32"/>
                <w:u w:val="single"/>
              </w:rPr>
              <w:t>OR</w:t>
            </w:r>
          </w:p>
        </w:tc>
        <w:tc>
          <w:tcPr>
            <w:tcW w:w="264" w:type="dxa"/>
            <w:gridSpan w:val="2"/>
            <w:tcBorders/>
            <w:vAlign w:val="bottom"/>
          </w:tcPr>
          <w:p>
            <w:pPr>
              <w:pStyle w:val="Normal"/>
              <w:snapToGrid w:val="false"/>
              <w:spacing w:before="0" w:after="0"/>
              <w:rPr>
                <w:rFonts w:eastAsia="Arial Unicode MS"/>
                <w:b/>
                <w:bCs/>
                <w:color w:val="000080"/>
                <w:sz w:val="22"/>
                <w:szCs w:val="32"/>
                <w:u w:val="single"/>
              </w:rPr>
            </w:pPr>
            <w:r>
              <w:rPr>
                <w:rFonts w:eastAsia="Arial Unicode MS"/>
                <w:b/>
                <w:bCs/>
                <w:color w:val="000080"/>
                <w:sz w:val="22"/>
                <w:szCs w:val="32"/>
                <w:u w:val="single"/>
              </w:rPr>
            </w:r>
          </w:p>
        </w:tc>
        <w:tc>
          <w:tcPr>
            <w:tcW w:w="2364" w:type="dxa"/>
            <w:gridSpan w:val="3"/>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246" w:type="dxa"/>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996" w:type="dxa"/>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320" w:type="dxa"/>
            <w:gridSpan w:val="2"/>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960" w:type="dxa"/>
            <w:tcBorders/>
            <w:vAlign w:val="bottom"/>
          </w:tcPr>
          <w:p>
            <w:pPr>
              <w:pStyle w:val="Normal"/>
              <w:snapToGrid w:val="false"/>
              <w:spacing w:before="0" w:after="0"/>
              <w:rPr>
                <w:rFonts w:eastAsia="Arial Unicode MS"/>
                <w:color w:val="000080"/>
                <w:sz w:val="22"/>
              </w:rPr>
            </w:pPr>
            <w:r>
              <w:rPr>
                <w:rFonts w:eastAsia="Arial Unicode MS"/>
                <w:color w:val="000080"/>
                <w:sz w:val="22"/>
              </w:rPr>
            </w:r>
          </w:p>
        </w:tc>
      </w:tr>
      <w:tr>
        <w:trPr>
          <w:trHeight w:val="255" w:hRule="atLeast"/>
        </w:trPr>
        <w:tc>
          <w:tcPr>
            <w:tcW w:w="2700" w:type="dxa"/>
            <w:tcBorders/>
            <w:vAlign w:val="bottom"/>
          </w:tcPr>
          <w:p>
            <w:pPr>
              <w:pStyle w:val="Normal"/>
              <w:spacing w:before="0" w:after="0"/>
              <w:rPr>
                <w:rFonts w:eastAsia="Arial Unicode MS"/>
                <w:b/>
                <w:bCs/>
                <w:i/>
                <w:i/>
                <w:iCs/>
                <w:color w:val="000080"/>
                <w:sz w:val="22"/>
              </w:rPr>
            </w:pPr>
            <w:r>
              <w:rPr>
                <w:b/>
                <w:bCs/>
                <w:i/>
                <w:iCs/>
                <w:color w:val="000080"/>
                <w:sz w:val="22"/>
              </w:rPr>
              <w:t>Short-term</w:t>
            </w:r>
          </w:p>
        </w:tc>
        <w:tc>
          <w:tcPr>
            <w:tcW w:w="264" w:type="dxa"/>
            <w:gridSpan w:val="2"/>
            <w:tcBorders/>
            <w:vAlign w:val="bottom"/>
          </w:tcPr>
          <w:p>
            <w:pPr>
              <w:pStyle w:val="Normal"/>
              <w:snapToGrid w:val="false"/>
              <w:spacing w:before="0" w:after="0"/>
              <w:rPr>
                <w:rFonts w:eastAsia="Arial Unicode MS"/>
                <w:b/>
                <w:bCs/>
                <w:i/>
                <w:i/>
                <w:iCs/>
                <w:color w:val="000080"/>
                <w:sz w:val="22"/>
              </w:rPr>
            </w:pPr>
            <w:r>
              <w:rPr>
                <w:rFonts w:eastAsia="Arial Unicode MS"/>
                <w:b/>
                <w:bCs/>
                <w:i/>
                <w:iCs/>
                <w:color w:val="000080"/>
                <w:sz w:val="22"/>
              </w:rPr>
            </w:r>
          </w:p>
        </w:tc>
        <w:tc>
          <w:tcPr>
            <w:tcW w:w="2364" w:type="dxa"/>
            <w:gridSpan w:val="3"/>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246" w:type="dxa"/>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996" w:type="dxa"/>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320" w:type="dxa"/>
            <w:gridSpan w:val="2"/>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960" w:type="dxa"/>
            <w:tcBorders/>
            <w:vAlign w:val="bottom"/>
          </w:tcPr>
          <w:p>
            <w:pPr>
              <w:pStyle w:val="Normal"/>
              <w:snapToGrid w:val="false"/>
              <w:spacing w:before="0" w:after="0"/>
              <w:rPr>
                <w:rFonts w:eastAsia="Arial Unicode MS"/>
                <w:color w:val="000080"/>
                <w:sz w:val="22"/>
              </w:rPr>
            </w:pPr>
            <w:r>
              <w:rPr>
                <w:rFonts w:eastAsia="Arial Unicode MS"/>
                <w:color w:val="000080"/>
                <w:sz w:val="22"/>
              </w:rPr>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A-1</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$2,000,000,000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5.00%</w:t>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A-1</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$1,000,000,000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4.00%</w:t>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A-1</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$750,000,000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2.50%</w:t>
            </w:r>
          </w:p>
        </w:tc>
      </w:tr>
      <w:tr>
        <w:trPr>
          <w:trHeight w:val="255" w:hRule="atLeast"/>
        </w:trPr>
        <w:tc>
          <w:tcPr>
            <w:tcW w:w="2700"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320" w:type="dxa"/>
            <w:gridSpan w:val="2"/>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960"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A-2</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$3,000,000,000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3.00%</w:t>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A-2</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$2,000,000,000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2.00%</w:t>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A-2</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$1,000,000,000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1.00%</w:t>
            </w:r>
          </w:p>
        </w:tc>
      </w:tr>
      <w:tr>
        <w:trPr>
          <w:trHeight w:val="255" w:hRule="atLeast"/>
        </w:trPr>
        <w:tc>
          <w:tcPr>
            <w:tcW w:w="2700"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320" w:type="dxa"/>
            <w:gridSpan w:val="2"/>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960"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r>
      <w:tr>
        <w:trPr>
          <w:trHeight w:val="255" w:hRule="atLeast"/>
        </w:trPr>
        <w:tc>
          <w:tcPr>
            <w:tcW w:w="2700" w:type="dxa"/>
            <w:tcBorders/>
            <w:vAlign w:val="bottom"/>
          </w:tcPr>
          <w:p>
            <w:pPr>
              <w:pStyle w:val="Normal"/>
              <w:spacing w:before="0" w:after="0"/>
              <w:jc w:val="center"/>
              <w:rPr>
                <w:rFonts w:eastAsia="Arial Unicode MS"/>
                <w:color w:val="000080"/>
                <w:sz w:val="22"/>
              </w:rPr>
            </w:pPr>
            <w:r>
              <w:rPr>
                <w:color w:val="000080"/>
                <w:sz w:val="22"/>
              </w:rPr>
              <w:t>A-3</w:t>
            </w:r>
          </w:p>
        </w:tc>
        <w:tc>
          <w:tcPr>
            <w:tcW w:w="264" w:type="dxa"/>
            <w:gridSpan w:val="2"/>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2364" w:type="dxa"/>
            <w:gridSpan w:val="3"/>
            <w:tcBorders/>
            <w:vAlign w:val="bottom"/>
          </w:tcPr>
          <w:p>
            <w:pPr>
              <w:pStyle w:val="Normal"/>
              <w:spacing w:before="0" w:after="0"/>
              <w:jc w:val="center"/>
              <w:rPr>
                <w:rFonts w:eastAsia="Arial Unicode MS"/>
                <w:color w:val="000080"/>
                <w:sz w:val="22"/>
              </w:rPr>
            </w:pPr>
            <w:r>
              <w:rPr>
                <w:color w:val="000080"/>
                <w:sz w:val="22"/>
              </w:rPr>
              <w:t>$4,000,000,000</w:t>
            </w:r>
          </w:p>
        </w:tc>
        <w:tc>
          <w:tcPr>
            <w:tcW w:w="246" w:type="dxa"/>
            <w:tcBorders/>
            <w:vAlign w:val="bottom"/>
          </w:tcPr>
          <w:p>
            <w:pPr>
              <w:pStyle w:val="Normal"/>
              <w:snapToGrid w:val="false"/>
              <w:spacing w:before="0" w:after="0"/>
              <w:jc w:val="center"/>
              <w:rPr>
                <w:rFonts w:eastAsia="Arial Unicode MS"/>
                <w:color w:val="000080"/>
                <w:sz w:val="22"/>
              </w:rPr>
            </w:pPr>
            <w:r>
              <w:rPr>
                <w:rFonts w:eastAsia="Arial Unicode MS"/>
                <w:color w:val="000080"/>
                <w:sz w:val="22"/>
              </w:rPr>
            </w:r>
          </w:p>
        </w:tc>
        <w:tc>
          <w:tcPr>
            <w:tcW w:w="996" w:type="dxa"/>
            <w:tcBorders/>
            <w:vAlign w:val="bottom"/>
          </w:tcPr>
          <w:p>
            <w:pPr>
              <w:pStyle w:val="Normal"/>
              <w:spacing w:before="0" w:after="0"/>
              <w:jc w:val="center"/>
              <w:rPr>
                <w:rFonts w:eastAsia="Arial Unicode MS"/>
                <w:color w:val="000080"/>
                <w:sz w:val="22"/>
              </w:rPr>
            </w:pPr>
            <w:r>
              <w:rPr>
                <w:color w:val="000080"/>
                <w:sz w:val="22"/>
              </w:rPr>
              <w:t>0.00%</w:t>
            </w:r>
          </w:p>
        </w:tc>
        <w:tc>
          <w:tcPr>
            <w:tcW w:w="320" w:type="dxa"/>
            <w:gridSpan w:val="2"/>
            <w:tcBorders/>
            <w:vAlign w:val="bottom"/>
          </w:tcPr>
          <w:p>
            <w:pPr>
              <w:pStyle w:val="Normal"/>
              <w:spacing w:before="0" w:after="0"/>
              <w:jc w:val="center"/>
              <w:rPr>
                <w:rFonts w:eastAsia="Arial Unicode MS"/>
                <w:color w:val="000080"/>
                <w:sz w:val="22"/>
              </w:rPr>
            </w:pPr>
            <w:r>
              <w:rPr>
                <w:color w:val="000080"/>
                <w:sz w:val="22"/>
              </w:rPr>
              <w:t>to</w:t>
            </w:r>
          </w:p>
        </w:tc>
        <w:tc>
          <w:tcPr>
            <w:tcW w:w="960" w:type="dxa"/>
            <w:tcBorders/>
            <w:vAlign w:val="bottom"/>
          </w:tcPr>
          <w:p>
            <w:pPr>
              <w:pStyle w:val="Normal"/>
              <w:spacing w:before="0" w:after="0"/>
              <w:jc w:val="center"/>
              <w:rPr>
                <w:rFonts w:eastAsia="Arial Unicode MS"/>
                <w:color w:val="000080"/>
                <w:sz w:val="22"/>
              </w:rPr>
            </w:pPr>
            <w:r>
              <w:rPr>
                <w:color w:val="000080"/>
                <w:sz w:val="22"/>
              </w:rPr>
              <w:t>0.50%</w:t>
            </w:r>
          </w:p>
        </w:tc>
      </w:tr>
      <w:tr>
        <w:trPr>
          <w:trHeight w:val="255" w:hRule="atLeast"/>
        </w:trPr>
        <w:tc>
          <w:tcPr>
            <w:tcW w:w="2918" w:type="dxa"/>
            <w:gridSpan w:val="2"/>
            <w:tcBorders/>
            <w:vAlign w:val="bottom"/>
          </w:tcPr>
          <w:p>
            <w:pPr>
              <w:pStyle w:val="Normal"/>
              <w:snapToGrid w:val="false"/>
              <w:spacing w:before="0" w:after="0"/>
              <w:rPr>
                <w:rFonts w:eastAsia="Arial Unicode MS"/>
                <w:color w:val="000080"/>
                <w:sz w:val="22"/>
              </w:rPr>
            </w:pPr>
            <w:r>
              <w:rPr>
                <w:rFonts w:eastAsia="Arial Unicode MS"/>
                <w:color w:val="000080"/>
                <w:sz w:val="22"/>
              </w:rPr>
            </w:r>
          </w:p>
        </w:tc>
        <w:tc>
          <w:tcPr>
            <w:tcW w:w="217" w:type="dxa"/>
            <w:gridSpan w:val="2"/>
            <w:tcBorders/>
            <w:vAlign w:val="bottom"/>
          </w:tcPr>
          <w:p>
            <w:pPr>
              <w:pStyle w:val="Normal"/>
              <w:snapToGrid w:val="false"/>
              <w:spacing w:before="0" w:after="0"/>
              <w:rPr>
                <w:rFonts w:eastAsia="Arial Unicode MS"/>
                <w:color w:val="000080"/>
              </w:rPr>
            </w:pPr>
            <w:r>
              <w:rPr>
                <w:rFonts w:eastAsia="Arial Unicode MS"/>
                <w:color w:val="000080"/>
              </w:rPr>
            </w:r>
          </w:p>
        </w:tc>
        <w:tc>
          <w:tcPr>
            <w:tcW w:w="850" w:type="dxa"/>
            <w:tcBorders/>
            <w:vAlign w:val="bottom"/>
          </w:tcPr>
          <w:p>
            <w:pPr>
              <w:pStyle w:val="Normal"/>
              <w:snapToGrid w:val="false"/>
              <w:spacing w:before="0" w:after="0"/>
              <w:rPr>
                <w:rFonts w:eastAsia="Arial Unicode MS"/>
                <w:color w:val="000080"/>
              </w:rPr>
            </w:pPr>
            <w:r>
              <w:rPr>
                <w:rFonts w:eastAsia="Arial Unicode MS"/>
                <w:color w:val="000080"/>
              </w:rPr>
            </w:r>
          </w:p>
        </w:tc>
        <w:tc>
          <w:tcPr>
            <w:tcW w:w="1343" w:type="dxa"/>
            <w:tcBorders/>
            <w:vAlign w:val="bottom"/>
          </w:tcPr>
          <w:p>
            <w:pPr>
              <w:pStyle w:val="Normal"/>
              <w:snapToGrid w:val="false"/>
              <w:spacing w:before="0" w:after="0"/>
              <w:rPr>
                <w:rFonts w:eastAsia="Arial Unicode MS"/>
                <w:color w:val="000080"/>
              </w:rPr>
            </w:pPr>
            <w:r>
              <w:rPr>
                <w:rFonts w:eastAsia="Arial Unicode MS"/>
                <w:color w:val="000080"/>
              </w:rPr>
            </w:r>
          </w:p>
        </w:tc>
        <w:tc>
          <w:tcPr>
            <w:tcW w:w="246" w:type="dxa"/>
            <w:tcBorders/>
            <w:vAlign w:val="bottom"/>
          </w:tcPr>
          <w:p>
            <w:pPr>
              <w:pStyle w:val="Normal"/>
              <w:snapToGrid w:val="false"/>
              <w:spacing w:before="0" w:after="0"/>
              <w:rPr>
                <w:rFonts w:eastAsia="Arial Unicode MS"/>
                <w:color w:val="000080"/>
              </w:rPr>
            </w:pPr>
            <w:r>
              <w:rPr>
                <w:rFonts w:eastAsia="Arial Unicode MS"/>
                <w:color w:val="000080"/>
              </w:rPr>
            </w:r>
          </w:p>
        </w:tc>
        <w:tc>
          <w:tcPr>
            <w:tcW w:w="996" w:type="dxa"/>
            <w:tcBorders/>
            <w:vAlign w:val="bottom"/>
          </w:tcPr>
          <w:p>
            <w:pPr>
              <w:pStyle w:val="Normal"/>
              <w:snapToGrid w:val="false"/>
              <w:spacing w:before="0" w:after="0"/>
              <w:rPr>
                <w:rFonts w:eastAsia="Arial Unicode MS"/>
                <w:color w:val="000080"/>
              </w:rPr>
            </w:pPr>
            <w:r>
              <w:rPr>
                <w:rFonts w:eastAsia="Arial Unicode MS"/>
                <w:color w:val="000080"/>
              </w:rPr>
            </w:r>
          </w:p>
        </w:tc>
        <w:tc>
          <w:tcPr>
            <w:tcW w:w="190" w:type="dxa"/>
            <w:tcBorders/>
            <w:vAlign w:val="bottom"/>
          </w:tcPr>
          <w:p>
            <w:pPr>
              <w:pStyle w:val="Normal"/>
              <w:snapToGrid w:val="false"/>
              <w:spacing w:before="0" w:after="0"/>
              <w:rPr>
                <w:rFonts w:eastAsia="Arial Unicode MS"/>
                <w:color w:val="000080"/>
              </w:rPr>
            </w:pPr>
            <w:r>
              <w:rPr>
                <w:rFonts w:eastAsia="Arial Unicode MS"/>
                <w:color w:val="000080"/>
              </w:rPr>
            </w:r>
          </w:p>
        </w:tc>
        <w:tc>
          <w:tcPr>
            <w:tcW w:w="1090" w:type="dxa"/>
            <w:gridSpan w:val="2"/>
            <w:tcBorders/>
            <w:tcMar>
              <w:top w:w="0" w:type="dxa"/>
              <w:start w:w="0" w:type="dxa"/>
              <w:end w:w="0" w:type="dxa"/>
            </w:tcMar>
          </w:tcPr>
          <w:p>
            <w:pPr>
              <w:pStyle w:val="Normal"/>
              <w:snapToGrid w:val="false"/>
              <w:spacing w:before="60" w:after="60"/>
              <w:rPr>
                <w:rFonts w:eastAsia="Arial Unicode MS"/>
                <w:color w:val="000080"/>
              </w:rPr>
            </w:pPr>
            <w:r>
              <w:rPr>
                <w:rFonts w:eastAsia="Arial Unicode MS"/>
                <w:color w:val="000080"/>
              </w:rPr>
            </w:r>
          </w:p>
        </w:tc>
      </w:tr>
    </w:tbl>
    <w:p>
      <w:pPr>
        <w:pStyle w:val="BodyTextIndent"/>
        <w:ind w:start="360" w:end="0"/>
        <w:rPr>
          <w:color w:val="000080"/>
          <w:sz w:val="22"/>
        </w:rPr>
      </w:pPr>
      <w:r>
        <w:rPr>
          <w:color w:val="000080"/>
          <w:sz w:val="22"/>
        </w:rPr>
        <w:t xml:space="preserve">It is noted that if there is split rating, the lower rating shall apply.  Further, if an entity has both a short term and a long term unsecured debt rating, the lower of the two limits shall apply. </w:t>
      </w:r>
    </w:p>
    <w:p>
      <w:pPr>
        <w:pStyle w:val="BodyTextIndent"/>
        <w:ind w:start="360" w:end="0"/>
        <w:rPr>
          <w:color w:val="000080"/>
          <w:sz w:val="22"/>
        </w:rPr>
      </w:pPr>
      <w:r>
        <w:rPr>
          <w:color w:val="000080"/>
          <w:sz w:val="22"/>
        </w:rPr>
      </w:r>
    </w:p>
    <w:p>
      <w:pPr>
        <w:pStyle w:val="BodyText"/>
        <w:numPr>
          <w:ilvl w:val="0"/>
          <w:numId w:val="8"/>
        </w:numPr>
        <w:rPr>
          <w:color w:val="000080"/>
        </w:rPr>
      </w:pPr>
      <w:r>
        <w:rPr>
          <w:color w:val="000080"/>
          <w:sz w:val="22"/>
        </w:rPr>
        <w:t xml:space="preserve">If a QSE does not meet the creditworthiness qualifications, the QSE may satisfy ERCOT’s credit worthiness requirements through a corporate guarantee, an irrevocable letter of credit, surety bond, or cash deposit, all in amounts equal to the Total Estimated Liability (TEL) or Estimated Aggregate Liability (EAL, the applicable case for Enron), whichever is applicable. Corporate Guarantees, letter of credit, and surety bonds shall be in the format that is determined by ERCOT.   </w:t>
      </w:r>
    </w:p>
    <w:p>
      <w:pPr>
        <w:pStyle w:val="BodyTextIndent"/>
        <w:rPr>
          <w:color w:val="000080"/>
          <w:sz w:val="22"/>
        </w:rPr>
      </w:pPr>
      <w:r>
        <w:rPr>
          <w:color w:val="000080"/>
          <w:sz w:val="22"/>
        </w:rPr>
      </w:r>
    </w:p>
    <w:p>
      <w:pPr>
        <w:pStyle w:val="BodyTextIndent"/>
        <w:numPr>
          <w:ilvl w:val="0"/>
          <w:numId w:val="7"/>
        </w:numPr>
        <w:tabs>
          <w:tab w:val="clear" w:pos="720"/>
          <w:tab w:val="left" w:pos="900" w:leader="none"/>
        </w:tabs>
        <w:ind w:hanging="450" w:start="900" w:end="0"/>
        <w:rPr>
          <w:color w:val="000080"/>
          <w:sz w:val="22"/>
        </w:rPr>
      </w:pPr>
      <w:r>
        <w:rPr>
          <w:color w:val="000080"/>
          <w:sz w:val="22"/>
        </w:rPr>
        <w:t>As the case for Enron, after a QSE has been participating in the ERCOT market for ninety (90) days, ERCOT shall calculate and monitor, daily, the QSEs Estimated Aggregate Liability (EAL) based on the formula below.  Any QSE that is required to post security is responsible, at all times, for maintaining posted security at or above the amount of their EAL.</w:t>
      </w:r>
    </w:p>
    <w:p>
      <w:pPr>
        <w:pStyle w:val="BodyTextIndent"/>
        <w:ind w:start="0" w:end="0"/>
        <w:rPr>
          <w:color w:val="000080"/>
          <w:sz w:val="22"/>
        </w:rPr>
      </w:pPr>
      <w:r>
        <w:rPr>
          <w:color w:val="000080"/>
          <w:sz w:val="22"/>
        </w:rPr>
      </w:r>
    </w:p>
    <w:p>
      <w:pPr>
        <w:pStyle w:val="BodyTextIndent"/>
        <w:ind w:hanging="630" w:start="1710" w:end="0"/>
        <w:rPr>
          <w:color w:val="000080"/>
          <w:sz w:val="22"/>
        </w:rPr>
      </w:pPr>
      <w:r>
        <w:rPr>
          <w:color w:val="000080"/>
          <w:sz w:val="22"/>
        </w:rPr>
        <w:t xml:space="preserve">EAL = Greater of [(ADT x 40 x SAF) + Outstanding Unpaid Transactions] or [Highest TEL or EAL in effect during the previous 90-day period (adjusted for the SAF)] </w:t>
      </w:r>
    </w:p>
    <w:p>
      <w:pPr>
        <w:pStyle w:val="BodyTextIndent"/>
        <w:ind w:start="1080" w:end="0"/>
        <w:rPr>
          <w:color w:val="000080"/>
          <w:sz w:val="22"/>
        </w:rPr>
      </w:pPr>
      <w:r>
        <w:rPr>
          <w:color w:val="000080"/>
          <w:sz w:val="22"/>
        </w:rPr>
        <w:t>Where:</w:t>
      </w:r>
    </w:p>
    <w:p>
      <w:pPr>
        <w:pStyle w:val="BodyTextIndent"/>
        <w:ind w:start="1080" w:end="0"/>
        <w:rPr>
          <w:color w:val="000080"/>
          <w:sz w:val="22"/>
        </w:rPr>
      </w:pPr>
      <w:r>
        <w:rPr>
          <w:color w:val="000080"/>
          <w:sz w:val="22"/>
        </w:rPr>
        <w:t>EAL = Estimated Aggregate Liability</w:t>
      </w:r>
    </w:p>
    <w:p>
      <w:pPr>
        <w:pStyle w:val="BodyTextIndent"/>
        <w:ind w:start="1080" w:end="0"/>
        <w:rPr/>
      </w:pPr>
      <w:r>
        <w:rPr>
          <w:color w:val="000080"/>
          <w:sz w:val="22"/>
        </w:rPr>
        <w:t>TEL = Total Estimated Liability</w:t>
      </w:r>
      <w:r>
        <w:rPr>
          <w:rStyle w:val="FootnoteCharacters"/>
          <w:rStyle w:val="FootnoteReference"/>
          <w:color w:val="000080"/>
        </w:rPr>
        <w:footnoteReference w:id="2"/>
      </w:r>
      <w:r>
        <w:rPr>
          <w:color w:val="000080"/>
          <w:sz w:val="22"/>
        </w:rPr>
        <w:t xml:space="preserve"> </w:t>
      </w:r>
    </w:p>
    <w:p>
      <w:pPr>
        <w:pStyle w:val="BodyTextIndent"/>
        <w:ind w:hanging="720" w:start="1710" w:end="0"/>
        <w:rPr>
          <w:color w:val="000080"/>
          <w:sz w:val="22"/>
        </w:rPr>
      </w:pPr>
      <w:r>
        <w:rPr>
          <w:color w:val="000080"/>
          <w:sz w:val="22"/>
        </w:rPr>
        <w:t xml:space="preserve">  </w:t>
      </w:r>
      <w:r>
        <w:rPr>
          <w:color w:val="000080"/>
          <w:sz w:val="22"/>
        </w:rPr>
        <w:t>ADT = Average daily transaction, which is calculated from the most recent Settlement Data consisting of seven (7) Initial, seven (7) Final, and seven (7) True-up Settlement Statements.</w:t>
      </w:r>
    </w:p>
    <w:p>
      <w:pPr>
        <w:pStyle w:val="BodyTextIndent"/>
        <w:ind w:hanging="720" w:start="1710" w:end="0"/>
        <w:rPr>
          <w:color w:val="000080"/>
          <w:sz w:val="22"/>
        </w:rPr>
      </w:pPr>
      <w:r>
        <w:rPr>
          <w:color w:val="000080"/>
          <w:sz w:val="22"/>
        </w:rPr>
        <w:t xml:space="preserve">SAF = </w:t>
        <w:tab/>
        <w:t>Seasonal Adjustment Factor, which compares size of overall market settlement from statement to statement, and is used to more precisely forecast the liability in the period for which settlement data is not yet available.  ERCOT shall initially set this factor equal to 1.</w:t>
      </w:r>
    </w:p>
    <w:p>
      <w:pPr>
        <w:pStyle w:val="Heading1"/>
        <w:spacing w:before="0" w:after="0"/>
        <w:ind w:hanging="0" w:start="0"/>
        <w:rPr>
          <w:color w:val="000080"/>
          <w:sz w:val="22"/>
        </w:rPr>
      </w:pPr>
      <w:r>
        <w:rPr>
          <w:color w:val="000080"/>
          <w:sz w:val="22"/>
        </w:rPr>
      </w:r>
      <w:bookmarkStart w:id="12" w:name="_Alberta_Power_Pool"/>
      <w:bookmarkStart w:id="13" w:name="_CA_ISO_Credit"/>
      <w:bookmarkStart w:id="14" w:name="_Alberta_Power_Pool"/>
      <w:bookmarkStart w:id="15" w:name="_CA_ISO_Credit"/>
      <w:bookmarkEnd w:id="14"/>
      <w:bookmarkEnd w:id="15"/>
    </w:p>
    <w:p>
      <w:pPr>
        <w:pStyle w:val="Heading1"/>
        <w:spacing w:before="0" w:after="0"/>
        <w:ind w:hanging="0" w:start="0"/>
        <w:rPr>
          <w:color w:val="000080"/>
          <w:sz w:val="22"/>
        </w:rPr>
      </w:pPr>
      <w:r>
        <w:rPr>
          <w:color w:val="000080"/>
          <w:sz w:val="22"/>
        </w:rPr>
      </w:r>
    </w:p>
    <w:p>
      <w:pPr>
        <w:pStyle w:val="Heading1"/>
        <w:spacing w:before="0" w:after="0"/>
        <w:ind w:hanging="0" w:start="0"/>
        <w:rPr>
          <w:color w:val="000080"/>
          <w:sz w:val="22"/>
        </w:rPr>
      </w:pPr>
      <w:r>
        <w:rPr>
          <w:color w:val="000080"/>
          <w:sz w:val="22"/>
        </w:rPr>
        <w:t>Alberta Power Pool</w:t>
      </w:r>
    </w:p>
    <w:p>
      <w:pPr>
        <w:pStyle w:val="Normal"/>
        <w:keepLines/>
        <w:tabs>
          <w:tab w:val="clear" w:pos="720"/>
          <w:tab w:val="left" w:pos="800" w:leader="none"/>
        </w:tabs>
        <w:spacing w:before="0" w:after="0"/>
        <w:rPr>
          <w:color w:val="000080"/>
          <w:sz w:val="22"/>
        </w:rPr>
      </w:pPr>
      <w:r>
        <w:rPr>
          <w:color w:val="000080"/>
          <w:sz w:val="22"/>
        </w:rPr>
        <w:t xml:space="preserve">The credit worthiness in Alberta determines the trading limits for each participant in relation to its bond rating as follows: </w:t>
      </w:r>
    </w:p>
    <w:p>
      <w:pPr>
        <w:pStyle w:val="Normal"/>
        <w:keepLines/>
        <w:tabs>
          <w:tab w:val="clear" w:pos="720"/>
          <w:tab w:val="right" w:pos="6480" w:leader="none"/>
        </w:tabs>
        <w:spacing w:before="0" w:after="0"/>
        <w:ind w:hanging="806" w:start="3600" w:end="0"/>
        <w:rPr>
          <w:color w:val="000080"/>
          <w:sz w:val="22"/>
          <w:u w:val="single"/>
        </w:rPr>
      </w:pPr>
      <w:r>
        <w:rPr>
          <w:color w:val="000080"/>
          <w:sz w:val="22"/>
          <w:u w:val="single"/>
        </w:rPr>
        <w:t>Rating</w:t>
        <w:tab/>
        <w:tab/>
        <w:t>trading limit</w:t>
      </w:r>
    </w:p>
    <w:p>
      <w:pPr>
        <w:pStyle w:val="Normal"/>
        <w:keepLines/>
        <w:tabs>
          <w:tab w:val="clear" w:pos="720"/>
          <w:tab w:val="right" w:pos="6480" w:leader="none"/>
        </w:tabs>
        <w:spacing w:before="0" w:after="0"/>
        <w:ind w:hanging="800" w:start="3600" w:end="0"/>
        <w:rPr>
          <w:color w:val="000080"/>
          <w:sz w:val="22"/>
        </w:rPr>
      </w:pPr>
      <w:r>
        <w:rPr>
          <w:color w:val="000080"/>
          <w:sz w:val="22"/>
        </w:rPr>
        <w:t>AAA</w:t>
        <w:tab/>
        <w:tab/>
        <w:t>$25,000,000</w:t>
      </w:r>
    </w:p>
    <w:p>
      <w:pPr>
        <w:pStyle w:val="Normal"/>
        <w:keepLines/>
        <w:tabs>
          <w:tab w:val="clear" w:pos="720"/>
          <w:tab w:val="right" w:pos="6480" w:leader="none"/>
        </w:tabs>
        <w:spacing w:before="0" w:after="0"/>
        <w:ind w:hanging="800" w:start="3600" w:end="0"/>
        <w:rPr>
          <w:color w:val="000080"/>
          <w:sz w:val="22"/>
        </w:rPr>
      </w:pPr>
      <w:r>
        <w:rPr>
          <w:color w:val="000080"/>
          <w:sz w:val="22"/>
        </w:rPr>
        <w:t>AA</w:t>
        <w:tab/>
        <w:tab/>
        <w:t>$20,000,000</w:t>
      </w:r>
    </w:p>
    <w:p>
      <w:pPr>
        <w:pStyle w:val="Normal"/>
        <w:keepLines/>
        <w:tabs>
          <w:tab w:val="clear" w:pos="720"/>
          <w:tab w:val="right" w:pos="6480" w:leader="none"/>
        </w:tabs>
        <w:spacing w:before="0" w:after="0"/>
        <w:ind w:hanging="800" w:start="3600" w:end="0"/>
        <w:rPr>
          <w:color w:val="000080"/>
          <w:sz w:val="22"/>
        </w:rPr>
      </w:pPr>
      <w:r>
        <w:rPr>
          <w:color w:val="000080"/>
          <w:sz w:val="22"/>
        </w:rPr>
        <w:t>A</w:t>
        <w:tab/>
        <w:tab/>
        <w:t>$15,000,000</w:t>
      </w:r>
    </w:p>
    <w:p>
      <w:pPr>
        <w:pStyle w:val="Normal"/>
        <w:keepLines/>
        <w:tabs>
          <w:tab w:val="clear" w:pos="720"/>
          <w:tab w:val="right" w:pos="6480" w:leader="none"/>
        </w:tabs>
        <w:spacing w:before="0" w:after="0"/>
        <w:ind w:hanging="800" w:start="3600" w:end="0"/>
        <w:rPr>
          <w:color w:val="000080"/>
          <w:sz w:val="22"/>
        </w:rPr>
      </w:pPr>
      <w:r>
        <w:rPr>
          <w:color w:val="000080"/>
          <w:sz w:val="22"/>
        </w:rPr>
        <w:t>BBB</w:t>
        <w:tab/>
        <w:tab/>
        <w:t>$10,000,000</w:t>
      </w:r>
    </w:p>
    <w:p>
      <w:pPr>
        <w:pStyle w:val="Normal"/>
        <w:keepLines/>
        <w:tabs>
          <w:tab w:val="clear" w:pos="720"/>
          <w:tab w:val="right" w:pos="6480" w:leader="none"/>
        </w:tabs>
        <w:spacing w:before="0" w:after="0"/>
        <w:ind w:hanging="800" w:start="3600" w:end="0"/>
        <w:rPr>
          <w:color w:val="000080"/>
          <w:sz w:val="22"/>
        </w:rPr>
      </w:pPr>
      <w:r>
        <w:rPr>
          <w:color w:val="000080"/>
          <w:sz w:val="22"/>
        </w:rPr>
        <w:t>&lt;BBB</w:t>
        <w:tab/>
        <w:tab/>
        <w:t>$0</w:t>
      </w:r>
    </w:p>
    <w:p>
      <w:pPr>
        <w:pStyle w:val="Normal"/>
        <w:keepLines/>
        <w:tabs>
          <w:tab w:val="clear" w:pos="720"/>
          <w:tab w:val="left" w:pos="800" w:leader="none"/>
        </w:tabs>
        <w:spacing w:before="0" w:after="0"/>
        <w:jc w:val="both"/>
        <w:rPr>
          <w:color w:val="000080"/>
          <w:sz w:val="22"/>
        </w:rPr>
      </w:pPr>
      <w:r>
        <w:rPr>
          <w:color w:val="000080"/>
          <w:sz w:val="22"/>
        </w:rPr>
        <w:t xml:space="preserve">Trading limit is a defined term and means the maximum financial obligation to which a participant is or is expected to be owing the pool administrator.     </w:t>
      </w:r>
    </w:p>
    <w:p>
      <w:pPr>
        <w:pStyle w:val="Normal"/>
        <w:keepLines/>
        <w:tabs>
          <w:tab w:val="clear" w:pos="720"/>
          <w:tab w:val="left" w:pos="800" w:leader="none"/>
        </w:tabs>
        <w:spacing w:before="0" w:after="0"/>
        <w:jc w:val="both"/>
        <w:rPr/>
      </w:pPr>
      <w:r>
        <w:rPr>
          <w:color w:val="000080"/>
          <w:sz w:val="22"/>
        </w:rPr>
        <w:t xml:space="preserve">If a participant's financial obligations are expected to exceed the trading limit, the participant must provide a payment in advance or other form of financial security.  </w:t>
      </w:r>
      <w:r>
        <w:rPr>
          <w:color w:val="000080"/>
          <w:sz w:val="22"/>
          <w:u w:val="single"/>
        </w:rPr>
        <w:t>This security may be in the form of a bank guarantee, letter of guarantee, irrevocable letter of credit, or cash deposits drawn on a Canadian Chartered Bank, trust company, credit union or other lending institution acceptable to Council in or for an amount determined by the pool administrator to be equal to the expected financial obligations in excess of the trading limit</w:t>
      </w:r>
      <w:r>
        <w:rPr>
          <w:color w:val="000080"/>
          <w:sz w:val="22"/>
        </w:rPr>
        <w:t>.</w:t>
      </w:r>
    </w:p>
    <w:p>
      <w:pPr>
        <w:pStyle w:val="Normal"/>
        <w:keepLines/>
        <w:tabs>
          <w:tab w:val="clear" w:pos="720"/>
          <w:tab w:val="left" w:pos="800" w:leader="none"/>
        </w:tabs>
        <w:spacing w:before="0" w:after="0"/>
        <w:jc w:val="both"/>
        <w:rPr>
          <w:color w:val="000080"/>
          <w:sz w:val="22"/>
        </w:rPr>
      </w:pPr>
      <w:r>
        <w:rPr>
          <w:color w:val="000080"/>
          <w:sz w:val="22"/>
        </w:rPr>
      </w:r>
    </w:p>
    <w:p>
      <w:pPr>
        <w:pStyle w:val="Normal"/>
        <w:keepLines/>
        <w:spacing w:before="0" w:after="0"/>
        <w:jc w:val="both"/>
        <w:rPr/>
      </w:pPr>
      <w:r>
        <w:rPr>
          <w:color w:val="000080"/>
          <w:sz w:val="22"/>
        </w:rPr>
        <w:t xml:space="preserve">It is noteworthy that a rating with a plus or minus sign indicates the relative standing within the major rating categories (so A- is A).  </w:t>
      </w:r>
      <w:r>
        <w:rPr>
          <w:color w:val="000080"/>
          <w:sz w:val="22"/>
          <w:u w:val="single"/>
        </w:rPr>
        <w:t xml:space="preserve">An exception to this is a rating of BBB minus which falls in the &lt;BBB category and therefore no unsecured credit is granted. </w:t>
      </w:r>
      <w:r>
        <w:rPr>
          <w:color w:val="000080"/>
          <w:sz w:val="22"/>
        </w:rPr>
        <w:t xml:space="preserve"> It is also noteworthy that participants are required to report any downgrading of the relevant corporate credit rating within 2 business days.</w:t>
      </w:r>
    </w:p>
    <w:p>
      <w:pPr>
        <w:pStyle w:val="Normal"/>
        <w:keepLines/>
        <w:spacing w:before="0" w:after="0"/>
        <w:jc w:val="both"/>
        <w:rPr>
          <w:color w:val="000080"/>
          <w:sz w:val="22"/>
        </w:rPr>
      </w:pPr>
      <w:r>
        <w:rPr>
          <w:color w:val="000080"/>
          <w:sz w:val="22"/>
        </w:rPr>
        <w:t xml:space="preserve">The Power Pool of Alberta requires participants to report any event of default for borrowed funds or a material adverse change in their financial position within 2 business days of said default or change. </w:t>
      </w:r>
    </w:p>
    <w:p>
      <w:pPr>
        <w:pStyle w:val="Normal"/>
        <w:autoSpaceDE w:val="false"/>
        <w:spacing w:before="0" w:after="0"/>
        <w:jc w:val="both"/>
        <w:rPr>
          <w:color w:val="000080"/>
          <w:sz w:val="22"/>
        </w:rPr>
      </w:pPr>
      <w:r>
        <w:rPr>
          <w:color w:val="000080"/>
          <w:sz w:val="22"/>
        </w:rPr>
      </w:r>
    </w:p>
    <w:p>
      <w:pPr>
        <w:pStyle w:val="Heading1"/>
        <w:spacing w:before="0" w:after="0"/>
        <w:ind w:hanging="0" w:start="0"/>
        <w:jc w:val="both"/>
        <w:rPr>
          <w:color w:val="000080"/>
          <w:sz w:val="22"/>
        </w:rPr>
      </w:pPr>
      <w:bookmarkStart w:id="16" w:name="_Ontario_IMO_Credit"/>
      <w:bookmarkEnd w:id="16"/>
      <w:r>
        <w:rPr>
          <w:color w:val="000080"/>
          <w:sz w:val="22"/>
        </w:rPr>
        <w:t>Ontario IMO Credit Policy</w:t>
      </w:r>
    </w:p>
    <w:p>
      <w:pPr>
        <w:pStyle w:val="Normal"/>
        <w:spacing w:before="0" w:after="0"/>
        <w:jc w:val="both"/>
        <w:rPr>
          <w:color w:val="000080"/>
          <w:sz w:val="22"/>
        </w:rPr>
      </w:pPr>
      <w:r>
        <w:rPr>
          <w:color w:val="000080"/>
          <w:sz w:val="22"/>
        </w:rPr>
        <w:t>The Ontario Independent Market Operator's (IMO) has established the following creditworthiness policy to ensure that a participant can meet its obligations and to protect against the risk of non-payment of invoices.  A summary of this policy is as follows:</w:t>
      </w:r>
    </w:p>
    <w:p>
      <w:pPr>
        <w:pStyle w:val="Normal"/>
        <w:numPr>
          <w:ilvl w:val="0"/>
          <w:numId w:val="10"/>
        </w:numPr>
        <w:spacing w:before="0" w:after="0"/>
        <w:jc w:val="both"/>
        <w:rPr>
          <w:color w:val="000080"/>
          <w:sz w:val="22"/>
        </w:rPr>
      </w:pPr>
      <w:r>
        <w:rPr>
          <w:color w:val="000080"/>
          <w:sz w:val="22"/>
        </w:rPr>
        <w:t>A prudential support obligation is determined for every market participant. This obligation may be reduced due to the participant’s credit rating or payment history. In the case of using the credit rating, below are the allowable reductions.</w:t>
      </w:r>
    </w:p>
    <w:p>
      <w:pPr>
        <w:pStyle w:val="Normal"/>
        <w:spacing w:before="0" w:after="0"/>
        <w:jc w:val="both"/>
        <w:rPr>
          <w:color w:val="000080"/>
          <w:sz w:val="22"/>
        </w:rPr>
      </w:pPr>
      <w:r>
        <w:rPr>
          <w:color w:val="000080"/>
          <w:sz w:val="22"/>
        </w:rPr>
      </w:r>
    </w:p>
    <w:tbl>
      <w:tblPr>
        <w:tblW w:w="7560" w:type="dxa"/>
        <w:jc w:val="start"/>
        <w:tblInd w:w="1098" w:type="dxa"/>
        <w:tblLayout w:type="fixed"/>
        <w:tblCellMar>
          <w:top w:w="0" w:type="dxa"/>
          <w:start w:w="108" w:type="dxa"/>
          <w:bottom w:w="0" w:type="dxa"/>
          <w:end w:w="108" w:type="dxa"/>
        </w:tblCellMar>
      </w:tblPr>
      <w:tblGrid>
        <w:gridCol w:w="3600"/>
        <w:gridCol w:w="3960"/>
      </w:tblGrid>
      <w:tr>
        <w:trPr/>
        <w:tc>
          <w:tcPr>
            <w:tcW w:w="3600" w:type="dxa"/>
            <w:tcBorders>
              <w:top w:val="single" w:sz="4" w:space="0" w:color="000000"/>
              <w:start w:val="single" w:sz="4" w:space="0" w:color="000000"/>
              <w:bottom w:val="single" w:sz="4" w:space="0" w:color="000000"/>
              <w:end w:val="single" w:sz="4" w:space="0" w:color="000000"/>
            </w:tcBorders>
          </w:tcPr>
          <w:p>
            <w:pPr>
              <w:pStyle w:val="TableHeader"/>
              <w:keepNext w:val="true"/>
              <w:spacing w:before="0" w:after="0"/>
              <w:jc w:val="both"/>
              <w:rPr>
                <w:color w:val="000080"/>
              </w:rPr>
            </w:pPr>
            <w:r>
              <w:rPr>
                <w:color w:val="000080"/>
              </w:rPr>
              <w:t>Credit Rating using S&amp;P’s Rating</w:t>
            </w:r>
          </w:p>
        </w:tc>
        <w:tc>
          <w:tcPr>
            <w:tcW w:w="3960" w:type="dxa"/>
            <w:tcBorders>
              <w:top w:val="single" w:sz="4" w:space="0" w:color="000000"/>
              <w:start w:val="single" w:sz="4" w:space="0" w:color="000000"/>
              <w:bottom w:val="single" w:sz="4" w:space="0" w:color="000000"/>
              <w:end w:val="single" w:sz="4" w:space="0" w:color="000000"/>
            </w:tcBorders>
          </w:tcPr>
          <w:p>
            <w:pPr>
              <w:pStyle w:val="TableHeader"/>
              <w:spacing w:before="0" w:after="0"/>
              <w:ind w:end="342"/>
              <w:jc w:val="both"/>
              <w:rPr>
                <w:color w:val="000080"/>
              </w:rPr>
            </w:pPr>
            <w:r>
              <w:rPr>
                <w:color w:val="000080"/>
              </w:rPr>
              <w:t xml:space="preserve">Reduction in Prudential Support </w:t>
            </w:r>
          </w:p>
        </w:tc>
      </w:tr>
      <w:tr>
        <w:trPr/>
        <w:tc>
          <w:tcPr>
            <w:tcW w:w="3600" w:type="dxa"/>
            <w:tcBorders>
              <w:top w:val="single" w:sz="4" w:space="0" w:color="000000"/>
              <w:start w:val="single" w:sz="4" w:space="0" w:color="000000"/>
              <w:bottom w:val="single" w:sz="4" w:space="0" w:color="000000"/>
              <w:end w:val="single" w:sz="4" w:space="0" w:color="000000"/>
            </w:tcBorders>
          </w:tcPr>
          <w:p>
            <w:pPr>
              <w:pStyle w:val="TableText"/>
              <w:spacing w:before="0" w:after="0"/>
              <w:jc w:val="both"/>
              <w:rPr>
                <w:rFonts w:ascii="Times New Roman" w:hAnsi="Times New Roman" w:cs="Times New Roman"/>
                <w:color w:val="000080"/>
                <w:sz w:val="22"/>
              </w:rPr>
            </w:pPr>
            <w:r>
              <w:rPr>
                <w:rFonts w:cs="Times New Roman" w:ascii="Times New Roman" w:hAnsi="Times New Roman"/>
                <w:color w:val="000080"/>
                <w:sz w:val="22"/>
              </w:rPr>
              <w:t>AAA or equivalent</w:t>
            </w:r>
          </w:p>
        </w:tc>
        <w:tc>
          <w:tcPr>
            <w:tcW w:w="3960" w:type="dxa"/>
            <w:tcBorders>
              <w:top w:val="single" w:sz="4" w:space="0" w:color="000000"/>
              <w:start w:val="single" w:sz="4" w:space="0" w:color="000000"/>
              <w:bottom w:val="single" w:sz="4" w:space="0" w:color="000000"/>
              <w:end w:val="single" w:sz="4" w:space="0" w:color="000000"/>
            </w:tcBorders>
          </w:tcPr>
          <w:p>
            <w:pPr>
              <w:pStyle w:val="TableText"/>
              <w:spacing w:before="0" w:after="0"/>
              <w:jc w:val="center"/>
              <w:rPr>
                <w:rFonts w:ascii="Times New Roman" w:hAnsi="Times New Roman" w:cs="Times New Roman"/>
                <w:color w:val="000080"/>
                <w:sz w:val="22"/>
              </w:rPr>
            </w:pPr>
            <w:r>
              <w:rPr>
                <w:rFonts w:cs="Times New Roman" w:ascii="Times New Roman" w:hAnsi="Times New Roman"/>
                <w:color w:val="000080"/>
                <w:sz w:val="22"/>
              </w:rPr>
              <w:t>50,000,000</w:t>
            </w:r>
          </w:p>
        </w:tc>
      </w:tr>
      <w:tr>
        <w:trPr/>
        <w:tc>
          <w:tcPr>
            <w:tcW w:w="3600" w:type="dxa"/>
            <w:tcBorders>
              <w:top w:val="single" w:sz="4" w:space="0" w:color="000000"/>
              <w:start w:val="single" w:sz="4" w:space="0" w:color="000000"/>
              <w:bottom w:val="single" w:sz="4" w:space="0" w:color="000000"/>
              <w:end w:val="single" w:sz="4" w:space="0" w:color="000000"/>
            </w:tcBorders>
          </w:tcPr>
          <w:p>
            <w:pPr>
              <w:pStyle w:val="TableText"/>
              <w:spacing w:before="0" w:after="0"/>
              <w:jc w:val="both"/>
              <w:rPr>
                <w:rFonts w:ascii="Times New Roman" w:hAnsi="Times New Roman" w:cs="Times New Roman"/>
                <w:color w:val="000080"/>
                <w:sz w:val="22"/>
              </w:rPr>
            </w:pPr>
            <w:r>
              <w:rPr>
                <w:rFonts w:cs="Times New Roman" w:ascii="Times New Roman" w:hAnsi="Times New Roman"/>
                <w:color w:val="000080"/>
                <w:sz w:val="22"/>
              </w:rPr>
              <w:t>From AA to below AAA or equivalent</w:t>
            </w:r>
          </w:p>
        </w:tc>
        <w:tc>
          <w:tcPr>
            <w:tcW w:w="3960" w:type="dxa"/>
            <w:tcBorders>
              <w:top w:val="single" w:sz="4" w:space="0" w:color="000000"/>
              <w:start w:val="single" w:sz="4" w:space="0" w:color="000000"/>
              <w:bottom w:val="single" w:sz="4" w:space="0" w:color="000000"/>
              <w:end w:val="single" w:sz="4" w:space="0" w:color="000000"/>
            </w:tcBorders>
          </w:tcPr>
          <w:p>
            <w:pPr>
              <w:pStyle w:val="TableText"/>
              <w:spacing w:before="0" w:after="0"/>
              <w:jc w:val="center"/>
              <w:rPr>
                <w:rFonts w:ascii="Times New Roman" w:hAnsi="Times New Roman" w:cs="Times New Roman"/>
                <w:color w:val="000080"/>
                <w:sz w:val="22"/>
              </w:rPr>
            </w:pPr>
            <w:r>
              <w:rPr>
                <w:rFonts w:cs="Times New Roman" w:ascii="Times New Roman" w:hAnsi="Times New Roman"/>
                <w:color w:val="000080"/>
                <w:sz w:val="22"/>
              </w:rPr>
              <w:t>25,000,000</w:t>
            </w:r>
          </w:p>
        </w:tc>
      </w:tr>
      <w:tr>
        <w:trPr/>
        <w:tc>
          <w:tcPr>
            <w:tcW w:w="3600" w:type="dxa"/>
            <w:tcBorders>
              <w:top w:val="single" w:sz="4" w:space="0" w:color="000000"/>
              <w:start w:val="single" w:sz="4" w:space="0" w:color="000000"/>
              <w:bottom w:val="single" w:sz="4" w:space="0" w:color="000000"/>
              <w:end w:val="single" w:sz="4" w:space="0" w:color="000000"/>
            </w:tcBorders>
          </w:tcPr>
          <w:p>
            <w:pPr>
              <w:pStyle w:val="TableText"/>
              <w:spacing w:before="0" w:after="0"/>
              <w:jc w:val="both"/>
              <w:rPr>
                <w:rFonts w:ascii="Times New Roman" w:hAnsi="Times New Roman" w:cs="Times New Roman"/>
                <w:color w:val="000080"/>
                <w:sz w:val="22"/>
              </w:rPr>
            </w:pPr>
            <w:r>
              <w:rPr>
                <w:rFonts w:cs="Times New Roman" w:ascii="Times New Roman" w:hAnsi="Times New Roman"/>
                <w:color w:val="000080"/>
                <w:sz w:val="22"/>
              </w:rPr>
              <w:t>From A to below AA or equivalent</w:t>
            </w:r>
          </w:p>
        </w:tc>
        <w:tc>
          <w:tcPr>
            <w:tcW w:w="3960" w:type="dxa"/>
            <w:tcBorders>
              <w:top w:val="single" w:sz="4" w:space="0" w:color="000000"/>
              <w:start w:val="single" w:sz="4" w:space="0" w:color="000000"/>
              <w:bottom w:val="single" w:sz="4" w:space="0" w:color="000000"/>
              <w:end w:val="single" w:sz="4" w:space="0" w:color="000000"/>
            </w:tcBorders>
          </w:tcPr>
          <w:p>
            <w:pPr>
              <w:pStyle w:val="TableText"/>
              <w:spacing w:before="0" w:after="0"/>
              <w:jc w:val="center"/>
              <w:rPr>
                <w:rFonts w:ascii="Times New Roman" w:hAnsi="Times New Roman" w:cs="Times New Roman"/>
                <w:color w:val="000080"/>
                <w:sz w:val="22"/>
              </w:rPr>
            </w:pPr>
            <w:r>
              <w:rPr>
                <w:rFonts w:cs="Times New Roman" w:ascii="Times New Roman" w:hAnsi="Times New Roman"/>
                <w:color w:val="000080"/>
                <w:sz w:val="22"/>
              </w:rPr>
              <w:t>12,500,000</w:t>
            </w:r>
          </w:p>
        </w:tc>
      </w:tr>
      <w:tr>
        <w:trPr/>
        <w:tc>
          <w:tcPr>
            <w:tcW w:w="3600" w:type="dxa"/>
            <w:tcBorders>
              <w:top w:val="single" w:sz="4" w:space="0" w:color="000000"/>
              <w:start w:val="single" w:sz="4" w:space="0" w:color="000000"/>
              <w:end w:val="single" w:sz="4" w:space="0" w:color="000000"/>
            </w:tcBorders>
          </w:tcPr>
          <w:p>
            <w:pPr>
              <w:pStyle w:val="TableText"/>
              <w:spacing w:before="0" w:after="0"/>
              <w:jc w:val="both"/>
              <w:rPr>
                <w:rFonts w:ascii="Times New Roman" w:hAnsi="Times New Roman" w:cs="Times New Roman"/>
                <w:color w:val="000080"/>
                <w:sz w:val="22"/>
              </w:rPr>
            </w:pPr>
            <w:r>
              <w:rPr>
                <w:rFonts w:cs="Times New Roman" w:ascii="Times New Roman" w:hAnsi="Times New Roman"/>
                <w:color w:val="000080"/>
                <w:sz w:val="22"/>
              </w:rPr>
              <w:t>From BBB to below A or equivalent</w:t>
            </w:r>
          </w:p>
        </w:tc>
        <w:tc>
          <w:tcPr>
            <w:tcW w:w="3960" w:type="dxa"/>
            <w:tcBorders>
              <w:top w:val="single" w:sz="4" w:space="0" w:color="000000"/>
              <w:start w:val="single" w:sz="4" w:space="0" w:color="000000"/>
              <w:end w:val="single" w:sz="4" w:space="0" w:color="000000"/>
            </w:tcBorders>
          </w:tcPr>
          <w:p>
            <w:pPr>
              <w:pStyle w:val="TableText"/>
              <w:spacing w:before="0" w:after="0"/>
              <w:jc w:val="center"/>
              <w:rPr>
                <w:rFonts w:ascii="Times New Roman" w:hAnsi="Times New Roman" w:cs="Times New Roman"/>
                <w:color w:val="000080"/>
                <w:sz w:val="22"/>
              </w:rPr>
            </w:pPr>
            <w:r>
              <w:rPr>
                <w:rFonts w:cs="Times New Roman" w:ascii="Times New Roman" w:hAnsi="Times New Roman"/>
                <w:color w:val="000080"/>
                <w:sz w:val="22"/>
              </w:rPr>
              <w:t>5,000,000</w:t>
            </w:r>
          </w:p>
        </w:tc>
      </w:tr>
      <w:tr>
        <w:trPr/>
        <w:tc>
          <w:tcPr>
            <w:tcW w:w="3600" w:type="dxa"/>
            <w:tcBorders>
              <w:top w:val="single" w:sz="4" w:space="0" w:color="000000"/>
              <w:start w:val="single" w:sz="4" w:space="0" w:color="000000"/>
              <w:bottom w:val="single" w:sz="4" w:space="0" w:color="000000"/>
              <w:end w:val="single" w:sz="4" w:space="0" w:color="000000"/>
            </w:tcBorders>
          </w:tcPr>
          <w:p>
            <w:pPr>
              <w:pStyle w:val="TableText"/>
              <w:spacing w:before="0" w:after="0"/>
              <w:jc w:val="both"/>
              <w:rPr>
                <w:rFonts w:ascii="Times New Roman" w:hAnsi="Times New Roman" w:cs="Times New Roman"/>
                <w:color w:val="000080"/>
                <w:sz w:val="22"/>
              </w:rPr>
            </w:pPr>
            <w:r>
              <w:rPr>
                <w:rFonts w:cs="Times New Roman" w:ascii="Times New Roman" w:hAnsi="Times New Roman"/>
                <w:color w:val="000080"/>
                <w:sz w:val="22"/>
              </w:rPr>
              <w:t>Below BBB or equivalent</w:t>
            </w:r>
          </w:p>
        </w:tc>
        <w:tc>
          <w:tcPr>
            <w:tcW w:w="3960" w:type="dxa"/>
            <w:tcBorders>
              <w:top w:val="single" w:sz="4" w:space="0" w:color="000000"/>
              <w:start w:val="single" w:sz="4" w:space="0" w:color="000000"/>
              <w:bottom w:val="single" w:sz="4" w:space="0" w:color="000000"/>
              <w:end w:val="single" w:sz="4" w:space="0" w:color="000000"/>
            </w:tcBorders>
          </w:tcPr>
          <w:p>
            <w:pPr>
              <w:pStyle w:val="TableText"/>
              <w:spacing w:before="0" w:after="0"/>
              <w:jc w:val="center"/>
              <w:rPr>
                <w:rFonts w:ascii="Times New Roman" w:hAnsi="Times New Roman" w:cs="Times New Roman"/>
                <w:color w:val="000080"/>
                <w:sz w:val="22"/>
              </w:rPr>
            </w:pPr>
            <w:r>
              <w:rPr>
                <w:rFonts w:cs="Times New Roman" w:ascii="Times New Roman" w:hAnsi="Times New Roman"/>
                <w:color w:val="000080"/>
                <w:sz w:val="22"/>
              </w:rPr>
              <w:t>0</w:t>
            </w:r>
          </w:p>
        </w:tc>
      </w:tr>
    </w:tbl>
    <w:p>
      <w:pPr>
        <w:pStyle w:val="Normal"/>
        <w:spacing w:before="0" w:after="0"/>
        <w:jc w:val="both"/>
        <w:rPr>
          <w:color w:val="000080"/>
          <w:sz w:val="22"/>
        </w:rPr>
      </w:pPr>
      <w:r>
        <w:rPr>
          <w:color w:val="000080"/>
          <w:sz w:val="22"/>
        </w:rPr>
      </w:r>
    </w:p>
    <w:p>
      <w:pPr>
        <w:pStyle w:val="Normal"/>
        <w:numPr>
          <w:ilvl w:val="0"/>
          <w:numId w:val="10"/>
        </w:numPr>
        <w:spacing w:before="0" w:after="0"/>
        <w:jc w:val="both"/>
        <w:rPr>
          <w:color w:val="000080"/>
          <w:sz w:val="22"/>
        </w:rPr>
      </w:pPr>
      <w:r>
        <w:rPr>
          <w:color w:val="000080"/>
          <w:sz w:val="22"/>
        </w:rPr>
        <w:t>Any recommendation to move a market participant to “credit watch status” shall be deemed to automatically result in a one-rating-category reduction for the purpose of determining the market participant’s prudential support obligation (Market Rules, Chapter 2, section 5.8.2)..</w:t>
      </w:r>
    </w:p>
    <w:p>
      <w:pPr>
        <w:pStyle w:val="Normal"/>
        <w:numPr>
          <w:ilvl w:val="0"/>
          <w:numId w:val="10"/>
        </w:numPr>
        <w:spacing w:before="0" w:after="0"/>
        <w:jc w:val="both"/>
        <w:rPr>
          <w:color w:val="000080"/>
          <w:sz w:val="22"/>
        </w:rPr>
      </w:pPr>
      <w:r>
        <w:rPr>
          <w:color w:val="000080"/>
          <w:sz w:val="22"/>
        </w:rPr>
        <w:t xml:space="preserve">Where the participant’s prudential support obligation reflects a reduction by reason of the credit rating, the participant must advice the IMO in writing </w:t>
      </w:r>
      <w:r>
        <w:rPr>
          <w:color w:val="000080"/>
          <w:sz w:val="22"/>
          <w:u w:val="single"/>
        </w:rPr>
        <w:t>immediately</w:t>
      </w:r>
      <w:r>
        <w:rPr>
          <w:color w:val="000080"/>
          <w:sz w:val="22"/>
        </w:rPr>
        <w:t xml:space="preserve"> upon becoming aware of either a change of the credit rating or the decision to place the participant in “credit watch” (Credit Support Agreement, section 2.4).</w:t>
      </w:r>
    </w:p>
    <w:p>
      <w:pPr>
        <w:pStyle w:val="Normal"/>
        <w:numPr>
          <w:ilvl w:val="0"/>
          <w:numId w:val="10"/>
        </w:numPr>
        <w:spacing w:before="0" w:after="0"/>
        <w:jc w:val="both"/>
        <w:rPr>
          <w:color w:val="000080"/>
          <w:sz w:val="22"/>
        </w:rPr>
      </w:pPr>
      <w:r>
        <w:rPr>
          <w:color w:val="000080"/>
          <w:sz w:val="22"/>
        </w:rPr>
        <w:t xml:space="preserve">Where a market participant’s prudential support obligation has been reduced pursuant to credit rating (or historical good payment history) and the relevant credit rating is revised (or the relevant payment history has changed), such as to result in an increase in the market participant’s prudential support obligation then, </w:t>
      </w:r>
      <w:r>
        <w:rPr>
          <w:color w:val="000080"/>
          <w:sz w:val="22"/>
          <w:u w:val="single"/>
        </w:rPr>
        <w:t>within five business days</w:t>
      </w:r>
      <w:r>
        <w:rPr>
          <w:color w:val="000080"/>
          <w:sz w:val="22"/>
        </w:rPr>
        <w:t>, the market participant must provide to the IMO additional prudential support such that the total prudential support provided is equal to the market participant’s prudential support obligation (Market Rules, Chapter 2, section 5.2.6).</w:t>
      </w:r>
    </w:p>
    <w:p>
      <w:pPr>
        <w:pStyle w:val="Normal"/>
        <w:numPr>
          <w:ilvl w:val="0"/>
          <w:numId w:val="10"/>
        </w:numPr>
        <w:spacing w:before="0" w:after="0"/>
        <w:jc w:val="both"/>
        <w:rPr>
          <w:color w:val="000080"/>
          <w:sz w:val="22"/>
        </w:rPr>
      </w:pPr>
      <w:r>
        <w:rPr>
          <w:color w:val="000080"/>
          <w:sz w:val="22"/>
        </w:rPr>
        <w:t>The participant may not use the credit rating of a parent company to reduce its prudential support obligation.</w:t>
      </w:r>
    </w:p>
    <w:p>
      <w:pPr>
        <w:pStyle w:val="Normal"/>
        <w:numPr>
          <w:ilvl w:val="0"/>
          <w:numId w:val="10"/>
        </w:numPr>
        <w:spacing w:before="0" w:after="0"/>
        <w:jc w:val="both"/>
        <w:rPr>
          <w:color w:val="000080"/>
          <w:sz w:val="22"/>
        </w:rPr>
      </w:pPr>
      <w:r>
        <w:rPr>
          <w:color w:val="000080"/>
          <w:sz w:val="22"/>
        </w:rPr>
        <w:t xml:space="preserve">A market participant’s prudential support obligation must be met through the provision of: letter of credit, guarantee by person having credit rating, cash or treasury bills. </w:t>
      </w:r>
    </w:p>
    <w:p>
      <w:pPr>
        <w:pStyle w:val="Heading3"/>
        <w:spacing w:before="0" w:after="0"/>
        <w:ind w:hanging="0" w:start="0"/>
        <w:jc w:val="both"/>
        <w:rPr/>
      </w:pPr>
      <w:r>
        <w:rPr>
          <w:color w:val="000080"/>
          <w:sz w:val="22"/>
          <w:u w:val="single"/>
        </w:rPr>
        <w:t>CC</w:t>
      </w:r>
      <w:r>
        <w:rPr>
          <w:b w:val="false"/>
          <w:bCs/>
          <w:color w:val="000080"/>
          <w:sz w:val="22"/>
          <w:u w:val="single"/>
        </w:rPr>
        <w:t xml:space="preserve">. </w:t>
      </w:r>
    </w:p>
    <w:p>
      <w:pPr>
        <w:pStyle w:val="Heading3"/>
        <w:spacing w:before="0" w:after="0"/>
        <w:ind w:hanging="0" w:start="0"/>
        <w:jc w:val="both"/>
        <w:rPr>
          <w:b w:val="false"/>
          <w:bCs/>
          <w:color w:val="000080"/>
          <w:sz w:val="22"/>
        </w:rPr>
      </w:pPr>
      <w:r>
        <w:rPr>
          <w:b w:val="false"/>
          <w:bCs/>
          <w:color w:val="000080"/>
          <w:sz w:val="22"/>
        </w:rPr>
        <w:t>G. Canovas</w:t>
      </w:r>
    </w:p>
    <w:p>
      <w:pPr>
        <w:pStyle w:val="Normal"/>
        <w:spacing w:before="0" w:after="0"/>
        <w:rPr>
          <w:color w:val="000080"/>
          <w:sz w:val="22"/>
        </w:rPr>
      </w:pPr>
      <w:r>
        <w:rPr>
          <w:color w:val="000080"/>
          <w:sz w:val="22"/>
        </w:rPr>
        <w:t>B. Gottfredson</w:t>
      </w:r>
    </w:p>
    <w:p>
      <w:pPr>
        <w:pStyle w:val="Normal"/>
        <w:spacing w:before="0" w:after="0"/>
        <w:rPr>
          <w:color w:val="000080"/>
          <w:sz w:val="22"/>
        </w:rPr>
      </w:pPr>
      <w:r>
        <w:rPr>
          <w:color w:val="000080"/>
          <w:sz w:val="22"/>
        </w:rPr>
        <w:t>A. Levy</w:t>
      </w:r>
    </w:p>
    <w:p>
      <w:pPr>
        <w:pStyle w:val="Heading3"/>
        <w:spacing w:before="0" w:after="0"/>
        <w:ind w:hanging="0" w:start="0"/>
        <w:jc w:val="both"/>
        <w:rPr>
          <w:color w:val="000080"/>
          <w:sz w:val="22"/>
        </w:rPr>
      </w:pPr>
      <w:r>
        <w:rPr>
          <w:color w:val="000080"/>
          <w:sz w:val="22"/>
        </w:rPr>
      </w:r>
    </w:p>
    <w:p>
      <w:pPr>
        <w:pStyle w:val="Normal"/>
        <w:spacing w:before="0" w:after="0"/>
        <w:jc w:val="both"/>
        <w:rPr>
          <w:color w:val="000080"/>
          <w:sz w:val="22"/>
        </w:rPr>
      </w:pPr>
      <w:r>
        <w:rPr>
          <w:color w:val="000080"/>
          <w:sz w:val="22"/>
        </w:rPr>
      </w:r>
    </w:p>
    <w:p>
      <w:pPr>
        <w:pStyle w:val="Normal"/>
        <w:spacing w:before="0" w:after="0"/>
        <w:ind w:start="360" w:end="0"/>
        <w:jc w:val="both"/>
        <w:rPr>
          <w:color w:val="000080"/>
          <w:sz w:val="22"/>
        </w:rPr>
      </w:pPr>
      <w:r>
        <w:rPr>
          <w:color w:val="000080"/>
          <w:sz w:val="22"/>
        </w:rPr>
      </w:r>
    </w:p>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907"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ind w:end="360"/>
      <w:rPr>
        <w:sz w:val="18"/>
      </w:rPr>
    </w:pPr>
    <w:r>
      <w:rPr>
        <w:sz w:val="18"/>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4135" cy="18478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84785"/>
                      </a:xfrm>
                      <a:prstGeom prst="rect"/>
                      <a:solidFill>
                        <a:srgbClr val="FFFFFF">
                          <a:alpha val="0"/>
                        </a:srgbClr>
                      </a:solidFill>
                    </wps:spPr>
                    <wps:txbx>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4.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spacing w:before="60" w:after="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
        <w:rPr/>
      </w:pPr>
      <w:r>
        <w:rPr>
          <w:rStyle w:val="FootnoteCharacters"/>
        </w:rPr>
        <w:footnoteRef/>
      </w:r>
      <w:r>
        <w:rPr/>
        <w:t xml:space="preserve"> </w:t>
      </w:r>
      <w:r>
        <w:rPr>
          <w:color w:val="000080"/>
        </w:rPr>
        <w:t xml:space="preserve">Total Estimated Liability (TEL) is calculated by  ERCOT using the following formula:  </w:t>
      </w:r>
    </w:p>
    <w:p>
      <w:pPr>
        <w:pStyle w:val="BodyText"/>
        <w:ind w:firstLine="720" w:start="1440" w:end="0"/>
        <w:rPr>
          <w:b/>
          <w:bCs/>
          <w:color w:val="000080"/>
        </w:rPr>
      </w:pPr>
      <w:r>
        <w:rPr>
          <w:b/>
          <w:bCs/>
          <w:color w:val="000080"/>
        </w:rPr>
        <w:t>TEL = DES x BEF x AEP x 40</w:t>
      </w:r>
    </w:p>
    <w:p>
      <w:pPr>
        <w:pStyle w:val="BodyTextIndent"/>
        <w:rPr>
          <w:color w:val="000080"/>
        </w:rPr>
      </w:pPr>
      <w:r>
        <w:rPr>
          <w:color w:val="000080"/>
        </w:rPr>
        <w:t>Where:</w:t>
        <w:tab/>
      </w:r>
    </w:p>
    <w:p>
      <w:pPr>
        <w:pStyle w:val="BodyTextIndent"/>
        <w:ind w:hanging="900" w:start="1620" w:end="0"/>
        <w:rPr>
          <w:color w:val="000080"/>
        </w:rPr>
      </w:pPr>
      <w:r>
        <w:rPr>
          <w:color w:val="000080"/>
        </w:rPr>
        <w:t>TEL = Total Estimated Liability</w:t>
      </w:r>
    </w:p>
    <w:p>
      <w:pPr>
        <w:pStyle w:val="BodyText"/>
        <w:ind w:hanging="720" w:start="1440" w:end="0"/>
        <w:rPr>
          <w:color w:val="000080"/>
        </w:rPr>
      </w:pPr>
      <w:r>
        <w:rPr>
          <w:color w:val="000080"/>
        </w:rPr>
        <w:t xml:space="preserve">DES = Estimated Daily Actual Load Schedule (average MWh) plus estimated Daily Actual Generation Schedule initially provided by the QSE in its Service Filing </w:t>
      </w:r>
    </w:p>
    <w:p>
      <w:pPr>
        <w:pStyle w:val="BodyText"/>
        <w:ind w:hanging="720" w:start="1440" w:end="0"/>
        <w:rPr>
          <w:color w:val="000080"/>
        </w:rPr>
      </w:pPr>
      <w:r>
        <w:rPr>
          <w:color w:val="000080"/>
        </w:rPr>
        <w:t>BEF = Balancing Energy Factor ten percent (10%) for QSEs that schedule only Load or Generation; or five percent (5%) for QSEs that schedule both Load and Generation.  BEF is intended to account for the QSEs potential imbalance energy and Ancillary Service Obligations.</w:t>
      </w:r>
    </w:p>
    <w:p>
      <w:pPr>
        <w:pStyle w:val="BodyText"/>
        <w:ind w:hanging="720" w:start="1440" w:end="0"/>
        <w:rPr>
          <w:color w:val="000080"/>
        </w:rPr>
      </w:pPr>
      <w:r>
        <w:rPr>
          <w:color w:val="000080"/>
        </w:rPr>
        <w:t xml:space="preserve">AEP = Average Energy Price in the ERCOT Region.  AEP is initially based upon on seasonal historic average prices for balancing energy.  </w:t>
      </w:r>
    </w:p>
    <w:p>
      <w:pPr>
        <w:pStyle w:val="FootnoteText"/>
        <w:spacing w:before="60" w:after="60"/>
        <w:rPr>
          <w:color w:val="000080"/>
        </w:rPr>
      </w:pPr>
      <w:r>
        <w:rPr>
          <w:color w:val="000080"/>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1620"/>
        </w:tabs>
        <w:ind w:start="1620" w:hanging="360"/>
      </w:pPr>
      <w:rPr>
        <w:rFonts w:ascii="Symbol" w:hAnsi="Symbol" w:cs="Symbol" w:hint="default"/>
      </w:rPr>
    </w:lvl>
  </w:abstractNum>
  <w:abstractNum w:abstractNumId="5">
    <w:lvl w:ilvl="0">
      <w:start w:val="1"/>
      <w:numFmt w:val="decimal"/>
      <w:lvlText w:val="%1."/>
      <w:lvlJc w:val="start"/>
      <w:pPr>
        <w:tabs>
          <w:tab w:val="num" w:pos="1440"/>
        </w:tabs>
        <w:ind w:start="1440" w:hanging="360"/>
      </w:p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bullet"/>
      <w:lvlText w:val=""/>
      <w:lvlJc w:val="start"/>
      <w:pPr>
        <w:tabs>
          <w:tab w:val="num" w:pos="1620"/>
        </w:tabs>
        <w:ind w:start="1620" w:hanging="360"/>
      </w:pPr>
      <w:rPr>
        <w:rFonts w:ascii="Symbol" w:hAnsi="Symbol" w:cs="Symbol" w:hint="default"/>
      </w:rPr>
    </w:lvl>
  </w:abstractNum>
  <w:abstractNum w:abstractNumId="8">
    <w:lvl w:ilvl="0">
      <w:start w:val="1"/>
      <w:numFmt w:val="bullet"/>
      <w:lvlText w:val=""/>
      <w:lvlJc w:val="start"/>
      <w:pPr>
        <w:tabs>
          <w:tab w:val="num" w:pos="810"/>
        </w:tabs>
        <w:ind w:start="810" w:hanging="360"/>
      </w:pPr>
      <w:rPr>
        <w:rFonts w:ascii="Symbol" w:hAnsi="Symbol" w:cs="Symbol" w:hint="default"/>
      </w:rPr>
    </w:lvl>
  </w:abstractNum>
  <w:abstractNum w:abstractNumId="9">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decimal"/>
      <w:lvlText w:val="%1."/>
      <w:lvlJc w:val="start"/>
      <w:pPr>
        <w:tabs>
          <w:tab w:val="num" w:pos="1440"/>
        </w:tabs>
        <w:ind w:star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spacing w:before="0" w:after="0"/>
      <w:jc w:val="center"/>
      <w:outlineLvl w:val="4"/>
    </w:pPr>
    <w:rPr>
      <w:b/>
    </w:rPr>
  </w:style>
  <w:style w:type="paragraph" w:styleId="Heading6">
    <w:name w:val="heading 6"/>
    <w:basedOn w:val="Normal"/>
    <w:next w:val="Normal"/>
    <w:qFormat/>
    <w:pPr>
      <w:keepNext w:val="true"/>
      <w:numPr>
        <w:ilvl w:val="5"/>
        <w:numId w:val="1"/>
      </w:numPr>
      <w:spacing w:before="0" w:after="0"/>
      <w:jc w:val="center"/>
      <w:outlineLvl w:val="5"/>
    </w:pPr>
    <w:rPr>
      <w:i/>
      <w:sz w:val="18"/>
    </w:rPr>
  </w:style>
  <w:style w:type="paragraph" w:styleId="Heading7">
    <w:name w:val="heading 7"/>
    <w:basedOn w:val="Normal"/>
    <w:next w:val="Normal"/>
    <w:qFormat/>
    <w:pPr>
      <w:keepNext w:val="true"/>
      <w:numPr>
        <w:ilvl w:val="6"/>
        <w:numId w:val="1"/>
      </w:numPr>
      <w:spacing w:before="0" w:after="0"/>
      <w:ind w:hanging="0" w:start="810" w:end="0"/>
      <w:jc w:val="center"/>
      <w:outlineLvl w:val="6"/>
    </w:pPr>
    <w:rPr>
      <w:b/>
      <w:color w:val="000000"/>
    </w:rPr>
  </w:style>
  <w:style w:type="paragraph" w:styleId="Heading8">
    <w:name w:val="heading 8"/>
    <w:basedOn w:val="Normal"/>
    <w:next w:val="Normal"/>
    <w:qFormat/>
    <w:pPr>
      <w:keepNext w:val="true"/>
      <w:numPr>
        <w:ilvl w:val="7"/>
        <w:numId w:val="1"/>
      </w:numPr>
      <w:outlineLvl w:val="7"/>
    </w:pPr>
    <w:rPr>
      <w:color w:val="000080"/>
      <w:u w:val="single"/>
    </w:rPr>
  </w:style>
  <w:style w:type="paragraph" w:styleId="Heading9">
    <w:name w:val="heading 9"/>
    <w:basedOn w:val="Normal"/>
    <w:next w:val="Normal"/>
    <w:qFormat/>
    <w:pPr>
      <w:keepNext w:val="true"/>
      <w:numPr>
        <w:ilvl w:val="8"/>
        <w:numId w:val="1"/>
      </w:numPr>
      <w:spacing w:before="0" w:after="0"/>
      <w:ind w:hanging="0" w:start="1440" w:end="0"/>
      <w:jc w:val="both"/>
      <w:outlineLvl w:val="8"/>
    </w:pPr>
    <w:rPr>
      <w:color w:val="800000"/>
      <w:u w:val="single"/>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8z0">
    <w:name w:val="WW8Num48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4z0">
    <w:name w:val="WW8Num64z0"/>
    <w:qFormat/>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Wingdings" w:hAnsi="Wingdings" w:cs="Wingdings"/>
    </w:rPr>
  </w:style>
  <w:style w:type="character" w:styleId="WW8Num74z1">
    <w:name w:val="WW8Num74z1"/>
    <w:qFormat/>
    <w:rPr>
      <w:rFonts w:ascii="Courier New" w:hAnsi="Courier New" w:cs="Courier New"/>
    </w:rPr>
  </w:style>
  <w:style w:type="character" w:styleId="WW8Num74z3">
    <w:name w:val="WW8Num74z3"/>
    <w:qFormat/>
    <w:rPr>
      <w:rFonts w:ascii="Symbol" w:hAnsi="Symbol" w:cs="Symbol"/>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4z0">
    <w:name w:val="WW8Num84z0"/>
    <w:qFormat/>
    <w:rPr/>
  </w:style>
  <w:style w:type="character" w:styleId="WW8Num87z0">
    <w:name w:val="WW8Num87z0"/>
    <w:qFormat/>
    <w:rPr/>
  </w:style>
  <w:style w:type="character" w:styleId="WW8Num88z0">
    <w:name w:val="WW8Num88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Wingdings" w:hAnsi="Wingdings" w:cs="Wingdings"/>
    </w:rPr>
  </w:style>
  <w:style w:type="character" w:styleId="WW8Num95z1">
    <w:name w:val="WW8Num95z1"/>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8z0">
    <w:name w:val="WW8Num108z0"/>
    <w:qFormat/>
    <w:rPr>
      <w:rFonts w:ascii="Symbol" w:hAnsi="Symbol" w:cs="Symbol"/>
    </w:rPr>
  </w:style>
  <w:style w:type="character" w:styleId="WW8Num109z0">
    <w:name w:val="WW8Num109z0"/>
    <w:qFormat/>
    <w:rPr/>
  </w:style>
  <w:style w:type="character" w:styleId="WW8Num110z1">
    <w:name w:val="WW8Num110z1"/>
    <w:qFormat/>
    <w:rPr/>
  </w:style>
  <w:style w:type="character" w:styleId="WW8Num111z0">
    <w:name w:val="WW8Num111z0"/>
    <w:qFormat/>
    <w:rPr/>
  </w:style>
  <w:style w:type="character" w:styleId="WW8Num112z0">
    <w:name w:val="WW8Num112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20z0">
    <w:name w:val="WW8Num120z0"/>
    <w:qFormat/>
    <w:rPr/>
  </w:style>
  <w:style w:type="character" w:styleId="WW8Num121z0">
    <w:name w:val="WW8Num121z0"/>
    <w:qFormat/>
    <w:rPr/>
  </w:style>
  <w:style w:type="character" w:styleId="WW8Num125z0">
    <w:name w:val="WW8Num125z0"/>
    <w:qFormat/>
    <w:rPr/>
  </w:style>
  <w:style w:type="character" w:styleId="WW8Num126z0">
    <w:name w:val="WW8Num126z0"/>
    <w:qFormat/>
    <w:rPr/>
  </w:style>
  <w:style w:type="character" w:styleId="WW8Num127z0">
    <w:name w:val="WW8Num127z0"/>
    <w:qFormat/>
    <w:rPr>
      <w:rFonts w:ascii="Symbol" w:hAnsi="Symbol" w:cs="Symbol"/>
    </w:rPr>
  </w:style>
  <w:style w:type="character" w:styleId="WW8Num128z1">
    <w:name w:val="WW8Num128z1"/>
    <w:qFormat/>
    <w:rPr>
      <w:rFonts w:ascii="Times New Roman" w:hAnsi="Times New Roman" w:eastAsia="Times New Roman" w:cs="Times New Roman"/>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style>
  <w:style w:type="character" w:styleId="WW8Num134z0">
    <w:name w:val="WW8Num134z0"/>
    <w:qFormat/>
    <w:rPr/>
  </w:style>
  <w:style w:type="character" w:styleId="WW8Num135z0">
    <w:name w:val="WW8Num135z0"/>
    <w:qFormat/>
    <w:rPr/>
  </w:style>
  <w:style w:type="character" w:styleId="WW8Num136z0">
    <w:name w:val="WW8Num136z0"/>
    <w:qFormat/>
    <w:rPr>
      <w:rFonts w:ascii="Symbol" w:hAnsi="Symbol" w:cs="Symbol"/>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5z0">
    <w:name w:val="WW8Num145z0"/>
    <w:qFormat/>
    <w:rPr>
      <w:rFonts w:ascii="Symbol" w:hAnsi="Symbol" w:cs="Symbol"/>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6z0">
    <w:name w:val="WW8Num146z0"/>
    <w:qFormat/>
    <w:rPr/>
  </w:style>
  <w:style w:type="character" w:styleId="WW8Num148z0">
    <w:name w:val="WW8Num148z0"/>
    <w:qFormat/>
    <w:rPr/>
  </w:style>
  <w:style w:type="character" w:styleId="WW8Num150z0">
    <w:name w:val="WW8Num150z0"/>
    <w:qFormat/>
    <w:rPr/>
  </w:style>
  <w:style w:type="character" w:styleId="WW8Num152z0">
    <w:name w:val="WW8Num152z0"/>
    <w:qFormat/>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1">
    <w:name w:val="WW8Num164z1"/>
    <w:qFormat/>
    <w:rPr/>
  </w:style>
  <w:style w:type="character" w:styleId="WW8Num166z0">
    <w:name w:val="WW8Num166z0"/>
    <w:qFormat/>
    <w:rPr>
      <w:rFonts w:ascii="Symbol" w:hAnsi="Symbol" w:cs="Symbol"/>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7z0">
    <w:name w:val="WW8Num167z0"/>
    <w:qFormat/>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style>
  <w:style w:type="character" w:styleId="WW8Num176z0">
    <w:name w:val="WW8Num176z0"/>
    <w:qFormat/>
    <w:rPr/>
  </w:style>
  <w:style w:type="character" w:styleId="WW8Num177z0">
    <w:name w:val="WW8Num177z0"/>
    <w:qFormat/>
    <w:rPr/>
  </w:style>
  <w:style w:type="character" w:styleId="WW8Num178z0">
    <w:name w:val="WW8Num178z0"/>
    <w:qFormat/>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1z0">
    <w:name w:val="WW8Num181z0"/>
    <w:qFormat/>
    <w:rPr/>
  </w:style>
  <w:style w:type="character" w:styleId="WW8Num182z0">
    <w:name w:val="WW8Num182z0"/>
    <w:qFormat/>
    <w:rPr/>
  </w:style>
  <w:style w:type="character" w:styleId="WW8Num183z0">
    <w:name w:val="WW8Num183z0"/>
    <w:qFormat/>
    <w:rPr>
      <w:rFonts w:ascii="Symbol" w:hAnsi="Symbol" w:cs="Symbol"/>
    </w:rPr>
  </w:style>
  <w:style w:type="character" w:styleId="WW8Num183z1">
    <w:name w:val="WW8Num183z1"/>
    <w:qFormat/>
    <w:rPr/>
  </w:style>
  <w:style w:type="character" w:styleId="WW8Num184z0">
    <w:name w:val="WW8Num184z0"/>
    <w:qFormat/>
    <w:rPr/>
  </w:style>
  <w:style w:type="character" w:styleId="WW8Num185z0">
    <w:name w:val="WW8Num185z0"/>
    <w:qFormat/>
    <w:rPr/>
  </w:style>
  <w:style w:type="character" w:styleId="WW8Num186z0">
    <w:name w:val="WW8Num186z0"/>
    <w:qFormat/>
    <w:rPr>
      <w:rFonts w:ascii="Symbol" w:hAnsi="Symbol" w:cs="Symbol"/>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2z0">
    <w:name w:val="WW8Num192z0"/>
    <w:qFormat/>
    <w:rPr>
      <w:rFonts w:ascii="Wingdings" w:hAnsi="Wingdings" w:cs="Wingdings"/>
    </w:rPr>
  </w:style>
  <w:style w:type="character" w:styleId="WW8Num192z1">
    <w:name w:val="WW8Num192z1"/>
    <w:qFormat/>
    <w:rPr>
      <w:rFonts w:ascii="Courier New" w:hAnsi="Courier New" w:cs="Courier New"/>
    </w:rPr>
  </w:style>
  <w:style w:type="character" w:styleId="WW8Num192z3">
    <w:name w:val="WW8Num192z3"/>
    <w:qFormat/>
    <w:rPr>
      <w:rFonts w:ascii="Symbol" w:hAnsi="Symbol" w:cs="Symbol"/>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8z0">
    <w:name w:val="WW8Num198z0"/>
    <w:qFormat/>
    <w:rPr/>
  </w:style>
  <w:style w:type="character" w:styleId="WW8Num199z0">
    <w:name w:val="WW8Num199z0"/>
    <w:qFormat/>
    <w:rPr>
      <w:rFonts w:ascii="Symbol" w:hAnsi="Symbol" w:cs="Symbol"/>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200z0">
    <w:name w:val="WW8Num200z0"/>
    <w:qFormat/>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1z3">
    <w:name w:val="WW8Num201z3"/>
    <w:qFormat/>
    <w:rPr>
      <w:rFonts w:ascii="Symbol" w:hAnsi="Symbol" w:cs="Symbol"/>
    </w:rPr>
  </w:style>
  <w:style w:type="character" w:styleId="WW8Num202z0">
    <w:name w:val="WW8Num202z0"/>
    <w:qFormat/>
    <w:rPr/>
  </w:style>
  <w:style w:type="character" w:styleId="WW8Num203z0">
    <w:name w:val="WW8Num203z0"/>
    <w:qFormat/>
    <w:rPr/>
  </w:style>
  <w:style w:type="character" w:styleId="WW8Num204z0">
    <w:name w:val="WW8Num204z0"/>
    <w:qFormat/>
    <w:rPr>
      <w:rFonts w:ascii="Symbol" w:hAnsi="Symbol" w:cs="Symbol"/>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5z0">
    <w:name w:val="WW8Num205z0"/>
    <w:qFormat/>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rFonts w:ascii="Symbol" w:hAnsi="Symbol" w:cs="Symbol"/>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9z0">
    <w:name w:val="WW8Num219z0"/>
    <w:qFormat/>
    <w:rPr/>
  </w:style>
  <w:style w:type="character" w:styleId="WW8Num220z0">
    <w:name w:val="WW8Num220z0"/>
    <w:qFormat/>
    <w:rPr/>
  </w:style>
  <w:style w:type="character" w:styleId="WW8Num223z0">
    <w:name w:val="WW8Num223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2z0">
    <w:name w:val="WW8Num232z0"/>
    <w:qFormat/>
    <w:rPr/>
  </w:style>
  <w:style w:type="character" w:styleId="WW8Num234z0">
    <w:name w:val="WW8Num234z0"/>
    <w:qFormat/>
    <w:rPr>
      <w:rFonts w:ascii="Symbol" w:hAnsi="Symbol" w:cs="Symbol"/>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9z0">
    <w:name w:val="WW8Num239z0"/>
    <w:qFormat/>
    <w:rPr>
      <w:rFonts w:ascii="Symbol" w:hAnsi="Symbol" w:cs="Symbol"/>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ailStyle20">
    <w:name w:val="EmailStyle20"/>
    <w:basedOn w:val="DefaultParagraphFont"/>
    <w:qFormat/>
    <w:rPr>
      <w:rFonts w:ascii="Arial" w:hAnsi="Arial" w:cs="Arial"/>
      <w:color w:val="000080"/>
      <w:sz w:val="20"/>
      <w:szCs w:val="20"/>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before="0" w:after="0"/>
      <w:jc w:val="both"/>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BodyTextIndent">
    <w:name w:val="Body Text Indent"/>
    <w:basedOn w:val="Normal"/>
    <w:pPr>
      <w:spacing w:before="0" w:after="0"/>
      <w:ind w:hanging="0" w:start="810" w:end="0"/>
    </w:pPr>
    <w:rPr/>
  </w:style>
  <w:style w:type="paragraph" w:styleId="BodyTextIndent2">
    <w:name w:val="Body Text Indent 2"/>
    <w:basedOn w:val="Normal"/>
    <w:qFormat/>
    <w:pPr>
      <w:tabs>
        <w:tab w:val="clear" w:pos="720"/>
        <w:tab w:val="left" w:pos="-720" w:leader="none"/>
      </w:tabs>
      <w:suppressAutoHyphens w:val="true"/>
      <w:ind w:hanging="0" w:start="720" w:end="0"/>
      <w:jc w:val="both"/>
    </w:pPr>
    <w:rPr/>
  </w:style>
  <w:style w:type="paragraph" w:styleId="BodyTextIndent3">
    <w:name w:val="Body Text Indent 3"/>
    <w:basedOn w:val="Normal"/>
    <w:qFormat/>
    <w:pPr>
      <w:tabs>
        <w:tab w:val="clear" w:pos="720"/>
        <w:tab w:val="left" w:pos="-720" w:leader="none"/>
      </w:tabs>
      <w:suppressAutoHyphens w:val="true"/>
      <w:ind w:hanging="0" w:start="990" w:end="0"/>
      <w:jc w:val="both"/>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0" w:after="0"/>
    </w:pPr>
    <w:rPr>
      <w:sz w:val="16"/>
    </w:rPr>
  </w:style>
  <w:style w:type="paragraph" w:styleId="BodyText3">
    <w:name w:val="Body Text 3"/>
    <w:basedOn w:val="Normal"/>
    <w:qFormat/>
    <w:pPr>
      <w:spacing w:before="0" w:after="0"/>
    </w:pPr>
    <w:rPr>
      <w:color w:val="000080"/>
    </w:rPr>
  </w:style>
  <w:style w:type="paragraph" w:styleId="NormalWeb">
    <w:name w:val="Normal (Web)"/>
    <w:basedOn w:val="Normal"/>
    <w:qFormat/>
    <w:pPr>
      <w:spacing w:before="100" w:after="100"/>
    </w:pPr>
    <w:rPr>
      <w:sz w:val="24"/>
      <w:szCs w:val="24"/>
    </w:rPr>
  </w:style>
  <w:style w:type="paragraph" w:styleId="PlainText">
    <w:name w:val="Plain Text"/>
    <w:basedOn w:val="Normal"/>
    <w:qFormat/>
    <w:pPr>
      <w:spacing w:before="0" w:after="0"/>
    </w:pPr>
    <w:rPr>
      <w:rFonts w:ascii="Courier New" w:hAnsi="Courier New" w:cs="Courier New"/>
    </w:rPr>
  </w:style>
  <w:style w:type="paragraph" w:styleId="TableText">
    <w:name w:val="Table Text"/>
    <w:qFormat/>
    <w:pPr>
      <w:widowControl/>
      <w:bidi w:val="0"/>
      <w:spacing w:before="60" w:after="60"/>
      <w:ind w:hanging="230" w:start="230" w:end="0"/>
    </w:pPr>
    <w:rPr>
      <w:rFonts w:ascii="Arial" w:hAnsi="Arial" w:eastAsia="Times New Roman" w:cs="Arial"/>
      <w:color w:val="auto"/>
      <w:sz w:val="16"/>
      <w:szCs w:val="20"/>
      <w:lang w:val="en-US" w:bidi="ar-SA" w:eastAsia="zh-CN"/>
    </w:rPr>
  </w:style>
  <w:style w:type="paragraph" w:styleId="TableHeader">
    <w:name w:val="Table Header"/>
    <w:basedOn w:val="Normal"/>
    <w:qFormat/>
    <w:pPr>
      <w:spacing w:before="40" w:after="40"/>
    </w:pPr>
    <w:rPr>
      <w:b/>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EIMEMO.DOT</Template>
  <TotalTime>386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2001-11-08T18:03:00Z</dcterms:created>
  <dc:creator>EDC</dc:creator>
  <dc:description/>
  <dc:language>en-CA</dc:language>
  <cp:lastModifiedBy>aibrahi</cp:lastModifiedBy>
  <cp:lastPrinted>2001-11-09T08:22:00Z</cp:lastPrinted>
  <dcterms:modified xsi:type="dcterms:W3CDTF">2001-11-12T18:46:00Z</dcterms:modified>
  <cp:revision>21</cp:revision>
  <dc:subject/>
  <dc:title>Enron International Memo</dc:title>
</cp:coreProperties>
</file>