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471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71"/>
      </w:tblGrid>
      <w:tr>
        <w:trPr/>
        <w:tc>
          <w:tcPr>
            <w:tcW w:w="7471" w:type="dxa"/>
            <w:tcBorders/>
            <w:vAlign w:val="center"/>
          </w:tcPr>
          <w:tbl>
            <w:tblPr>
              <w:tblW w:w="7425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7053"/>
              <w:gridCol w:w="93"/>
              <w:gridCol w:w="93"/>
              <w:gridCol w:w="93"/>
              <w:gridCol w:w="93"/>
            </w:tblGrid>
            <w:tr>
              <w:trPr/>
              <w:tc>
                <w:tcPr>
                  <w:tcW w:w="7425" w:type="dxa"/>
                  <w:gridSpan w:val="5"/>
                  <w:tcBorders/>
                  <w:shd w:fill="CCCCCC" w:val="clear"/>
                  <w:vAlign w:val="center"/>
                </w:tcPr>
                <w:p>
                  <w:pPr>
                    <w:pStyle w:val="Normal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drawing>
                      <wp:inline distT="0" distB="0" distL="0" distR="0">
                        <wp:extent cx="9525" cy="28575"/>
                        <wp:effectExtent l="0" t="0" r="0" b="0"/>
                        <wp:docPr id="1" name="spacer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pacer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 l="-3846" t="-3846" r="-3846" b="-38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85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z-TopofForm"/>
                    <w:rPr/>
                  </w:pPr>
                  <w:r>
                    <w:rPr/>
                    <w:t>Top of Form</w:t>
                  </w:r>
                </w:p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</w:rPr>
                  </w:pPr>
                  <w:r>
                    <w:rPr>
                      <w:vanish/>
                    </w:rPr>
                  </w:r>
                  <w:r>
                    <w:rPr>
                      <w:vanish/>
                    </w:rPr>
                  </w:r>
                  <w:r>
                    <w:rPr>
                      <w:vanish/>
                    </w:rPr>
                  </w:r>
                </w:p>
              </w:tc>
            </w:tr>
            <w:tr>
              <w:trPr/>
              <w:tc>
                <w:tcPr>
                  <w:tcW w:w="7425" w:type="dxa"/>
                  <w:gridSpan w:val="5"/>
                  <w:tcBorders/>
                  <w:shd w:fill="FFFFCC" w:val="clear"/>
                  <w:vAlign w:val="center"/>
                </w:tcPr>
                <w:p>
                  <w:pPr>
                    <w:pStyle w:val="Normal"/>
                    <w:jc w:val="end"/>
                    <w:rPr>
                      <w:rFonts w:ascii="Arial" w:hAnsi="Arial" w:eastAsia="Arial Unicode MS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Image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 l="-3846" t="-3846" r="-3846" b="-38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/>
              <w:tc>
                <w:tcPr>
                  <w:tcW w:w="7425" w:type="dxa"/>
                  <w:gridSpan w:val="5"/>
                  <w:tcBorders/>
                  <w:shd w:fill="E6DEC0" w:val="clear"/>
                  <w:vAlign w:val="center"/>
                </w:tcPr>
                <w:p>
                  <w:pPr>
                    <w:pStyle w:val="Normal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" name="Image2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2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-3846" t="-3846" r="-3846" b="-38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z-BottomofForm"/>
                    <w:rPr/>
                  </w:pPr>
                  <w:r>
                    <w:rPr/>
                    <w:t>Bottom of Form</w:t>
                  </w:r>
                </w:p>
                <w:p>
                  <w:pPr>
                    <w:pStyle w:val="z-BottomofForm"/>
                    <w:rPr/>
                  </w:pPr>
                  <w:r>
                    <w:rPr/>
                    <w:t>Bottom of Form</w:t>
                  </w:r>
                </w:p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</w:rPr>
                  </w:pPr>
                  <w:r>
                    <w:rPr>
                      <w:rFonts w:eastAsia="Arial Unicode MS" w:cs="Arial Unicode MS" w:ascii="Arial Unicode MS" w:hAnsi="Arial Unicode MS"/>
                    </w:rPr>
                  </w:r>
                </w:p>
              </w:tc>
            </w:tr>
            <w:tr>
              <w:trPr/>
              <w:tc>
                <w:tcPr>
                  <w:tcW w:w="7053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br/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drawing>
                      <wp:inline distT="0" distB="0" distL="0" distR="0">
                        <wp:extent cx="190500" cy="142875"/>
                        <wp:effectExtent l="0" t="0" r="0" b="0"/>
                        <wp:docPr id="4" name="Image3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3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-189" t="-252" r="-189" b="-25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z-TopofForm"/>
                    <w:rPr/>
                  </w:pPr>
                  <w:r>
                    <w:rPr/>
                    <w:t>Top of Form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vanish/>
                      <w:sz w:val="18"/>
                      <w:szCs w:val="18"/>
                    </w:rPr>
                  </w:r>
                  <w:r>
                    <w:rPr>
                      <w:rFonts w:cs="Arial" w:ascii="Arial" w:hAnsi="Arial"/>
                      <w:vanish/>
                      <w:sz w:val="18"/>
                      <w:szCs w:val="18"/>
                    </w:rPr>
                  </w:r>
                  <w:r>
                    <w:rPr>
                      <w:rFonts w:cs="Arial" w:ascii="Arial" w:hAnsi="Arial"/>
                      <w:vanish/>
                      <w:sz w:val="18"/>
                      <w:szCs w:val="18"/>
                    </w:rPr>
                  </w:r>
                  <w:r>
                    <w:rPr>
                      <w:rFonts w:cs="Arial" w:ascii="Arial" w:hAnsi="Arial"/>
                      <w:color w:val="0000FF"/>
                      <w:sz w:val="18"/>
                      <w:szCs w:val="18"/>
                    </w:rPr>
                    <w:drawing>
                      <wp:inline distT="0" distB="0" distL="0" distR="0">
                        <wp:extent cx="2381250" cy="190500"/>
                        <wp:effectExtent l="0" t="0" r="0" b="0"/>
                        <wp:docPr id="5" name="djn" descr="" title="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djn" descr="" title="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-15" t="-189" r="-15" b="-1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z-BottomofForm"/>
                    <w:rPr/>
                  </w:pPr>
                  <w:r>
                    <w:rPr/>
                    <w:t>Bottom of Form</w:t>
                  </w:r>
                </w:p>
              </w:tc>
              <w:tc>
                <w:tcPr>
                  <w:tcW w:w="93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3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3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93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tbl>
      <w:tblPr>
        <w:tblW w:w="140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40"/>
      </w:tblGrid>
      <w:tr>
        <w:trPr/>
        <w:tc>
          <w:tcPr>
            <w:tcW w:w="14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7471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71"/>
      </w:tblGrid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bold121"/>
              </w:rPr>
              <w:t>CALIF PWR PROBE:ISO Won't Start Load-Differentiated Cap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By Mark Golden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Of DOW JONES NEWSWIRES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11/01/2000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Dow Jones Energy Service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Style w:val="arialblack121"/>
              </w:rPr>
              <w:t>(Copyright (c) 2000, Dow Jones &amp; Company, Inc.)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rialblack121"/>
              </w:rPr>
              <w:t xml:space="preserve">NEW YORK -(Dow Jones)- The </w:t>
            </w:r>
            <w:r>
              <w:rPr>
                <w:rStyle w:val="arialblackbold121"/>
              </w:rPr>
              <w:t>California</w:t>
            </w:r>
            <w:r>
              <w:rPr>
                <w:rStyle w:val="arialblack121"/>
              </w:rPr>
              <w:t xml:space="preserve"> Independent System Operator has decided not to proceed with its new, load-differentiated price cap, which was scheduled to have started Friday, the ISO's spokesman said. </w:t>
            </w:r>
          </w:p>
          <w:p>
            <w:pPr>
              <w:pStyle w:val="NormalWeb"/>
              <w:spacing w:before="280" w:after="0"/>
              <w:rPr/>
            </w:pPr>
            <w:r>
              <w:rPr>
                <w:rStyle w:val="arialblack121"/>
              </w:rPr>
              <w:t xml:space="preserve">The decision is in reaction to new rules for </w:t>
            </w:r>
            <w:r>
              <w:rPr>
                <w:rStyle w:val="arialblackbold121"/>
              </w:rPr>
              <w:t>California</w:t>
            </w:r>
            <w:r>
              <w:rPr>
                <w:rStyle w:val="arialblack121"/>
              </w:rPr>
              <w:t xml:space="preserve">'s wholesale power market, proposed Wednesday by the U.S. Federal Energy Regulatory Commission, or </w:t>
            </w:r>
            <w:r>
              <w:rPr>
                <w:rStyle w:val="arialblackbold121"/>
              </w:rPr>
              <w:t>FERC</w:t>
            </w:r>
            <w:r>
              <w:rPr>
                <w:rStyle w:val="arialblack121"/>
              </w:rPr>
              <w:t>, but the ISO staff wouldn't have been able to start the new price cap on schedule anyway.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7471" w:type="dxa"/>
            <w:tcBorders/>
            <w:vAlign w:val="center"/>
          </w:tcPr>
          <w:tbl>
            <w:tblPr>
              <w:tblW w:w="7425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7425"/>
            </w:tblGrid>
            <w:tr>
              <w:trPr/>
              <w:tc>
                <w:tcPr>
                  <w:tcW w:w="7425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The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's proposed order would freeze the ISO's price cap at its current level of $250 a megawatt-hour for 60 days, and in a footnote the order says that the load-differentiated price cap, which the ISO governing board approved Thursday, is null and void.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's proposal is subject to public comment and modification before the commission's final ruling on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's power market restructuring, which is expected by the end of the year.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Nevertheless, the ISO has decided not to institute its new price cap, and it will proceed according to the proposed order, the ISO's Patrick Dorinson said Wednesday.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"We were going to send out a market notice anyway, indicating to both market participants and the board, that because of the complexity of the software changes that would be needed, the Nov. 3 date or even soon thereafter would have been very difficult to meet," Dorinson said. 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rialblack121"/>
                    </w:rPr>
                    <w:t xml:space="preserve">The Utility Reform Network, which is the </w:t>
                  </w:r>
                  <w:r>
                    <w:rPr>
                      <w:rStyle w:val="arialblackbold121"/>
                    </w:rPr>
                    <w:t>California</w:t>
                  </w:r>
                  <w:r>
                    <w:rPr>
                      <w:rStyle w:val="arialblack121"/>
                    </w:rPr>
                    <w:t xml:space="preserve"> electricity consumer group that proposed the load-differentiated price caps last week, said that the ISO should institute the new cap until the </w:t>
                  </w:r>
                  <w:r>
                    <w:rPr>
                      <w:rStyle w:val="arialblackbold121"/>
                    </w:rPr>
                    <w:t>FERC</w:t>
                  </w:r>
                  <w:r>
                    <w:rPr>
                      <w:rStyle w:val="arialblack121"/>
                    </w:rPr>
                    <w:t xml:space="preserve"> order is finalized. </w:t>
                  </w:r>
                </w:p>
                <w:p>
                  <w:pPr>
                    <w:pStyle w:val="NormalWeb"/>
                    <w:rPr>
                      <w:rStyle w:val="lucidablack101"/>
                    </w:rPr>
                  </w:pPr>
                  <w:r>
                    <w:rPr>
                      <w:rStyle w:val="arialblack121"/>
                    </w:rPr>
                    <w:t xml:space="preserve">The load-differentiated cap would rise and fall depending the total electricity demand in the state and contingent on the price of natural gas. For example, with total demand at a minimum and the price of natural gas at $6 per million British Thermal Units, the cap would be $65/MWh. </w:t>
                  </w:r>
                </w:p>
                <w:p>
                  <w:pPr>
                    <w:pStyle w:val="HTMLPreformatted"/>
                    <w:rPr>
                      <w:rStyle w:val="lucidablack101"/>
                    </w:rPr>
                  </w:pP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color w:val="000000"/>
                    </w:rPr>
                    <w:t>-By Mark Golden, Dow Jones Newswires; 201-938-4604;</w:t>
                  </w:r>
                </w:p>
                <w:p>
                  <w:pPr>
                    <w:pStyle w:val="HTMLPreformatted"/>
                    <w:rPr/>
                  </w:pPr>
                  <w:r>
                    <w:rPr>
                      <w:color w:val="000000"/>
                    </w:rPr>
                    <w:t>mark.golden@dowjones.com</w:t>
                  </w:r>
                </w:p>
                <w:p>
                  <w:pPr>
                    <w:pStyle w:val="HTMLPreformatted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</w:t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sz w:val="18"/>
                <w:szCs w:val="18"/>
              </w:rPr>
            </w:pPr>
            <w:r>
              <w:rPr>
                <w:rFonts w:eastAsia="Arial Unicode MS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ucida Console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arialblack121">
    <w:name w:val="arialblack121"/>
    <w:basedOn w:val="DefaultParagraphFont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color w:val="000000"/>
      <w:sz w:val="18"/>
      <w:szCs w:val="18"/>
    </w:rPr>
  </w:style>
  <w:style w:type="character" w:styleId="arialblackbold121">
    <w:name w:val="arialblackbold121"/>
    <w:basedOn w:val="DefaultParagraphFont"/>
    <w:qFormat/>
    <w:rPr>
      <w:rFonts w:ascii="Arial" w:hAnsi="Arial" w:cs="Arial"/>
      <w:b/>
      <w:bCs/>
      <w:i w:val="false"/>
      <w:iCs w:val="false"/>
      <w:caps w:val="false"/>
      <w:smallCaps w:val="false"/>
      <w:color w:val="000000"/>
      <w:sz w:val="18"/>
      <w:szCs w:val="18"/>
    </w:rPr>
  </w:style>
  <w:style w:type="character" w:styleId="lucidablack101">
    <w:name w:val="lucidablack101"/>
    <w:basedOn w:val="DefaultParagraphFont"/>
    <w:qFormat/>
    <w:rPr>
      <w:rFonts w:ascii="Lucida Console" w:hAnsi="Lucida Console" w:cs="Lucida Console"/>
      <w:b w:val="false"/>
      <w:bCs w:val="false"/>
      <w:i w:val="false"/>
      <w:iCs w:val="false"/>
      <w:caps w:val="false"/>
      <w:smallCaps w:val="false"/>
      <w:color w:val="000000"/>
      <w:sz w:val="15"/>
      <w:szCs w:val="1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z-TopofForm">
    <w:name w:val="z-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styleId="z-BottomofForm">
    <w:name w:val="z-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yperlink" Target="javascript:gotoPubDetails();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2000-11-13T13:23:00Z</dcterms:created>
  <dc:creator>mbuster</dc:creator>
  <dc:description/>
  <dc:language>en-CA</dc:language>
  <cp:lastModifiedBy>mbuster</cp:lastModifiedBy>
  <dcterms:modified xsi:type="dcterms:W3CDTF">2000-11-13T14:10:00Z</dcterms:modified>
  <cp:revision>1</cp:revision>
  <dc:subject/>
  <dc:title> </dc:title>
</cp:coreProperties>
</file>