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400" w:after="120"/>
        <w:ind w:hanging="0" w:start="0" w:end="0"/>
        <w:outlineLvl w:val="0"/>
        <w:rPr>
          <w:rFonts w:ascii="Arial" w:hAnsi="Arial" w:cs="Arial"/>
          <w:b/>
          <w:sz w:val="52"/>
        </w:rPr>
      </w:pPr>
      <w:r>
        <mc:AlternateContent>
          <mc:Choice Requires="wpg">
            <w:drawing>
              <wp:anchor behindDoc="0" distT="0" distB="0" distL="114935" distR="114935" simplePos="0" locked="0" layoutInCell="0" allowOverlap="1" relativeHeight="4">
                <wp:simplePos x="0" y="0"/>
                <wp:positionH relativeFrom="page">
                  <wp:posOffset>640080</wp:posOffset>
                </wp:positionH>
                <wp:positionV relativeFrom="margin">
                  <wp:posOffset>-365760</wp:posOffset>
                </wp:positionV>
                <wp:extent cx="6583680" cy="457200"/>
                <wp:effectExtent l="0" t="0" r="0" b="7620"/>
                <wp:wrapTopAndBottom/>
                <wp:docPr id="1" name=""/>
                <a:graphic xmlns:a="http://schemas.openxmlformats.org/drawingml/2006/main">
                  <a:graphicData uri="http://schemas.microsoft.com/office/word/2010/wordprocessingGroup">
                    <wpg:wgp>
                      <wpg:cNvGrpSpPr/>
                      <wpg:grpSpPr>
                        <a:xfrm>
                          <a:off x="0" y="0"/>
                          <a:ext cx="6583680" cy="457200"/>
                          <a:chOff x="0" y="0"/>
                          <a:chExt cx="6583680" cy="457200"/>
                        </a:xfrm>
                      </wpg:grpSpPr>
                      <pic:pic xmlns:pic="http://schemas.openxmlformats.org/drawingml/2006/picture">
                        <pic:nvPicPr>
                          <pic:cNvPr id="2" name="" descr=""/>
                          <pic:cNvPicPr/>
                        </pic:nvPicPr>
                        <pic:blipFill>
                          <a:blip r:embed="rId2"/>
                          <a:stretch/>
                        </pic:blipFill>
                        <pic:spPr>
                          <a:xfrm>
                            <a:off x="0" y="0"/>
                            <a:ext cx="457200" cy="434520"/>
                          </a:xfrm>
                          <a:prstGeom prst="rect">
                            <a:avLst/>
                          </a:prstGeom>
                          <a:noFill/>
                          <a:ln w="0">
                            <a:noFill/>
                          </a:ln>
                        </pic:spPr>
                      </pic:pic>
                      <pic:pic xmlns:pic="http://schemas.openxmlformats.org/drawingml/2006/picture">
                        <pic:nvPicPr>
                          <pic:cNvPr id="3" name="" descr=""/>
                          <pic:cNvPicPr/>
                        </pic:nvPicPr>
                        <pic:blipFill>
                          <a:blip r:embed="rId3"/>
                          <a:stretch/>
                        </pic:blipFill>
                        <pic:spPr>
                          <a:xfrm>
                            <a:off x="640080" y="0"/>
                            <a:ext cx="2377440" cy="380880"/>
                          </a:xfrm>
                          <a:prstGeom prst="rect">
                            <a:avLst/>
                          </a:prstGeom>
                          <a:noFill/>
                          <a:ln w="0">
                            <a:noFill/>
                          </a:ln>
                        </pic:spPr>
                      </pic:pic>
                      <wps:wsp>
                        <wps:cNvSpPr txBox="1"/>
                        <wps:spPr>
                          <a:xfrm>
                            <a:off x="5577840" y="91440"/>
                            <a:ext cx="1005840" cy="365760"/>
                          </a:xfrm>
                          <a:prstGeom prst="rect">
                            <a:avLst/>
                          </a:prstGeom>
                          <a:noFill/>
                          <a:ln w="0">
                            <a:noFill/>
                          </a:ln>
                        </wps:spPr>
                        <wps:txbx>
                          <w:txbxContent>
                            <w:p>
                              <w:pPr>
                                <w:overflowPunct w:val="false"/>
                                <w:bidi w:val="0"/>
                                <w:rPr/>
                              </w:pPr>
                              <w:r>
                                <w:rPr>
                                  <w:kern w:val="2"/>
                                  <w:sz w:val="17"/>
                                  <w:spacing w:val="-5"/>
                                  <w:szCs w:val="20"/>
                                  <w:rFonts w:ascii="Arial Narrow" w:hAnsi="Arial Narrow" w:eastAsia="Times New Roman" w:cs="Arial Narrow"/>
                                  <w:color w:val="auto"/>
                                  <w:lang w:val="en-US"/>
                                </w:rPr>
                                <w:t xml:space="preserve">California Independent </w:t>
                              </w:r>
                            </w:p>
                            <w:p>
                              <w:pPr>
                                <w:overflowPunct w:val="false"/>
                                <w:bidi w:val="0"/>
                                <w:rPr/>
                              </w:pPr>
                              <w:r>
                                <w:rPr>
                                  <w:kern w:val="2"/>
                                  <w:sz w:val="17"/>
                                  <w:spacing w:val="-5"/>
                                  <w:szCs w:val="20"/>
                                  <w:rFonts w:ascii="Arial Narrow" w:hAnsi="Arial Narrow" w:eastAsia="Times New Roman" w:cs="Arial Narrow"/>
                                  <w:color w:val="auto"/>
                                  <w:lang w:val="en-US"/>
                                </w:rPr>
                                <w:t>System Operator</w:t>
                              </w:r>
                            </w:p>
                          </w:txbxContent>
                        </wps:txbx>
                        <wps:bodyPr wrap="square" lIns="0" rIns="0" tIns="0" bIns="0" anchor="t">
                          <a:noAutofit/>
                        </wps:bodyPr>
                      </wps:wsp>
                    </wpg:wgp>
                  </a:graphicData>
                </a:graphic>
              </wp:anchor>
            </w:drawing>
          </mc:Choice>
          <mc:Fallback>
            <w:pict>
              <v:group id="shape_0" style="position:absolute;margin-left:50.4pt;margin-top:-28.8pt;width:518.4pt;height:36pt" coordorigin="1008,-576" coordsize="10368,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008;top:-576;width:719;height:683;mso-wrap-style:none;v-text-anchor:middle;mso-position-horizontal-relative:page;mso-position-vertical-relative:margin" type="_x0000_t75">
                  <v:imagedata r:id="rId4" o:detectmouseclick="t"/>
                  <v:stroke color="#3465a4" joinstyle="round" endcap="flat"/>
                  <w10:wrap type="topAndBottom"/>
                </v:shape>
                <v:shape id="shape_0" stroked="f" o:allowincell="f" style="position:absolute;left:2016;top:-576;width:3743;height:599;mso-wrap-style:none;v-text-anchor:middle;mso-position-horizontal-relative:page;mso-position-vertical-relative:margin" type="_x0000_t75">
                  <v:imagedata r:id="rId5" o:detectmouseclick="t"/>
                  <v:stroke color="#3465a4" joinstyle="round" endcap="flat"/>
                  <w10:wrap type="topAndBottom"/>
                </v:shape>
                <v:shapetype id="_x0000_t202" coordsize="21600,21600" o:spt="202" path="m,l,21600l21600,21600l21600,xe">
                  <v:stroke joinstyle="miter"/>
                  <v:path gradientshapeok="t" o:connecttype="rect"/>
                </v:shapetype>
                <v:shape id="shape_0" stroked="f" o:allowincell="f" style="position:absolute;left:9792;top:-432;width:1583;height:575;mso-wrap-style:square;v-text-anchor:top;mso-position-horizontal-relative:page;mso-position-vertical-relative:margin" type="_x0000_t202">
                  <v:textbox>
                    <w:txbxContent>
                      <w:p>
                        <w:pPr>
                          <w:overflowPunct w:val="false"/>
                          <w:bidi w:val="0"/>
                          <w:rPr/>
                        </w:pPr>
                        <w:r>
                          <w:rPr>
                            <w:kern w:val="2"/>
                            <w:sz w:val="17"/>
                            <w:spacing w:val="-5"/>
                            <w:szCs w:val="20"/>
                            <w:rFonts w:ascii="Arial Narrow" w:hAnsi="Arial Narrow" w:eastAsia="Times New Roman" w:cs="Arial Narrow"/>
                            <w:color w:val="auto"/>
                            <w:lang w:val="en-US"/>
                          </w:rPr>
                          <w:t xml:space="preserve">California Independent </w:t>
                        </w:r>
                      </w:p>
                      <w:p>
                        <w:pPr>
                          <w:overflowPunct w:val="false"/>
                          <w:bidi w:val="0"/>
                          <w:rPr/>
                        </w:pPr>
                        <w:r>
                          <w:rPr>
                            <w:kern w:val="2"/>
                            <w:sz w:val="17"/>
                            <w:spacing w:val="-5"/>
                            <w:szCs w:val="20"/>
                            <w:rFonts w:ascii="Arial Narrow" w:hAnsi="Arial Narrow" w:eastAsia="Times New Roman" w:cs="Arial Narrow"/>
                            <w:color w:val="auto"/>
                            <w:lang w:val="en-US"/>
                          </w:rPr>
                          <w:t>System Operator</w:t>
                        </w:r>
                      </w:p>
                    </w:txbxContent>
                  </v:textbox>
                  <v:fill o:detectmouseclick="t" on="false"/>
                  <v:stroke color="#3465a4" joinstyle="round" endcap="flat"/>
                  <w10:wrap type="topAndBottom"/>
                </v:shape>
              </v:group>
            </w:pict>
          </mc:Fallback>
        </mc:AlternateContent>
      </w:r>
      <w:r>
        <w:rPr>
          <w:rFonts w:cs="Arial" w:ascii="Arial" w:hAnsi="Arial"/>
          <w:b/>
          <w:sz w:val="52"/>
        </w:rPr>
        <w:t>Memorandum</w:t>
      </w:r>
    </w:p>
    <w:p>
      <w:pPr>
        <w:pStyle w:val="MessageHeaderFirst"/>
        <w:tabs>
          <w:tab w:val="left" w:pos="720" w:leader="none"/>
        </w:tabs>
        <w:ind w:hanging="0" w:start="0" w:end="0"/>
        <w:rPr>
          <w:rStyle w:val="MessageHeaderLabel"/>
          <w:rFonts w:ascii="Arial" w:hAnsi="Arial" w:cs="Arial"/>
          <w:spacing w:val="-25"/>
          <w:sz w:val="20"/>
        </w:rPr>
      </w:pPr>
      <w:r>
        <w:rPr>
          <w:rFonts w:cs="Arial"/>
          <w:b/>
          <w:sz w:val="52"/>
        </w:rPr>
      </w:r>
    </w:p>
    <w:p>
      <w:pPr>
        <w:pStyle w:val="MessageHeaderFirst"/>
        <w:tabs>
          <w:tab w:val="left" w:pos="720" w:leader="none"/>
        </w:tabs>
        <w:ind w:hanging="0" w:start="0" w:end="0"/>
        <w:rPr/>
      </w:pPr>
      <w:r>
        <w:rPr>
          <w:rStyle w:val="MessageHeaderLabel"/>
          <w:rFonts w:cs="Arial Narrow" w:ascii="Arial Narrow" w:hAnsi="Arial Narrow"/>
          <w:spacing w:val="-25"/>
          <w:sz w:val="24"/>
        </w:rPr>
        <w:t>T</w:t>
      </w:r>
      <w:r>
        <w:rPr>
          <w:rStyle w:val="MessageHeaderLabel"/>
          <w:rFonts w:cs="Arial Narrow" w:ascii="Arial Narrow" w:hAnsi="Arial Narrow"/>
          <w:sz w:val="24"/>
        </w:rPr>
        <w:t>o:</w:t>
      </w:r>
      <w:r>
        <w:rPr>
          <w:rFonts w:cs="Arial Narrow" w:ascii="Arial Narrow" w:hAnsi="Arial Narrow"/>
          <w:sz w:val="24"/>
        </w:rPr>
        <w:tab/>
        <w:t>Grid Reliability/Operations Committee</w:t>
        <w:tab/>
        <w:tab/>
        <w:tab/>
        <w:tab/>
        <w:tab/>
      </w:r>
    </w:p>
    <w:p>
      <w:pPr>
        <w:pStyle w:val="MessageHeader"/>
        <w:numPr>
          <w:ilvl w:val="0"/>
          <w:numId w:val="0"/>
        </w:numPr>
        <w:tabs>
          <w:tab w:val="left" w:pos="720" w:leader="none"/>
        </w:tabs>
        <w:ind w:hanging="0" w:start="0" w:end="0"/>
        <w:outlineLvl w:val="0"/>
        <w:rPr/>
      </w:pPr>
      <w:r>
        <w:rPr>
          <w:rStyle w:val="MessageHeaderLabel"/>
          <w:rFonts w:cs="Arial Narrow" w:ascii="Arial Narrow" w:hAnsi="Arial Narrow"/>
          <w:sz w:val="24"/>
        </w:rPr>
        <w:t>From:</w:t>
      </w:r>
      <w:r>
        <w:rPr>
          <w:rFonts w:cs="Arial Narrow" w:ascii="Arial Narrow" w:hAnsi="Arial Narrow"/>
          <w:sz w:val="24"/>
        </w:rPr>
        <w:tab/>
        <w:t>Ziad Alaywan, Managing Director of Engineering</w:t>
      </w:r>
    </w:p>
    <w:p>
      <w:pPr>
        <w:pStyle w:val="MessageHeader"/>
        <w:numPr>
          <w:ilvl w:val="0"/>
          <w:numId w:val="0"/>
        </w:numPr>
        <w:tabs>
          <w:tab w:val="left" w:pos="720" w:leader="none"/>
        </w:tabs>
        <w:ind w:hanging="0" w:start="0" w:end="0"/>
        <w:outlineLvl w:val="0"/>
        <w:rPr>
          <w:rFonts w:ascii="Arial Narrow" w:hAnsi="Arial Narrow" w:cs="Arial Narrow"/>
          <w:sz w:val="24"/>
        </w:rPr>
      </w:pPr>
      <w:r>
        <w:rPr>
          <w:rFonts w:cs="Arial Narrow" w:ascii="Arial Narrow" w:hAnsi="Arial Narrow"/>
          <w:sz w:val="24"/>
        </w:rPr>
        <w:t>CC:</w:t>
        <w:tab/>
        <w:t xml:space="preserve">ISO Board of Governors , ISO Officers </w:t>
      </w:r>
    </w:p>
    <w:p>
      <w:pPr>
        <w:pStyle w:val="MessageHeader"/>
        <w:tabs>
          <w:tab w:val="left" w:pos="720" w:leader="none"/>
        </w:tabs>
        <w:ind w:hanging="0" w:start="0" w:end="0"/>
        <w:rPr/>
      </w:pPr>
      <w:r>
        <w:rPr>
          <w:rStyle w:val="MessageHeaderLabel"/>
          <w:rFonts w:cs="Arial Narrow" w:ascii="Arial Narrow" w:hAnsi="Arial Narrow"/>
          <w:sz w:val="24"/>
        </w:rPr>
        <w:t>Date:</w:t>
      </w:r>
      <w:r>
        <w:rPr>
          <w:rFonts w:cs="Arial Narrow" w:ascii="Arial Narrow" w:hAnsi="Arial Narrow"/>
          <w:sz w:val="24"/>
        </w:rPr>
        <w:tab/>
        <w:t>November 21, 2000</w:t>
      </w:r>
    </w:p>
    <w:p>
      <w:pPr>
        <w:pStyle w:val="MessageHeaderLast"/>
        <w:tabs>
          <w:tab w:val="left" w:pos="720" w:leader="none"/>
        </w:tabs>
        <w:ind w:hanging="0" w:start="0" w:end="0"/>
        <w:rPr/>
      </w:pPr>
      <w:r>
        <w:rPr>
          <w:rStyle w:val="MessageHeaderLabel"/>
          <w:rFonts w:cs="Arial Narrow" w:ascii="Arial Narrow" w:hAnsi="Arial Narrow"/>
          <w:b/>
          <w:sz w:val="24"/>
        </w:rPr>
        <w:t>Re:</w:t>
      </w:r>
      <w:r>
        <w:rPr>
          <w:rFonts w:cs="Arial Narrow" w:ascii="Arial Narrow" w:hAnsi="Arial Narrow"/>
          <w:b/>
          <w:sz w:val="24"/>
        </w:rPr>
        <w:tab/>
      </w:r>
      <w:r>
        <w:rPr>
          <w:rFonts w:cs="Arial Narrow" w:ascii="Arial Narrow" w:hAnsi="Arial Narrow"/>
          <w:b/>
          <w:i/>
          <w:sz w:val="24"/>
        </w:rPr>
        <w:t>Summer 2001 Loads and Resource Forecast</w:t>
      </w:r>
    </w:p>
    <w:p>
      <w:pPr>
        <w:pStyle w:val="Normal"/>
        <w:spacing w:before="0" w:after="120"/>
        <w:rPr>
          <w:rFonts w:ascii="Arial Narrow" w:hAnsi="Arial Narrow" w:cs="Arial Narrow"/>
          <w:b/>
          <w:i/>
          <w:i/>
          <w:sz w:val="24"/>
        </w:rPr>
      </w:pPr>
      <w:r>
        <w:rPr>
          <w:rFonts w:cs="Arial Narrow" w:ascii="Arial Narrow" w:hAnsi="Arial Narrow"/>
          <w:b/>
          <w:i/>
          <w:sz w:val="24"/>
        </w:rPr>
        <w:t>This is a project status report.  No Board action is required at this time.</w:t>
      </w:r>
    </w:p>
    <w:p>
      <w:pPr>
        <w:pStyle w:val="Heading1"/>
        <w:ind w:hanging="0" w:start="0"/>
        <w:rPr>
          <w:rFonts w:ascii="Arial Narrow" w:hAnsi="Arial Narrow" w:cs="Arial Narrow"/>
          <w:b/>
          <w:sz w:val="24"/>
        </w:rPr>
      </w:pPr>
      <w:r>
        <w:rPr>
          <w:rFonts w:cs="Arial Narrow" w:ascii="Arial Narrow" w:hAnsi="Arial Narrow"/>
          <w:b/>
          <w:sz w:val="24"/>
        </w:rPr>
        <w:t>CAISO Summer 2001 Load and Resource Forecast</w:t>
      </w:r>
    </w:p>
    <w:p>
      <w:pPr>
        <w:pStyle w:val="BodyTextIndent2"/>
        <w:rPr>
          <w:rFonts w:ascii="Arial Narrow" w:hAnsi="Arial Narrow" w:cs="Arial Narrow"/>
          <w:sz w:val="24"/>
        </w:rPr>
      </w:pPr>
      <w:r>
        <w:rPr>
          <w:rFonts w:cs="Arial Narrow" w:ascii="Arial Narrow" w:hAnsi="Arial Narrow"/>
          <w:sz w:val="24"/>
        </w:rPr>
        <w:t>The CAISO 2001 unmanaged summer peak load forecast is 47,703 MWs assuming normal weather conditions.  Under extreme weather conditions, similar to those experienced on August 8, 1998, the CAISO peak load may very well exceed 48,500 MWs.  Table 1 below, summarizes the CAISO load and resource forecast for mild, normal, and extreme weather conditions. In 2000, the CAISO experienced an unmanaged peak load of 45,494 MW including non-firm interruptible load of 1,710 MW.</w:t>
      </w:r>
    </w:p>
    <w:p>
      <w:pPr>
        <w:pStyle w:val="BodyTextIndent2"/>
        <w:jc w:val="center"/>
        <w:rPr>
          <w:rFonts w:ascii="Arial Narrow" w:hAnsi="Arial Narrow" w:cs="Arial Narrow"/>
          <w:sz w:val="24"/>
        </w:rPr>
      </w:pPr>
      <w:r>
        <w:rPr>
          <w:rFonts w:cs="Arial Narrow" w:ascii="Arial Narrow" w:hAnsi="Arial Narrow"/>
          <w:sz w:val="24"/>
        </w:rPr>
        <w:t>Table 1: Load and Resource Balance for the Summer of 2001</w:t>
      </w:r>
    </w:p>
    <w:p>
      <w:pPr>
        <w:pStyle w:val="Heading2"/>
        <w:ind w:hanging="0" w:start="0"/>
        <w:jc w:val="center"/>
        <w:rPr>
          <w:rFonts w:ascii="Arial Narrow" w:hAnsi="Arial Narrow" w:cs="Arial Narrow"/>
          <w:sz w:val="24"/>
        </w:rPr>
      </w:pPr>
      <w:bookmarkStart w:id="0" w:name="_1036222487"/>
      <w:bookmarkStart w:id="1" w:name="_1036212414"/>
      <w:bookmarkStart w:id="2" w:name="_1036212377"/>
      <w:bookmarkStart w:id="3" w:name="_1036211613"/>
      <w:bookmarkStart w:id="4" w:name="_1036211574"/>
      <w:bookmarkStart w:id="5" w:name="_1036211503"/>
      <w:bookmarkStart w:id="6" w:name="_1036211442"/>
      <w:bookmarkStart w:id="7" w:name="_1036211397"/>
      <w:bookmarkStart w:id="8" w:name="_1036211382"/>
      <w:bookmarkStart w:id="9" w:name="_1036211281"/>
      <w:bookmarkStart w:id="10" w:name="_1035893104"/>
      <w:bookmarkStart w:id="11" w:name="_1035814451"/>
      <w:bookmarkStart w:id="12" w:name="_1035812312"/>
      <w:bookmarkStart w:id="13" w:name="_1035812294"/>
      <w:bookmarkStart w:id="14" w:name="_1035812158"/>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cs="Arial Narrow" w:ascii="Arial Narrow" w:hAnsi="Arial Narrow"/>
          <w:sz w:val="24"/>
        </w:rPr>
        <w:object w:dxaOrig="9240" w:dyaOrig="553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62.6pt;height:268.9pt" filled="f" o:ole="">
            <v:imagedata r:id="rId7" o:title=""/>
          </v:shape>
          <o:OLEObject Type="Embed" ProgID="Excel.Sheet.12" ShapeID="ole_rId6" DrawAspect="Content" ObjectID="_909982508" r:id="rId6"/>
        </w:object>
      </w:r>
      <w:r>
        <w:br w:type="page"/>
      </w:r>
    </w:p>
    <w:p>
      <w:pPr>
        <w:pStyle w:val="BodyText"/>
        <w:rPr>
          <w:rFonts w:ascii="Arial Narrow" w:hAnsi="Arial Narrow" w:cs="Arial Narrow"/>
          <w:b/>
          <w:sz w:val="24"/>
        </w:rPr>
      </w:pPr>
      <w:r>
        <w:rPr>
          <w:rFonts w:cs="Arial Narrow" w:ascii="Arial Narrow" w:hAnsi="Arial Narrow"/>
          <w:b/>
          <w:sz w:val="24"/>
        </w:rPr>
        <w:t>Summer 2001 Peak Load Forecast</w:t>
      </w:r>
    </w:p>
    <w:p>
      <w:pPr>
        <w:pStyle w:val="Normal"/>
        <w:spacing w:before="120" w:after="0"/>
        <w:ind w:firstLine="720" w:end="0"/>
        <w:rPr>
          <w:rFonts w:ascii="Arial Narrow" w:hAnsi="Arial Narrow" w:cs="Arial Narrow"/>
          <w:sz w:val="24"/>
        </w:rPr>
      </w:pPr>
      <w:r>
        <w:rPr>
          <w:rFonts w:cs="Arial Narrow" w:ascii="Arial Narrow" w:hAnsi="Arial Narrow"/>
          <w:sz w:val="24"/>
        </w:rPr>
        <w:t>The CAISO 2001 summer peak load forecast of 47,703 MWs assumes normal weather conditions.  The load forecast includes an estimated average 1.85% per year increase in load growth based on estimated load growth from 1999 to 2000.  The monthly average of daily peak load levels during summer months has increased steadily over the last three years as shown in Table 2.</w:t>
      </w:r>
    </w:p>
    <w:p>
      <w:pPr>
        <w:pStyle w:val="Normal"/>
        <w:spacing w:before="120" w:after="0"/>
        <w:ind w:firstLine="720" w:end="0"/>
        <w:rPr>
          <w:rFonts w:ascii="Arial Narrow" w:hAnsi="Arial Narrow" w:cs="Arial Narrow"/>
          <w:sz w:val="24"/>
        </w:rPr>
      </w:pPr>
      <w:r>
        <w:rPr>
          <w:rFonts w:cs="Arial Narrow" w:ascii="Arial Narrow" w:hAnsi="Arial Narrow"/>
          <w:sz w:val="24"/>
        </w:rPr>
      </w:r>
    </w:p>
    <w:p>
      <w:pPr>
        <w:pStyle w:val="Normal"/>
        <w:ind w:firstLine="720" w:start="2160" w:end="0"/>
        <w:rPr>
          <w:rFonts w:ascii="Arial Narrow" w:hAnsi="Arial Narrow" w:cs="Arial Narrow"/>
          <w:sz w:val="24"/>
        </w:rPr>
      </w:pPr>
      <w:r>
        <w:rPr>
          <w:rFonts w:cs="Arial Narrow" w:ascii="Arial Narrow" w:hAnsi="Arial Narrow"/>
          <w:sz w:val="24"/>
        </w:rPr>
        <w:t>Table 2. Historical Monthly Average Peak Loads</w:t>
      </w:r>
    </w:p>
    <w:p>
      <w:pPr>
        <w:pStyle w:val="Normal"/>
        <w:ind w:firstLine="720" w:start="3600" w:end="0"/>
        <w:rPr>
          <w:rFonts w:ascii="Arial Narrow" w:hAnsi="Arial Narrow" w:cs="Arial Narrow"/>
          <w:sz w:val="24"/>
        </w:rPr>
      </w:pPr>
      <w:r>
        <w:rPr>
          <w:rFonts w:cs="Arial Narrow" w:ascii="Arial Narrow" w:hAnsi="Arial Narrow"/>
          <w:sz w:val="24"/>
        </w:rPr>
        <w:t>California Control Area</w:t>
      </w:r>
    </w:p>
    <w:p>
      <w:pPr>
        <w:pStyle w:val="Normal"/>
        <w:jc w:val="center"/>
        <w:rPr/>
      </w:pPr>
      <w:r>
        <w:rPr/>
        <w:object w:dxaOrig="7680"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07.55pt;height:169.35pt" filled="f" o:ole="">
            <v:imagedata r:id="rId9" o:title=""/>
          </v:shape>
          <o:OLEObject Type="Embed" ProgID="Excel.Sheet.12" ShapeID="ole_rId8" DrawAspect="Content" ObjectID="_1738941859" r:id="rId8"/>
        </w:object>
      </w:r>
    </w:p>
    <w:p>
      <w:pPr>
        <w:pStyle w:val="Normal"/>
        <w:jc w:val="center"/>
        <w:rPr/>
      </w:pPr>
      <w:r>
        <w:rPr/>
      </w:r>
    </w:p>
    <w:p>
      <w:pPr>
        <w:pStyle w:val="Normal"/>
        <w:ind w:firstLine="720" w:end="0"/>
        <w:rPr>
          <w:rFonts w:ascii="Arial Narrow" w:hAnsi="Arial Narrow" w:cs="Arial Narrow"/>
          <w:sz w:val="24"/>
        </w:rPr>
      </w:pPr>
      <w:r>
        <w:rPr>
          <w:rFonts w:cs="Arial Narrow" w:ascii="Arial Narrow" w:hAnsi="Arial Narrow"/>
          <w:sz w:val="24"/>
        </w:rPr>
        <w:t>The estimated peak load does not include reductions in demand from voluntary or interruptible load curtailment programs.  During summer 2000 peak load conditions, the CAISO issued Powerwatch notices and worked with several federal, state, and local agencies to minimize demand during peak periods.  The CAISO estimates that greater public awareness and cooperation of these agencies resulted in voluntary load curtailments of 300-500 MWs.  The total demand relief from voluntary curtailments is difficult to determine.  As such, voluntary load curtailments are not factored into the summer 2000 actual un-managed peak load levels or in the summer 2001 forecast load levels.</w:t>
      </w:r>
    </w:p>
    <w:p>
      <w:pPr>
        <w:pStyle w:val="Normal"/>
        <w:rPr>
          <w:rFonts w:ascii="Arial Narrow" w:hAnsi="Arial Narrow" w:cs="Arial Narrow"/>
          <w:sz w:val="24"/>
        </w:rPr>
      </w:pPr>
      <w:r>
        <w:rPr>
          <w:rFonts w:cs="Arial Narrow" w:ascii="Arial Narrow" w:hAnsi="Arial Narrow"/>
          <w:sz w:val="24"/>
        </w:rPr>
      </w:r>
    </w:p>
    <w:p>
      <w:pPr>
        <w:pStyle w:val="Heading2"/>
        <w:ind w:hanging="0" w:start="0"/>
        <w:rPr>
          <w:rFonts w:ascii="Arial Narrow" w:hAnsi="Arial Narrow" w:cs="Arial Narrow"/>
          <w:b/>
          <w:sz w:val="24"/>
        </w:rPr>
      </w:pPr>
      <w:r>
        <w:rPr>
          <w:rFonts w:cs="Arial Narrow" w:ascii="Arial Narrow" w:hAnsi="Arial Narrow"/>
          <w:b/>
          <w:sz w:val="24"/>
        </w:rPr>
        <w:t>Existing Control Area Generation Capacity</w:t>
      </w:r>
    </w:p>
    <w:p>
      <w:pPr>
        <w:pStyle w:val="Normal"/>
        <w:spacing w:before="120" w:after="0"/>
        <w:rPr>
          <w:rFonts w:ascii="Arial Narrow" w:hAnsi="Arial Narrow" w:cs="Arial Narrow"/>
          <w:sz w:val="24"/>
        </w:rPr>
      </w:pPr>
      <w:r>
        <w:rPr>
          <w:rFonts w:cs="Arial Narrow" w:ascii="Arial Narrow" w:hAnsi="Arial Narrow"/>
          <w:sz w:val="24"/>
        </w:rPr>
        <w:t>In 2001, the maximum existing control area generation capacity is estimated at 44,050 MWs.  The maximum estimated capacity is based on generation and capacity observed in real-time (calculated in the CAISO EMS) over the last three summer seasons. The real-time generation calculated in the CAISO EMS is used in calculating the actual control area load. In Table 3, In-Area Generation figures include dynamically scheduled resources from outside the control area.</w:t>
      </w:r>
    </w:p>
    <w:p>
      <w:pPr>
        <w:pStyle w:val="Normal"/>
        <w:spacing w:before="120" w:after="0"/>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b/>
        <w:tab/>
        <w:t>Table 3. Existing Control Area generation Capacity</w:t>
      </w:r>
    </w:p>
    <w:p>
      <w:pPr>
        <w:pStyle w:val="Normal"/>
        <w:rPr>
          <w:rFonts w:ascii="Arial Narrow" w:hAnsi="Arial Narrow" w:cs="Arial Narrow"/>
          <w:sz w:val="24"/>
        </w:rPr>
      </w:pPr>
      <w:r>
        <w:rPr>
          <w:rFonts w:cs="Arial Narrow" w:ascii="Arial Narrow" w:hAnsi="Arial Narrow"/>
          <w:sz w:val="24"/>
        </w:rPr>
      </w:r>
    </w:p>
    <w:tbl>
      <w:tblPr>
        <w:tblW w:w="8640" w:type="dxa"/>
        <w:jc w:val="start"/>
        <w:tblInd w:w="108" w:type="dxa"/>
        <w:tblLayout w:type="fixed"/>
        <w:tblCellMar>
          <w:top w:w="0" w:type="dxa"/>
          <w:start w:w="108" w:type="dxa"/>
          <w:bottom w:w="0" w:type="dxa"/>
          <w:end w:w="108" w:type="dxa"/>
        </w:tblCellMar>
      </w:tblPr>
      <w:tblGrid>
        <w:gridCol w:w="1440"/>
        <w:gridCol w:w="1440"/>
        <w:gridCol w:w="1440"/>
        <w:gridCol w:w="1440"/>
        <w:gridCol w:w="1440"/>
        <w:gridCol w:w="1440"/>
      </w:tblGrid>
      <w:tr>
        <w:trPr/>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Year</w:t>
            </w:r>
          </w:p>
        </w:tc>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Peak</w:t>
            </w:r>
          </w:p>
          <w:p>
            <w:pPr>
              <w:pStyle w:val="Normal"/>
              <w:jc w:val="center"/>
              <w:rPr>
                <w:rFonts w:ascii="Arial Narrow" w:hAnsi="Arial Narrow" w:cs="Arial Narrow"/>
                <w:b/>
                <w:sz w:val="24"/>
              </w:rPr>
            </w:pPr>
            <w:r>
              <w:rPr>
                <w:rFonts w:cs="Arial Narrow" w:ascii="Arial Narrow" w:hAnsi="Arial Narrow"/>
                <w:b/>
                <w:sz w:val="24"/>
              </w:rPr>
              <w:t>Load</w:t>
            </w:r>
          </w:p>
          <w:p>
            <w:pPr>
              <w:pStyle w:val="Normal"/>
              <w:jc w:val="center"/>
              <w:rPr>
                <w:rFonts w:ascii="Arial Narrow" w:hAnsi="Arial Narrow" w:cs="Arial Narrow"/>
                <w:b/>
                <w:sz w:val="24"/>
              </w:rPr>
            </w:pPr>
            <w:r>
              <w:rPr>
                <w:rFonts w:cs="Arial Narrow" w:ascii="Arial Narrow" w:hAnsi="Arial Narrow"/>
                <w:b/>
                <w:sz w:val="24"/>
              </w:rPr>
              <w:t>(MW)</w:t>
            </w:r>
          </w:p>
        </w:tc>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In-Area Generation (MW)</w:t>
            </w:r>
          </w:p>
        </w:tc>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Net</w:t>
            </w:r>
          </w:p>
          <w:p>
            <w:pPr>
              <w:pStyle w:val="Normal"/>
              <w:jc w:val="center"/>
              <w:rPr>
                <w:rFonts w:ascii="Arial Narrow" w:hAnsi="Arial Narrow" w:cs="Arial Narrow"/>
                <w:b/>
                <w:sz w:val="24"/>
              </w:rPr>
            </w:pPr>
            <w:r>
              <w:rPr>
                <w:rFonts w:cs="Arial Narrow" w:ascii="Arial Narrow" w:hAnsi="Arial Narrow"/>
                <w:b/>
                <w:sz w:val="24"/>
              </w:rPr>
              <w:t>Imports</w:t>
            </w:r>
          </w:p>
          <w:p>
            <w:pPr>
              <w:pStyle w:val="Normal"/>
              <w:jc w:val="center"/>
              <w:rPr>
                <w:rFonts w:ascii="Arial Narrow" w:hAnsi="Arial Narrow" w:cs="Arial Narrow"/>
                <w:b/>
                <w:sz w:val="24"/>
              </w:rPr>
            </w:pPr>
            <w:r>
              <w:rPr>
                <w:rFonts w:cs="Arial Narrow" w:ascii="Arial Narrow" w:hAnsi="Arial Narrow"/>
                <w:b/>
                <w:sz w:val="24"/>
              </w:rPr>
              <w:t>(MW)</w:t>
            </w:r>
          </w:p>
        </w:tc>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Load Curtailment</w:t>
            </w:r>
          </w:p>
          <w:p>
            <w:pPr>
              <w:pStyle w:val="Normal"/>
              <w:jc w:val="center"/>
              <w:rPr>
                <w:rFonts w:ascii="Arial Narrow" w:hAnsi="Arial Narrow" w:cs="Arial Narrow"/>
                <w:b/>
                <w:sz w:val="24"/>
              </w:rPr>
            </w:pPr>
            <w:r>
              <w:rPr>
                <w:rFonts w:cs="Arial Narrow" w:ascii="Arial Narrow" w:hAnsi="Arial Narrow"/>
                <w:b/>
                <w:sz w:val="24"/>
              </w:rPr>
              <w:t>(MW)</w:t>
            </w:r>
          </w:p>
        </w:tc>
        <w:tc>
          <w:tcPr>
            <w:tcW w:w="1440" w:type="dxa"/>
            <w:tcBorders>
              <w:top w:val="single" w:sz="4" w:space="0" w:color="000000"/>
              <w:start w:val="single" w:sz="4" w:space="0" w:color="000000"/>
              <w:bottom w:val="single" w:sz="4" w:space="0" w:color="000000"/>
              <w:end w:val="single" w:sz="4" w:space="0" w:color="000000"/>
            </w:tcBorders>
            <w:shd w:fill="E5E5E5" w:val="clear"/>
            <w:vAlign w:val="center"/>
          </w:tcPr>
          <w:p>
            <w:pPr>
              <w:pStyle w:val="Normal"/>
              <w:jc w:val="center"/>
              <w:rPr>
                <w:rFonts w:ascii="Arial Narrow" w:hAnsi="Arial Narrow" w:cs="Arial Narrow"/>
                <w:b/>
                <w:sz w:val="24"/>
              </w:rPr>
            </w:pPr>
            <w:r>
              <w:rPr>
                <w:rFonts w:cs="Arial Narrow" w:ascii="Arial Narrow" w:hAnsi="Arial Narrow"/>
                <w:b/>
                <w:sz w:val="24"/>
              </w:rPr>
              <w:t>Date</w:t>
            </w:r>
          </w:p>
        </w:tc>
      </w:tr>
      <w:tr>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1998</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45,766</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37,747</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7,180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839</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8/3/98</w:t>
            </w:r>
          </w:p>
        </w:tc>
      </w:tr>
      <w:tr>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1999</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45,884</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37,506</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8,378</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None</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7/12/99</w:t>
            </w:r>
          </w:p>
        </w:tc>
      </w:tr>
      <w:tr>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2000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45,494</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39,184</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4,600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1,710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Narrow" w:hAnsi="Arial Narrow" w:cs="Arial Narrow"/>
                <w:sz w:val="24"/>
              </w:rPr>
            </w:pPr>
            <w:r>
              <w:rPr>
                <w:rFonts w:cs="Arial Narrow" w:ascii="Arial Narrow" w:hAnsi="Arial Narrow"/>
                <w:sz w:val="24"/>
              </w:rPr>
              <w:t>8/16/00</w:t>
            </w:r>
          </w:p>
        </w:tc>
      </w:tr>
    </w:tbl>
    <w:p>
      <w:pPr>
        <w:pStyle w:val="Normal"/>
        <w:jc w:val="center"/>
        <w:rPr/>
      </w:pPr>
      <w:r>
        <w:rPr/>
      </w:r>
    </w:p>
    <w:p>
      <w:pPr>
        <w:pStyle w:val="Normal"/>
        <w:rPr/>
      </w:pPr>
      <w:r>
        <w:rPr/>
      </w:r>
    </w:p>
    <w:p>
      <w:pPr>
        <w:pStyle w:val="Heading2"/>
        <w:ind w:hanging="0" w:start="0"/>
        <w:rPr>
          <w:rFonts w:ascii="Arial Narrow" w:hAnsi="Arial Narrow" w:cs="Arial Narrow"/>
          <w:b/>
          <w:sz w:val="24"/>
        </w:rPr>
      </w:pPr>
      <w:r>
        <w:rPr>
          <w:rFonts w:cs="Arial Narrow" w:ascii="Arial Narrow" w:hAnsi="Arial Narrow"/>
          <w:b/>
          <w:sz w:val="24"/>
        </w:rPr>
        <w:t>2001 Generation Capacity Additions</w:t>
      </w:r>
    </w:p>
    <w:p>
      <w:pPr>
        <w:pStyle w:val="BodyTextIndent2"/>
        <w:spacing w:before="120" w:after="0"/>
        <w:rPr/>
      </w:pPr>
      <w:r>
        <w:rPr>
          <w:rFonts w:cs="Arial Narrow" w:ascii="Arial Narrow" w:hAnsi="Arial Narrow"/>
          <w:sz w:val="24"/>
        </w:rPr>
        <w:t>The CAISO anticipates an additional 1421 MWs of additional in-state generation capacity will be installed by July 1, 2001.  This includes the addition of the Sutter Powerplant (</w:t>
      </w:r>
      <w:r>
        <w:rPr>
          <w:rFonts w:eastAsia="Symbol" w:cs="Symbol" w:ascii="Symbol" w:hAnsi="Symbol"/>
          <w:sz w:val="24"/>
        </w:rPr>
        <w:sym w:font="Symbol" w:char="f0bb"/>
      </w:r>
      <w:r>
        <w:rPr>
          <w:rFonts w:cs="Arial Narrow" w:ascii="Arial Narrow" w:hAnsi="Arial Narrow"/>
          <w:sz w:val="24"/>
        </w:rPr>
        <w:t xml:space="preserve"> 467 MWs) and the Los Medonos Energy Center (</w:t>
      </w:r>
      <w:r>
        <w:rPr>
          <w:rFonts w:eastAsia="Symbol" w:cs="Symbol" w:ascii="Symbol" w:hAnsi="Symbol"/>
          <w:sz w:val="24"/>
        </w:rPr>
        <w:sym w:font="Symbol" w:char="f0bb"/>
      </w:r>
      <w:r>
        <w:rPr>
          <w:rFonts w:cs="Arial Narrow" w:ascii="Arial Narrow" w:hAnsi="Arial Narrow"/>
          <w:sz w:val="24"/>
        </w:rPr>
        <w:t xml:space="preserve"> 467 MWs) and several smaller generating plant additions (&lt; 100 MW facilities).  The estimated additional capacity additions does not include the La Paloma Project (</w:t>
      </w:r>
      <w:r>
        <w:rPr>
          <w:rFonts w:eastAsia="Symbol" w:cs="Symbol" w:ascii="Symbol" w:hAnsi="Symbol"/>
          <w:sz w:val="24"/>
        </w:rPr>
        <w:sym w:font="Symbol" w:char="f0bb"/>
      </w:r>
      <w:r>
        <w:rPr>
          <w:rFonts w:cs="Arial Narrow" w:ascii="Arial Narrow" w:hAnsi="Arial Narrow"/>
          <w:sz w:val="24"/>
        </w:rPr>
        <w:t xml:space="preserve"> 463 MWs) which is scheduled to be in-service by December 1, 2001 or any potential new capacity resulting from the CAISO “summer reliability generation” (SRG).</w:t>
      </w:r>
    </w:p>
    <w:p>
      <w:pPr>
        <w:pStyle w:val="Heading2"/>
        <w:ind w:hanging="0" w:start="0"/>
        <w:rPr>
          <w:rFonts w:ascii="Arial Narrow" w:hAnsi="Arial Narrow" w:cs="Arial Narrow"/>
          <w:b/>
          <w:sz w:val="24"/>
        </w:rPr>
      </w:pPr>
      <w:r>
        <w:rPr>
          <w:rFonts w:cs="Arial Narrow" w:ascii="Arial Narrow" w:hAnsi="Arial Narrow"/>
          <w:b/>
          <w:sz w:val="24"/>
        </w:rPr>
      </w:r>
    </w:p>
    <w:p>
      <w:pPr>
        <w:pStyle w:val="Heading2"/>
        <w:ind w:hanging="0" w:start="0"/>
        <w:rPr>
          <w:rFonts w:ascii="Arial Narrow" w:hAnsi="Arial Narrow" w:cs="Arial Narrow"/>
          <w:b/>
          <w:sz w:val="24"/>
        </w:rPr>
      </w:pPr>
      <w:r>
        <w:rPr>
          <w:rFonts w:cs="Arial Narrow" w:ascii="Arial Narrow" w:hAnsi="Arial Narrow"/>
          <w:b/>
          <w:sz w:val="24"/>
        </w:rPr>
        <w:t>Estimated Capacity Limitations</w:t>
      </w:r>
    </w:p>
    <w:p>
      <w:pPr>
        <w:pStyle w:val="Normal"/>
        <w:spacing w:before="120" w:after="0"/>
        <w:rPr>
          <w:rFonts w:ascii="Arial Narrow" w:hAnsi="Arial Narrow" w:cs="Arial Narrow"/>
          <w:sz w:val="24"/>
        </w:rPr>
      </w:pPr>
      <w:r>
        <w:rPr>
          <w:rFonts w:cs="Arial Narrow" w:ascii="Arial Narrow" w:hAnsi="Arial Narrow"/>
          <w:sz w:val="24"/>
        </w:rPr>
        <w:t>The actual generating capacity available to meet load on any given day is very dynamic and is dependent on planned and forced outages, transmission limitations, unit de-rates, hydro conditions, and weather conditions (ambient temperature, wind speeds, and humidity).  Numerous generating plants within the CAISO control area near or beyond their expected life.  As these plants get older, their availability rate declines.  It is very difficult to forecast capacity limitations, however, based on our experience over the last three years we are estimating capacity limitations of 2500-3000 MWs.</w:t>
      </w:r>
    </w:p>
    <w:p>
      <w:pPr>
        <w:pStyle w:val="Normal"/>
        <w:rPr>
          <w:rFonts w:ascii="Arial Narrow" w:hAnsi="Arial Narrow" w:cs="Arial Narrow"/>
          <w:sz w:val="24"/>
        </w:rPr>
      </w:pPr>
      <w:r>
        <w:rPr>
          <w:rFonts w:cs="Arial Narrow" w:ascii="Arial Narrow" w:hAnsi="Arial Narrow"/>
          <w:sz w:val="24"/>
        </w:rPr>
      </w:r>
    </w:p>
    <w:p>
      <w:pPr>
        <w:pStyle w:val="Heading2"/>
        <w:ind w:hanging="0" w:start="0"/>
        <w:rPr>
          <w:rFonts w:ascii="Arial Narrow" w:hAnsi="Arial Narrow" w:cs="Arial Narrow"/>
          <w:b/>
          <w:sz w:val="24"/>
        </w:rPr>
      </w:pPr>
      <w:r>
        <w:rPr>
          <w:rFonts w:cs="Arial Narrow" w:ascii="Arial Narrow" w:hAnsi="Arial Narrow"/>
          <w:b/>
          <w:sz w:val="24"/>
        </w:rPr>
        <w:t>Operating Reserve Requirements</w:t>
      </w:r>
    </w:p>
    <w:p>
      <w:pPr>
        <w:pStyle w:val="Normal"/>
        <w:spacing w:before="120" w:after="0"/>
        <w:rPr>
          <w:rFonts w:ascii="Arial Narrow" w:hAnsi="Arial Narrow" w:cs="Arial Narrow"/>
          <w:sz w:val="24"/>
        </w:rPr>
      </w:pPr>
      <w:r>
        <w:rPr>
          <w:rFonts w:cs="Arial Narrow" w:ascii="Arial Narrow" w:hAnsi="Arial Narrow"/>
          <w:sz w:val="24"/>
        </w:rPr>
        <w:t>The estimated Operating Reserve requirement is estimated at approximately 7% of the anticipated in-state generation level.  WSCC Operating Reserve requirements currently require that a control area maintain minimum operating reserves equal to the greater of 5% of load met by hydro and 7% of load met by thermal resources or equal to their largest single contingency.  The actual requirement may be higher due to transmission constraints.  If Operating Reserve drop below minimum required levels, the control area operator must be prepared to, and capable of,  curtailing load within 10 minutes to restore ACE (Area Control Error) to zero following a contingency.  If a control area cannot curtail load within the 10-minute timeframe following a contingency, the control area operator must curtail load pre-contingency to maintain minimum Operating Reserve requirements.  Participating Transmission Owners and the CAISO have procedures in place to immediately curtail load within the required timeframe to restore ACE if operating Reserves are below minimum levels when a contingency occurs.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It is important to note that WSCC is currently reviewing minimum operating reserve requirements.  The actual Operating Reserve requirement may change prior to the summer 2001 season.</w:t>
      </w:r>
    </w:p>
    <w:p>
      <w:pPr>
        <w:pStyle w:val="Normal"/>
        <w:rPr>
          <w:rFonts w:ascii="Arial Narrow" w:hAnsi="Arial Narrow" w:cs="Arial Narrow"/>
          <w:sz w:val="24"/>
        </w:rPr>
      </w:pPr>
      <w:r>
        <w:rPr>
          <w:rFonts w:cs="Arial Narrow" w:ascii="Arial Narrow" w:hAnsi="Arial Narrow"/>
          <w:sz w:val="24"/>
        </w:rPr>
      </w:r>
    </w:p>
    <w:p>
      <w:pPr>
        <w:pStyle w:val="Heading2"/>
        <w:ind w:hanging="0" w:start="0"/>
        <w:rPr>
          <w:rFonts w:ascii="Arial Narrow" w:hAnsi="Arial Narrow" w:cs="Arial Narrow"/>
          <w:b/>
          <w:sz w:val="24"/>
        </w:rPr>
      </w:pPr>
      <w:r>
        <w:rPr>
          <w:rFonts w:cs="Arial Narrow" w:ascii="Arial Narrow" w:hAnsi="Arial Narrow"/>
          <w:b/>
          <w:sz w:val="24"/>
        </w:rPr>
        <w:t>Forecasted Import Levels</w:t>
      </w:r>
    </w:p>
    <w:p>
      <w:pPr>
        <w:pStyle w:val="Normal"/>
        <w:spacing w:before="120" w:after="0"/>
        <w:rPr>
          <w:rFonts w:ascii="Arial Narrow" w:hAnsi="Arial Narrow" w:cs="Arial Narrow"/>
          <w:sz w:val="24"/>
        </w:rPr>
      </w:pPr>
      <w:r>
        <w:rPr>
          <w:rFonts w:cs="Arial Narrow" w:ascii="Arial Narrow" w:hAnsi="Arial Narrow"/>
          <w:sz w:val="24"/>
        </w:rPr>
        <w:t>The CAISO observed a significant reduction in the amount of energy and/or capacity available from outside the CAISO control area during peak summer 2000 load conditions.  The CAISO relies heavily on net import levels to meet peak demand levels.  As load continues to grow in other regions throughout the west, the amount of capacity and energy available for importing into the CAISO is declining dramatically.  Generation and transmission additions in other regions of the west are not keeping up with load growth in those areas resulting in decreases in the amount of energy they can export to the CAISO.  The actually generating capacity available in other regions are also very dynamic and dependent on the factors listed above.</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At the time the CAISO hit its summer 2000 peak load on August 16, 2000, we were only able to import 4600 MWs from outside the control area.  During the 1998 and 1999 peak load days, we were importing 7,180 MWs and 8,378 MWs, respectively.  The actual and forecasted net import levels do not include resources dynamically scheduled into the CAISO control area.  The CAISO does not have adequate information to accurately forecast summer 2001 net import levels.  We do not receive adequate data to determine the level of net capacity commitments from neighboring systems.</w:t>
      </w:r>
    </w:p>
    <w:p>
      <w:pPr>
        <w:pStyle w:val="Normal"/>
        <w:rPr>
          <w:rFonts w:ascii="Arial Narrow" w:hAnsi="Arial Narrow" w:cs="Arial Narrow"/>
          <w:sz w:val="24"/>
        </w:rPr>
      </w:pPr>
      <w:r>
        <w:rPr>
          <w:rFonts w:cs="Arial Narrow" w:ascii="Arial Narrow" w:hAnsi="Arial Narrow"/>
          <w:sz w:val="24"/>
        </w:rPr>
      </w:r>
    </w:p>
    <w:p>
      <w:pPr>
        <w:pStyle w:val="Heading2"/>
        <w:ind w:hanging="0" w:start="0"/>
        <w:rPr>
          <w:rFonts w:ascii="Arial Narrow" w:hAnsi="Arial Narrow" w:cs="Arial Narrow"/>
          <w:b/>
          <w:sz w:val="24"/>
        </w:rPr>
      </w:pPr>
      <w:r>
        <w:rPr>
          <w:rFonts w:cs="Arial Narrow" w:ascii="Arial Narrow" w:hAnsi="Arial Narrow"/>
          <w:b/>
          <w:sz w:val="24"/>
        </w:rPr>
        <w:t xml:space="preserve">Resource Deficiency </w:t>
      </w:r>
    </w:p>
    <w:p>
      <w:pPr>
        <w:pStyle w:val="Normal"/>
        <w:spacing w:before="120" w:after="0"/>
        <w:rPr>
          <w:rFonts w:ascii="Arial Narrow" w:hAnsi="Arial Narrow" w:cs="Arial Narrow"/>
          <w:sz w:val="24"/>
        </w:rPr>
      </w:pPr>
      <w:r>
        <w:rPr>
          <w:rFonts w:cs="Arial Narrow" w:ascii="Arial Narrow" w:hAnsi="Arial Narrow"/>
          <w:sz w:val="24"/>
        </w:rPr>
        <w:t>The estimated resource deficiency assumes maintaining minimum operating reserve requirements and does not include demand reductions from load curtailment programs through the PTO interruptible load programs and the CAISO’s  DRP Program. The total demand relief for the summer 2000 season was estimated to be 1710 MWs. If normal weather conditions prevail and the expected amount of import  capacity (4,500 MWs) will be available, the resource deficiency is estimated to be 2,960 MWs. This deficiency may be mitigated through load management or curtailment programs. As more information becomes available, the ISO will update the resource deficiency conditions.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The California Energy Commission has recently released a Report on their Load Forecast for Summer 2001 which we have attached.  Their numbers differ significantly from ours.  We will analyze their report closely and be prepared to speak to this upcoming Board about the variances between the Energy Commission's and the CA-ISO's numbers.</w:t>
      </w:r>
    </w:p>
    <w:p>
      <w:pPr>
        <w:pStyle w:val="Heading7"/>
        <w:spacing w:before="0" w:after="120"/>
        <w:ind w:hanging="0" w:start="0"/>
        <w:rPr>
          <w:rFonts w:ascii="Arial Narrow" w:hAnsi="Arial Narrow" w:cs="Arial Narrow"/>
          <w:sz w:val="24"/>
        </w:rPr>
      </w:pPr>
      <w:r>
        <w:rPr>
          <w:rFonts w:cs="Arial Narrow"/>
          <w:sz w:val="24"/>
        </w:rPr>
      </w:r>
    </w:p>
    <w:sectPr>
      <w:footerReference w:type="default" r:id="rId10"/>
      <w:footerReference w:type="first" r:id="rId11"/>
      <w:type w:val="nextPage"/>
      <w:pgSz w:w="12240" w:h="15840"/>
      <w:pgMar w:left="1080" w:right="108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sz w:val="20"/>
      </w:rPr>
    </w:pPr>
    <w:r>
      <w:rPr>
        <w:sz w:val="20"/>
      </w:rPr>
      <w:t>151 Blue Ravine Road          Folsom, California  95630          (916) 351-4400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outlineLvl w:val="5"/>
    </w:pPr>
    <w:rPr>
      <w:rFonts w:ascii="Arial Narrow" w:hAnsi="Arial Narrow" w:cs="Arial Narrow"/>
      <w:b/>
      <w:i/>
      <w:sz w:val="24"/>
    </w:rPr>
  </w:style>
  <w:style w:type="paragraph" w:styleId="Heading7">
    <w:name w:val="heading 7"/>
    <w:basedOn w:val="Normal"/>
    <w:next w:val="Normal"/>
    <w:qFormat/>
    <w:pPr>
      <w:keepNext w:val="true"/>
      <w:numPr>
        <w:ilvl w:val="6"/>
        <w:numId w:val="1"/>
      </w:numPr>
      <w:spacing w:before="0" w:after="120"/>
      <w:outlineLvl w:val="6"/>
    </w:pPr>
    <w:rPr>
      <w:rFonts w:ascii="Arial Narrow" w:hAnsi="Arial Narrow" w:cs="Arial Narrow"/>
      <w:b/>
      <w:sz w:val="24"/>
    </w:rPr>
  </w:style>
  <w:style w:type="paragraph" w:styleId="Heading8">
    <w:name w:val="heading 8"/>
    <w:basedOn w:val="Normal"/>
    <w:next w:val="Normal"/>
    <w:qFormat/>
    <w:pPr>
      <w:keepNext w:val="true"/>
      <w:numPr>
        <w:ilvl w:val="7"/>
        <w:numId w:val="1"/>
      </w:numPr>
      <w:spacing w:before="0" w:after="120"/>
      <w:outlineLvl w:val="7"/>
    </w:pPr>
    <w:rPr>
      <w:rFonts w:ascii="Arial Narrow" w:hAnsi="Arial Narrow" w:cs="Arial Narrow"/>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style>
  <w:style w:type="paragraph" w:styleId="BodyText2">
    <w:name w:val="Body Text 2"/>
    <w:basedOn w:val="Normal"/>
    <w:qFormat/>
    <w:pPr>
      <w:spacing w:before="0" w:after="120"/>
    </w:pPr>
    <w:rPr>
      <w:rFonts w:ascii="Arial Narrow" w:hAnsi="Arial Narrow" w:cs="Arial Narrow"/>
      <w:sz w:val="24"/>
    </w:rPr>
  </w:style>
  <w:style w:type="paragraph" w:styleId="FootnoteText">
    <w:name w:val="footnote text"/>
    <w:basedOn w:val="Normal"/>
    <w:pPr/>
    <w:rPr/>
  </w:style>
  <w:style w:type="paragraph" w:styleId="BodyText3">
    <w:name w:val="Body Text 3"/>
    <w:basedOn w:val="Normal"/>
    <w:qFormat/>
    <w:pPr/>
    <w:rPr>
      <w:b/>
    </w:rPr>
  </w:style>
  <w:style w:type="paragraph" w:styleId="BodyTextIndent2">
    <w:name w:val="Body Text Indent 2"/>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package" Target="embeddings/oleObject1.xlsx"/><Relationship Id="rId7" Type="http://schemas.openxmlformats.org/officeDocument/2006/relationships/image" Target="media/image3.wmf"/><Relationship Id="rId8" Type="http://schemas.openxmlformats.org/officeDocument/2006/relationships/package" Target="embeddings/oleObject2.xlsx"/><Relationship Id="rId9" Type="http://schemas.openxmlformats.org/officeDocument/2006/relationships/image" Target="media/image4.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Board Memo Nov15.dot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2000-11-28T22:28:00Z</dcterms:created>
  <dc:creator>PSircar</dc:creator>
  <dc:description/>
  <dc:language>en-CA</dc:language>
  <cp:lastModifiedBy>Carol Figueroa</cp:lastModifiedBy>
  <cp:lastPrinted>2000-11-21T11:25:00Z</cp:lastPrinted>
  <dcterms:modified xsi:type="dcterms:W3CDTF">2000-11-28T22:28:00Z</dcterms:modified>
  <cp:revision>2</cp:revision>
  <dc:subject/>
  <dc:title>Memo</dc:title>
</cp:coreProperties>
</file>