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Loretta Lynch, President</w:t>
      </w:r>
    </w:p>
    <w:p>
      <w:pPr>
        <w:pStyle w:val="Normal"/>
        <w:rPr>
          <w:sz w:val="24"/>
        </w:rPr>
      </w:pPr>
      <w:r>
        <w:rPr>
          <w:sz w:val="24"/>
        </w:rPr>
        <w:t>California Public Utilities Commission</w:t>
      </w:r>
    </w:p>
    <w:p>
      <w:pPr>
        <w:pStyle w:val="Normal"/>
        <w:rPr>
          <w:sz w:val="24"/>
        </w:rPr>
      </w:pPr>
      <w:r>
        <w:rPr>
          <w:sz w:val="24"/>
        </w:rPr>
        <w:t>505 Van Ness Avenue</w:t>
      </w:r>
    </w:p>
    <w:p>
      <w:pPr>
        <w:pStyle w:val="Normal"/>
        <w:rPr>
          <w:sz w:val="24"/>
        </w:rPr>
      </w:pPr>
      <w:r>
        <w:rPr>
          <w:sz w:val="24"/>
        </w:rPr>
        <w:t>San Francisco, California 94102</w:t>
      </w:r>
    </w:p>
    <w:p>
      <w:pPr>
        <w:pStyle w:val="Normal"/>
        <w:rPr>
          <w:sz w:val="24"/>
        </w:rPr>
      </w:pPr>
      <w:r>
        <w:rPr>
          <w:sz w:val="24"/>
        </w:rPr>
      </w:r>
    </w:p>
    <w:p>
      <w:pPr>
        <w:pStyle w:val="Normal"/>
        <w:rPr>
          <w:sz w:val="24"/>
        </w:rPr>
      </w:pPr>
      <w:r>
        <w:rPr>
          <w:sz w:val="24"/>
        </w:rPr>
        <w:t>Dear President Lynch:</w:t>
      </w:r>
    </w:p>
    <w:p>
      <w:pPr>
        <w:pStyle w:val="Normal"/>
        <w:rPr>
          <w:sz w:val="24"/>
        </w:rPr>
      </w:pPr>
      <w:r>
        <w:rPr>
          <w:sz w:val="24"/>
        </w:rPr>
      </w:r>
    </w:p>
    <w:p>
      <w:pPr>
        <w:pStyle w:val="Normal"/>
        <w:ind w:firstLine="720" w:end="0"/>
        <w:rPr>
          <w:sz w:val="24"/>
        </w:rPr>
      </w:pPr>
      <w:r>
        <w:rPr>
          <w:sz w:val="24"/>
        </w:rPr>
        <w:t>We appreciate the opportunity to discuss the challenges facing California's restructured energy markets and the additional steps that California needs to take to enhance choice and competition for all Californians.</w:t>
      </w:r>
    </w:p>
    <w:p>
      <w:pPr>
        <w:pStyle w:val="Normal"/>
        <w:rPr>
          <w:sz w:val="24"/>
        </w:rPr>
      </w:pPr>
      <w:r>
        <w:rPr>
          <w:sz w:val="24"/>
        </w:rPr>
      </w:r>
    </w:p>
    <w:p>
      <w:pPr>
        <w:pStyle w:val="Normal"/>
        <w:ind w:firstLine="360" w:end="0"/>
        <w:rPr>
          <w:sz w:val="24"/>
        </w:rPr>
      </w:pPr>
      <w:r>
        <w:rPr>
          <w:sz w:val="24"/>
        </w:rPr>
        <w:t>You requested that we provide you with our view of the information that the California PX and ISO ought to make available to the market, and when the PX and the ISO ought to make the information available.  We believe that California can significantly enhance competition in its electricity markets if the following information is made available:</w:t>
      </w:r>
    </w:p>
    <w:p>
      <w:pPr>
        <w:pStyle w:val="Normal"/>
        <w:rPr>
          <w:sz w:val="24"/>
        </w:rPr>
      </w:pPr>
      <w:r>
        <w:rPr>
          <w:sz w:val="24"/>
        </w:rPr>
      </w:r>
    </w:p>
    <w:p>
      <w:pPr>
        <w:pStyle w:val="Normal"/>
        <w:numPr>
          <w:ilvl w:val="0"/>
          <w:numId w:val="1"/>
        </w:numPr>
        <w:rPr>
          <w:color w:val="000000"/>
          <w:sz w:val="24"/>
        </w:rPr>
      </w:pPr>
      <w:r>
        <w:rPr>
          <w:sz w:val="24"/>
        </w:rPr>
        <w:t>All bid information in both Day Ahead and Hour Ahead Markets, including generation, transmission, load and ancillary services.  The information for these markets should include generation adjustment bids, load adjustment bids, import adjustment bids, export adjustment bids, initial preferred schedules, final schedules and BEEP stack.</w:t>
      </w:r>
    </w:p>
    <w:p>
      <w:pPr>
        <w:pStyle w:val="Normal"/>
        <w:rPr>
          <w:color w:val="000000"/>
          <w:sz w:val="24"/>
        </w:rPr>
      </w:pPr>
      <w:r>
        <w:rPr>
          <w:color w:val="000000"/>
          <w:sz w:val="24"/>
        </w:rPr>
      </w:r>
    </w:p>
    <w:p>
      <w:pPr>
        <w:pStyle w:val="Normal"/>
        <w:numPr>
          <w:ilvl w:val="0"/>
          <w:numId w:val="1"/>
        </w:numPr>
        <w:rPr>
          <w:color w:val="000000"/>
          <w:sz w:val="24"/>
        </w:rPr>
      </w:pPr>
      <w:r>
        <w:rPr>
          <w:color w:val="000000"/>
          <w:sz w:val="24"/>
        </w:rPr>
        <w:t>All load and generation bids DA by SC</w:t>
      </w:r>
    </w:p>
    <w:p>
      <w:pPr>
        <w:pStyle w:val="Normal"/>
        <w:rPr>
          <w:color w:val="000000"/>
          <w:sz w:val="24"/>
        </w:rPr>
      </w:pPr>
      <w:r>
        <w:rPr>
          <w:color w:val="000000"/>
          <w:sz w:val="24"/>
        </w:rPr>
      </w:r>
    </w:p>
    <w:p>
      <w:pPr>
        <w:pStyle w:val="Normal"/>
        <w:numPr>
          <w:ilvl w:val="0"/>
          <w:numId w:val="1"/>
        </w:numPr>
        <w:rPr>
          <w:color w:val="000000"/>
          <w:sz w:val="24"/>
        </w:rPr>
      </w:pPr>
      <w:r>
        <w:rPr>
          <w:sz w:val="24"/>
        </w:rPr>
        <w:t>Bid information and BEEP dispatch instructions related to the ISO's real-time market.</w:t>
      </w:r>
    </w:p>
    <w:p>
      <w:pPr>
        <w:pStyle w:val="Normal"/>
        <w:rPr>
          <w:color w:val="000000"/>
          <w:sz w:val="24"/>
        </w:rPr>
      </w:pPr>
      <w:r>
        <w:rPr>
          <w:color w:val="000000"/>
          <w:sz w:val="24"/>
        </w:rPr>
      </w:r>
    </w:p>
    <w:p>
      <w:pPr>
        <w:pStyle w:val="Normal"/>
        <w:numPr>
          <w:ilvl w:val="0"/>
          <w:numId w:val="1"/>
        </w:numPr>
        <w:rPr>
          <w:color w:val="000000"/>
          <w:sz w:val="24"/>
        </w:rPr>
      </w:pPr>
      <w:r>
        <w:rPr>
          <w:color w:val="000000"/>
          <w:sz w:val="24"/>
        </w:rPr>
        <w:t>"After the fact" actual meter information depicting actual unit-by-unit production and consumption within each zone.</w:t>
      </w:r>
    </w:p>
    <w:p>
      <w:pPr>
        <w:pStyle w:val="Normal"/>
        <w:rPr>
          <w:color w:val="000000"/>
          <w:sz w:val="24"/>
        </w:rPr>
      </w:pPr>
      <w:r>
        <w:rPr>
          <w:color w:val="000000"/>
          <w:sz w:val="24"/>
        </w:rPr>
      </w:r>
    </w:p>
    <w:p>
      <w:pPr>
        <w:pStyle w:val="Normal"/>
        <w:numPr>
          <w:ilvl w:val="0"/>
          <w:numId w:val="1"/>
        </w:numPr>
        <w:rPr>
          <w:color w:val="000000"/>
          <w:sz w:val="24"/>
        </w:rPr>
      </w:pPr>
      <w:r>
        <w:rPr>
          <w:color w:val="000000"/>
          <w:sz w:val="24"/>
        </w:rPr>
        <w:t>Unit outage information showing planned and forced outages.</w:t>
      </w:r>
    </w:p>
    <w:p>
      <w:pPr>
        <w:pStyle w:val="Normal"/>
        <w:rPr>
          <w:color w:val="000000"/>
          <w:sz w:val="24"/>
        </w:rPr>
      </w:pPr>
      <w:r>
        <w:rPr>
          <w:color w:val="000000"/>
          <w:sz w:val="24"/>
        </w:rPr>
      </w:r>
    </w:p>
    <w:p>
      <w:pPr>
        <w:pStyle w:val="Normal"/>
        <w:numPr>
          <w:ilvl w:val="0"/>
          <w:numId w:val="1"/>
        </w:numPr>
        <w:rPr>
          <w:color w:val="000000"/>
          <w:sz w:val="24"/>
        </w:rPr>
      </w:pPr>
      <w:r>
        <w:rPr>
          <w:color w:val="000000"/>
          <w:sz w:val="24"/>
        </w:rPr>
        <w:t>Information describing calls by the ISO on plants with Reliability Must Run contracts.</w:t>
      </w:r>
      <w:r>
        <w:br w:type="page"/>
      </w:r>
    </w:p>
    <w:p>
      <w:pPr>
        <w:pStyle w:val="Normal"/>
        <w:rPr>
          <w:color w:val="000000"/>
          <w:sz w:val="24"/>
        </w:rPr>
      </w:pPr>
      <w:r>
        <w:rPr>
          <w:color w:val="000000"/>
          <w:sz w:val="24"/>
        </w:rPr>
      </w:r>
    </w:p>
    <w:p>
      <w:pPr>
        <w:pStyle w:val="Normal"/>
        <w:numPr>
          <w:ilvl w:val="0"/>
          <w:numId w:val="1"/>
        </w:numPr>
        <w:rPr>
          <w:color w:val="000000"/>
          <w:sz w:val="24"/>
        </w:rPr>
      </w:pPr>
      <w:r>
        <w:rPr>
          <w:color w:val="000000"/>
          <w:sz w:val="24"/>
        </w:rPr>
        <w:t>Data differentiated by existing and new, firm use transmission contracts. The information should include adjustment bids, day ahead schedules, hour ahead schedules, real time adjustments, actual flows, and transmission availability by category of ownership.  This information should be provided for all transmission lines.</w:t>
      </w:r>
    </w:p>
    <w:p>
      <w:pPr>
        <w:pStyle w:val="Normal"/>
        <w:rPr>
          <w:color w:val="000000"/>
          <w:sz w:val="24"/>
        </w:rPr>
      </w:pPr>
      <w:r>
        <w:rPr>
          <w:color w:val="000000"/>
          <w:sz w:val="24"/>
        </w:rPr>
      </w:r>
    </w:p>
    <w:p>
      <w:pPr>
        <w:pStyle w:val="Normal"/>
        <w:numPr>
          <w:ilvl w:val="0"/>
          <w:numId w:val="1"/>
        </w:numPr>
        <w:rPr>
          <w:color w:val="000000"/>
          <w:sz w:val="24"/>
        </w:rPr>
      </w:pPr>
      <w:r>
        <w:rPr>
          <w:color w:val="000000"/>
          <w:sz w:val="24"/>
        </w:rPr>
        <w:t>Identify intra-zonal congestion for each transmission path.</w:t>
      </w:r>
    </w:p>
    <w:p>
      <w:pPr>
        <w:pStyle w:val="Normal"/>
        <w:spacing w:lineRule="atLeast" w:line="240"/>
        <w:rPr>
          <w:color w:val="000000"/>
          <w:sz w:val="24"/>
        </w:rPr>
      </w:pPr>
      <w:r>
        <w:rPr>
          <w:color w:val="000000"/>
          <w:sz w:val="24"/>
        </w:rPr>
      </w:r>
    </w:p>
    <w:p>
      <w:pPr>
        <w:pStyle w:val="Normal"/>
        <w:ind w:firstLine="360" w:end="0"/>
        <w:rPr>
          <w:color w:val="000000"/>
          <w:sz w:val="24"/>
        </w:rPr>
      </w:pPr>
      <w:r>
        <w:rPr>
          <w:color w:val="000000"/>
          <w:sz w:val="24"/>
        </w:rPr>
        <w:t>In general, we believe that the information listed above ought to be provided as close to "real time" as possible.  At a minimum, we believe the information ought to be provided to the market within twenty-four hours.</w:t>
      </w:r>
    </w:p>
    <w:p>
      <w:pPr>
        <w:pStyle w:val="Normal"/>
        <w:rPr>
          <w:color w:val="000000"/>
          <w:sz w:val="24"/>
        </w:rPr>
      </w:pPr>
      <w:r>
        <w:rPr>
          <w:color w:val="000000"/>
          <w:sz w:val="24"/>
        </w:rPr>
      </w:r>
    </w:p>
    <w:p>
      <w:pPr>
        <w:pStyle w:val="Normal"/>
        <w:ind w:firstLine="360" w:end="0"/>
        <w:rPr>
          <w:color w:val="000000"/>
          <w:sz w:val="24"/>
        </w:rPr>
      </w:pPr>
      <w:r>
        <w:rPr>
          <w:color w:val="000000"/>
          <w:sz w:val="24"/>
        </w:rPr>
        <w:t>I hope this information is useful.  If you have any questions, please do not hesitate to contact me at 415.782.7822.</w:t>
      </w:r>
    </w:p>
    <w:p>
      <w:pPr>
        <w:pStyle w:val="Normal"/>
        <w:rPr>
          <w:color w:val="000000"/>
          <w:sz w:val="24"/>
        </w:rPr>
      </w:pPr>
      <w:r>
        <w:rPr>
          <w:color w:val="000000"/>
          <w:sz w:val="24"/>
        </w:rPr>
      </w:r>
    </w:p>
    <w:p>
      <w:pPr>
        <w:pStyle w:val="Normal"/>
        <w:rPr>
          <w:color w:val="000000"/>
          <w:sz w:val="24"/>
        </w:rPr>
      </w:pPr>
      <w:r>
        <w:rPr>
          <w:color w:val="000000"/>
          <w:sz w:val="24"/>
        </w:rPr>
        <w:t>Sincerely,</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Jeffrey Dasovich</w:t>
      </w:r>
    </w:p>
    <w:p>
      <w:pPr>
        <w:pStyle w:val="Normal"/>
        <w:rPr>
          <w:color w:val="000000"/>
          <w:sz w:val="24"/>
        </w:rPr>
      </w:pPr>
      <w:r>
        <w:rPr>
          <w:color w:val="000000"/>
          <w:sz w:val="24"/>
        </w:rPr>
        <w:t>Enron Corp</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sz w:val="24"/>
        </w:rPr>
      </w:pPr>
      <w:r>
        <w:rPr>
          <w:color w:val="000000"/>
          <w:sz w:val="24"/>
        </w:rPr>
        <w:t>cc:   Kim Malcom</w:t>
      </w:r>
    </w:p>
    <w:p>
      <w:pPr>
        <w:pStyle w:val="Header"/>
        <w:tabs>
          <w:tab w:val="clear" w:pos="4320"/>
          <w:tab w:val="clear" w:pos="8640"/>
        </w:tabs>
        <w:rPr>
          <w:sz w:val="24"/>
        </w:rPr>
      </w:pPr>
      <w:r>
        <w:rPr>
          <w:sz w:val="24"/>
        </w:rPr>
      </w:r>
    </w:p>
    <w:sectPr>
      <w:headerReference w:type="even" r:id="rId2"/>
      <w:headerReference w:type="default" r:id="rId3"/>
      <w:footerReference w:type="even" r:id="rId4"/>
      <w:footerReference w:type="defaul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b/>
        <w:color w:val="0000FF"/>
      </w:rPr>
    </w:pPr>
    <w:r>
      <w:rPr>
        <w:rFonts w:cs="Arial" w:ascii="Arial" w:hAnsi="Arial"/>
        <w:b/>
        <w:color w:val="0000FF"/>
      </w:rPr>
      <w:tab/>
      <w:t xml:space="preserve">Endless possibilities. </w:t>
    </w:r>
    <w:r>
      <w:rPr>
        <w:rFonts w:eastAsia="Symbol" w:cs="Symbol" w:ascii="Symbol" w:hAnsi="Symbol"/>
        <w:b/>
        <w:color w:val="0000FF"/>
      </w:rPr>
      <w:sym w:font="Symbol" w:char="f0e4"/>
    </w:r>
  </w:p>
  <w:p>
    <w:pPr>
      <w:pStyle w:val="Footer"/>
      <w:rPr>
        <w:rFonts w:ascii="Arial" w:hAnsi="Arial" w:cs="Arial"/>
        <w:b/>
        <w:color w:val="0000FF"/>
      </w:rPr>
    </w:pPr>
    <w:r>
      <w:rPr>
        <w:rFonts w:cs="Arial" w:ascii="Arial" w:hAnsi="Arial"/>
        <w:b/>
        <w:color w:val="0000FF"/>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Fonts w:cs="Arial" w:ascii="Arial" w:hAnsi="Arial"/>
        <w:b/>
        <w:color w:val="0000FF"/>
      </w:rPr>
      <w:t xml:space="preserve">Endless possibilities. </w:t>
    </w:r>
    <w:r>
      <w:rPr>
        <w:rFonts w:eastAsia="Symbol" w:cs="Symbol" w:ascii="Symbol" w:hAnsi="Symbol"/>
        <w:b/>
        <w:color w:val="0000FF"/>
      </w:rPr>
      <w:sym w:font="Symbol" w:char="f0e4"/>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6840" w:leader="none"/>
      </w:tabs>
      <w:rPr>
        <w:rFonts w:ascii="Arial" w:hAnsi="Arial" w:cs="Arial"/>
        <w:b/>
      </w:rPr>
    </w:pPr>
    <w:r>
      <w:rPr>
        <w:rFonts w:cs="Arial" w:ascii="Arial" w:hAnsi="Arial"/>
        <w:b/>
      </w:rPr>
      <w:tab/>
      <w:t>Enron Corp.</w:t>
    </w:r>
    <w:r>
      <mc:AlternateContent>
        <mc:Choice Requires="wps">
          <w:drawing>
            <wp:anchor behindDoc="1" distT="0" distB="0" distL="114935" distR="114935" simplePos="0" locked="0" layoutInCell="1" allowOverlap="1" relativeHeight="2">
              <wp:simplePos x="0" y="0"/>
              <wp:positionH relativeFrom="column">
                <wp:posOffset>-97155</wp:posOffset>
              </wp:positionH>
              <wp:positionV relativeFrom="paragraph">
                <wp:posOffset>635</wp:posOffset>
              </wp:positionV>
              <wp:extent cx="1130300" cy="1049655"/>
              <wp:effectExtent l="0" t="0" r="0" b="0"/>
              <wp:wrapNone/>
              <wp:docPr id="1" name="Frame1"/>
              <a:graphic xmlns:a="http://schemas.openxmlformats.org/drawingml/2006/main">
                <a:graphicData uri="http://schemas.microsoft.com/office/word/2010/wordprocessingShape">
                  <wps:wsp>
                    <wps:cNvSpPr txBox="1"/>
                    <wps:spPr>
                      <a:xfrm>
                        <a:off x="0" y="0"/>
                        <a:ext cx="1130300" cy="1049655"/>
                      </a:xfrm>
                      <a:prstGeom prst="rect"/>
                      <a:solidFill>
                        <a:srgbClr val="FFFFFF"/>
                      </a:solidFill>
                    </wps:spPr>
                    <wps:txbx>
                      <w:txbxContent>
                        <w:p>
                          <w:pPr>
                            <w:pStyle w:val="Normal"/>
                            <w:rPr/>
                          </w:pPr>
                          <w:bookmarkStart w:id="0" w:name="_1026629884"/>
                          <w:bookmarkStart w:id="1" w:name="_1026629510"/>
                          <w:bookmarkEnd w:id="0"/>
                          <w:bookmarkEnd w:id="1"/>
                          <w:r>
                            <w:rPr/>
                            <w:object w:dxaOrig="1336" w:dyaOrig="135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4.6pt;height:75.45pt" filled="f" o:ole="">
                                <v:imagedata r:id="rId2" o:title=""/>
                              </v:shape>
                              <o:OLEObject Type="Embed" ProgID="" ShapeID="ole_rId1" DrawAspect="Content" ObjectID="_1230378969" r:id="rId1"/>
                            </w:object>
                          </w:r>
                        </w:p>
                      </w:txbxContent>
                    </wps:txbx>
                    <wps:bodyPr anchor="t" lIns="92075" tIns="46355" rIns="92075" bIns="46355">
                      <a:noAutofit/>
                    </wps:bodyPr>
                  </wps:wsp>
                </a:graphicData>
              </a:graphic>
            </wp:anchor>
          </w:drawing>
        </mc:Choice>
        <mc:Fallback>
          <w:pict>
            <v:rect fillcolor="#FFFFFF" style="position:absolute;rotation:-0;width:89pt;height:82.65pt;mso-wrap-distance-left:9.05pt;mso-wrap-distance-right:9.05pt;mso-wrap-distance-top:0pt;mso-wrap-distance-bottom:0pt;margin-top:0pt;mso-position-vertical-relative:text;margin-left:-7.65pt;mso-position-horizontal-relative:text">
              <v:textbox inset="0.100694444444444in,0.0506944444444444in,0.100694444444444in,0.0506944444444444in">
                <w:txbxContent>
                  <w:p>
                    <w:pPr>
                      <w:pStyle w:val="Normal"/>
                      <w:rPr/>
                    </w:pPr>
                    <w:bookmarkStart w:id="2" w:name="_1026629884"/>
                    <w:bookmarkStart w:id="3" w:name="_1026629510"/>
                    <w:bookmarkEnd w:id="2"/>
                    <w:bookmarkEnd w:id="3"/>
                    <w:r>
                      <w:rPr/>
                      <w:object w:dxaOrig="1336" w:dyaOrig="135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74.6pt;height:75.45pt" filled="f" o:ole="">
                          <v:imagedata r:id="rId4" o:title=""/>
                        </v:shape>
                        <o:OLEObject Type="Embed" ProgID="" ShapeID="ole_rId3" DrawAspect="Content" ObjectID="_471676463" r:id="rId3"/>
                      </w:object>
                    </w:r>
                  </w:p>
                </w:txbxContent>
              </v:textbox>
              <w10:wrap type="none"/>
            </v:rect>
          </w:pict>
        </mc:Fallback>
      </mc:AlternateContent>
    </w:r>
  </w:p>
  <w:p>
    <w:pPr>
      <w:pStyle w:val="Header"/>
      <w:tabs>
        <w:tab w:val="clear" w:pos="4320"/>
        <w:tab w:val="clear" w:pos="8640"/>
        <w:tab w:val="left" w:pos="6840" w:leader="none"/>
      </w:tabs>
      <w:rPr/>
    </w:pPr>
    <w:r>
      <w:rPr>
        <w:rFonts w:cs="Arial" w:ascii="Arial" w:hAnsi="Arial"/>
        <w:b/>
      </w:rPr>
      <w:tab/>
    </w:r>
    <w:r>
      <w:rPr>
        <w:sz w:val="18"/>
      </w:rPr>
      <w:t>101 California Street, Suite 1950</w:t>
    </w:r>
  </w:p>
  <w:p>
    <w:pPr>
      <w:pStyle w:val="Header"/>
      <w:tabs>
        <w:tab w:val="clear" w:pos="4320"/>
        <w:tab w:val="clear" w:pos="8640"/>
        <w:tab w:val="left" w:pos="6840" w:leader="none"/>
      </w:tabs>
      <w:rPr>
        <w:sz w:val="18"/>
      </w:rPr>
    </w:pPr>
    <w:r>
      <w:rPr>
        <w:sz w:val="18"/>
      </w:rPr>
      <w:tab/>
      <w:t>San Francisco, CA  94111</w:t>
    </w:r>
  </w:p>
  <w:p>
    <w:pPr>
      <w:pStyle w:val="Header"/>
      <w:tabs>
        <w:tab w:val="clear" w:pos="4320"/>
        <w:tab w:val="clear" w:pos="8640"/>
        <w:tab w:val="left" w:pos="6840" w:leader="none"/>
      </w:tabs>
      <w:rPr>
        <w:sz w:val="18"/>
      </w:rPr>
    </w:pPr>
    <w:r>
      <w:rPr>
        <w:sz w:val="18"/>
      </w:rPr>
      <w:tab/>
      <w:t>415-782-7800</w:t>
    </w:r>
  </w:p>
  <w:p>
    <w:pPr>
      <w:pStyle w:val="Header"/>
      <w:tabs>
        <w:tab w:val="clear" w:pos="4320"/>
        <w:tab w:val="clear" w:pos="8640"/>
        <w:tab w:val="left" w:pos="6840" w:leader="none"/>
      </w:tabs>
      <w:rPr>
        <w:sz w:val="18"/>
      </w:rPr>
    </w:pPr>
    <w:r>
      <w:rPr>
        <w:sz w:val="18"/>
      </w:rPr>
      <w:tab/>
      <w:t>Fax 415-782-7851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2000-08-01T15:07:00Z</dcterms:created>
  <dc:creator>czavala</dc:creator>
  <dc:description/>
  <dc:language>en-CA</dc:language>
  <cp:lastModifiedBy>jdasovic</cp:lastModifiedBy>
  <cp:lastPrinted>2000-08-01T10:25:00Z</cp:lastPrinted>
  <dcterms:modified xsi:type="dcterms:W3CDTF">2000-08-01T15:07:00Z</dcterms:modified>
  <cp:revision>2</cp:revision>
  <dc:subject/>
  <dc:title>August 1, 2000</dc:title>
</cp:coreProperties>
</file>