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2001 ISO Meter Audit</w:t>
      </w:r>
    </w:p>
    <w:p>
      <w:pPr>
        <w:pStyle w:val="Heading"/>
        <w:rPr/>
      </w:pPr>
      <w:r>
        <w:rPr/>
        <w:t>Comments to Management</w:t>
      </w:r>
    </w:p>
    <w:p>
      <w:pPr>
        <w:pStyle w:val="Heading"/>
        <w:rPr/>
      </w:pPr>
      <w:r>
        <w:rPr/>
      </w:r>
    </w:p>
    <w:p>
      <w:pPr>
        <w:pStyle w:val="Heading"/>
        <w:jc w:val="start"/>
        <w:rPr>
          <w:sz w:val="20"/>
        </w:rPr>
      </w:pPr>
      <w:r>
        <w:rPr>
          <w:sz w:val="20"/>
        </w:rPr>
        <w:t>Audit Methodology</w:t>
      </w:r>
    </w:p>
    <w:p>
      <w:pPr>
        <w:pStyle w:val="Heading"/>
        <w:jc w:val="both"/>
        <w:rPr>
          <w:b w:val="false"/>
          <w:bCs w:val="false"/>
          <w:sz w:val="20"/>
        </w:rPr>
      </w:pPr>
      <w:r>
        <w:rPr>
          <w:b w:val="false"/>
          <w:bCs w:val="false"/>
          <w:sz w:val="20"/>
        </w:rPr>
        <w:t>The audit methodology, as described in the ISO Meter Audit report, reflects a significant increase in sample size in comparison with the prior audit.  The sample from the prior audit included 70 meters from one day (44 TOU and 26 IDR), whereas this audit included 364 meters from 5 days (77 TOU and 287 IDR).  In other respects the 2001 audit methodology was fundamentally the same as the prior audit performed by Arthur Andersen, however the 2001 audit provides two additional benefits:</w:t>
      </w:r>
    </w:p>
    <w:p>
      <w:pPr>
        <w:pStyle w:val="Heading"/>
        <w:numPr>
          <w:ilvl w:val="0"/>
          <w:numId w:val="1"/>
        </w:numPr>
        <w:jc w:val="both"/>
        <w:rPr>
          <w:b w:val="false"/>
          <w:bCs w:val="false"/>
          <w:sz w:val="20"/>
        </w:rPr>
      </w:pPr>
      <w:r>
        <w:rPr>
          <w:b w:val="false"/>
          <w:bCs w:val="false"/>
          <w:sz w:val="20"/>
        </w:rPr>
        <w:t>Fewer Resources:  The 2001audit was completed in fewer total hours and at a lower unit cost than the prior audit.</w:t>
      </w:r>
    </w:p>
    <w:p>
      <w:pPr>
        <w:pStyle w:val="Heading"/>
        <w:numPr>
          <w:ilvl w:val="0"/>
          <w:numId w:val="1"/>
        </w:numPr>
        <w:jc w:val="both"/>
        <w:rPr>
          <w:b w:val="false"/>
          <w:bCs w:val="false"/>
          <w:sz w:val="20"/>
        </w:rPr>
      </w:pPr>
      <w:r>
        <w:rPr>
          <w:b w:val="false"/>
          <w:bCs w:val="false"/>
          <w:sz w:val="20"/>
        </w:rPr>
        <w:t xml:space="preserve">Future Benefit:  All process diagrams, models and working papers are the property of and readily accessible by Enron.  This can leveraged to increase the effectiveness and efficiency of future audits and as an internal information resource. </w:t>
      </w:r>
    </w:p>
    <w:p>
      <w:pPr>
        <w:pStyle w:val="Heading"/>
        <w:jc w:val="start"/>
        <w:rPr>
          <w:b w:val="false"/>
          <w:bCs w:val="false"/>
          <w:sz w:val="20"/>
        </w:rPr>
      </w:pPr>
      <w:r>
        <w:rPr>
          <w:b w:val="false"/>
          <w:bCs w:val="false"/>
          <w:sz w:val="20"/>
        </w:rPr>
      </w:r>
    </w:p>
    <w:p>
      <w:pPr>
        <w:pStyle w:val="Heading"/>
        <w:jc w:val="start"/>
        <w:rPr>
          <w:sz w:val="20"/>
        </w:rPr>
      </w:pPr>
      <w:r>
        <w:rPr>
          <w:sz w:val="20"/>
        </w:rPr>
        <w:t>Comments</w:t>
      </w:r>
    </w:p>
    <w:p>
      <w:pPr>
        <w:pStyle w:val="Heading"/>
        <w:jc w:val="both"/>
        <w:rPr>
          <w:b w:val="false"/>
          <w:bCs w:val="false"/>
          <w:sz w:val="20"/>
        </w:rPr>
      </w:pPr>
      <w:r>
        <w:rPr>
          <w:b w:val="false"/>
          <w:bCs w:val="false"/>
          <w:sz w:val="20"/>
        </w:rPr>
        <w:t>The following items were noted during the ISO Meter Audit.  These items do not directly impact the ISO Meter Audit but relate to the effectiveness and efficiency of these processes and future ISO Meter Audits.</w:t>
      </w:r>
    </w:p>
    <w:p>
      <w:pPr>
        <w:pStyle w:val="Heading"/>
        <w:jc w:val="both"/>
        <w:rPr>
          <w:b w:val="false"/>
          <w:bCs w:val="false"/>
          <w:sz w:val="20"/>
        </w:rPr>
      </w:pPr>
      <w:r>
        <w:rPr>
          <w:b w:val="false"/>
          <w:bCs w:val="false"/>
          <w:sz w:val="20"/>
        </w:rPr>
      </w:r>
    </w:p>
    <w:p>
      <w:pPr>
        <w:pStyle w:val="Heading"/>
        <w:numPr>
          <w:ilvl w:val="0"/>
          <w:numId w:val="2"/>
        </w:numPr>
        <w:tabs>
          <w:tab w:val="clear" w:pos="720"/>
          <w:tab w:val="left" w:pos="360" w:leader="none"/>
        </w:tabs>
        <w:ind w:hanging="360" w:start="360" w:end="0"/>
        <w:jc w:val="both"/>
        <w:rPr>
          <w:b w:val="false"/>
          <w:bCs w:val="false"/>
          <w:sz w:val="20"/>
        </w:rPr>
      </w:pPr>
      <w:r>
        <w:rPr>
          <w:b w:val="false"/>
          <w:bCs w:val="false"/>
          <w:sz w:val="20"/>
        </w:rPr>
        <w:t>The MDMA system is programmed to convert Load Profiles and Distribution Loss Factors to Pacific Standard Time.  If expansion to markets outside of this time zone is anticipated a proactive project to increase the functionality of MDMA in this regard would be prudent.</w:t>
      </w:r>
    </w:p>
    <w:p>
      <w:pPr>
        <w:pStyle w:val="Heading"/>
        <w:jc w:val="both"/>
        <w:rPr>
          <w:b w:val="false"/>
          <w:bCs w:val="false"/>
          <w:sz w:val="20"/>
        </w:rPr>
      </w:pPr>
      <w:r>
        <w:rPr>
          <w:b w:val="false"/>
          <w:bCs w:val="false"/>
          <w:sz w:val="20"/>
        </w:rPr>
      </w:r>
    </w:p>
    <w:p>
      <w:pPr>
        <w:pStyle w:val="Heading"/>
        <w:numPr>
          <w:ilvl w:val="0"/>
          <w:numId w:val="2"/>
        </w:numPr>
        <w:tabs>
          <w:tab w:val="clear" w:pos="720"/>
          <w:tab w:val="left" w:pos="360" w:leader="none"/>
        </w:tabs>
        <w:ind w:hanging="360" w:start="360" w:end="0"/>
        <w:jc w:val="both"/>
        <w:rPr>
          <w:b w:val="false"/>
          <w:bCs w:val="false"/>
          <w:sz w:val="20"/>
        </w:rPr>
      </w:pPr>
      <w:r>
        <w:rPr>
          <w:b w:val="false"/>
          <w:bCs w:val="false"/>
          <w:sz w:val="20"/>
        </w:rPr>
        <w:t>CSC has its own internal audit department.  Opportunities should be investigated to leverage work they may have performed concerning relevant processes or could perform on a real-time basis to increase the scope of the audit at minimal cost.</w:t>
      </w:r>
    </w:p>
    <w:p>
      <w:pPr>
        <w:pStyle w:val="Heading"/>
        <w:jc w:val="both"/>
        <w:rPr>
          <w:b w:val="false"/>
          <w:bCs w:val="false"/>
          <w:sz w:val="20"/>
        </w:rPr>
      </w:pPr>
      <w:r>
        <w:rPr>
          <w:b w:val="false"/>
          <w:bCs w:val="false"/>
          <w:sz w:val="20"/>
        </w:rPr>
      </w:r>
    </w:p>
    <w:p>
      <w:pPr>
        <w:pStyle w:val="Heading"/>
        <w:numPr>
          <w:ilvl w:val="0"/>
          <w:numId w:val="2"/>
        </w:numPr>
        <w:tabs>
          <w:tab w:val="clear" w:pos="720"/>
          <w:tab w:val="left" w:pos="360" w:leader="none"/>
        </w:tabs>
        <w:ind w:hanging="360" w:start="360" w:end="0"/>
        <w:jc w:val="both"/>
        <w:rPr>
          <w:b w:val="false"/>
          <w:bCs w:val="false"/>
          <w:sz w:val="20"/>
        </w:rPr>
      </w:pPr>
      <w:r>
        <w:rPr>
          <w:b w:val="false"/>
          <w:bCs w:val="false"/>
          <w:sz w:val="20"/>
        </w:rPr>
        <w:t>Based on information found in the California ISO report “Lessons Learned from the: SC Self-Audit April 1, 1998 – June 30, 1999” dated August 21, 2000, it is apparent that the work completed by some other Scheduling Coordinator Self Audits is more comprehensive than that performed in EES ISO Meter Audits.  For example, some audits reviewed the quality of instruction provided to staff, the quality of control manuals, the sufficiency of existing documentation, etc.  It would be prudent to increase the depth of the Enron audit, however the full agreement and cooperation of CSC would be required.</w:t>
      </w:r>
    </w:p>
    <w:p>
      <w:pPr>
        <w:pStyle w:val="Heading"/>
        <w:jc w:val="both"/>
        <w:rPr>
          <w:b w:val="false"/>
          <w:bCs w:val="false"/>
          <w:sz w:val="20"/>
        </w:rPr>
      </w:pPr>
      <w:r>
        <w:rPr>
          <w:b w:val="false"/>
          <w:bCs w:val="false"/>
          <w:sz w:val="20"/>
        </w:rPr>
      </w:r>
    </w:p>
    <w:p>
      <w:pPr>
        <w:pStyle w:val="Heading"/>
        <w:numPr>
          <w:ilvl w:val="0"/>
          <w:numId w:val="2"/>
        </w:numPr>
        <w:tabs>
          <w:tab w:val="clear" w:pos="720"/>
          <w:tab w:val="left" w:pos="360" w:leader="none"/>
        </w:tabs>
        <w:ind w:hanging="360" w:start="360" w:end="0"/>
        <w:jc w:val="both"/>
        <w:rPr>
          <w:b w:val="false"/>
          <w:bCs w:val="false"/>
          <w:sz w:val="20"/>
        </w:rPr>
      </w:pPr>
      <w:r>
        <w:rPr>
          <w:b w:val="false"/>
          <w:bCs w:val="false"/>
          <w:sz w:val="20"/>
        </w:rPr>
        <w:t xml:space="preserve">CSC has inadequate policies with respect to archiving data.  Generally, only validated source data is retained and not information that is the result of a process.  Although this may reduce storage costs for CSC, it results in two difficulties.  First, it precludes conducting some audit work since the audit trail from historical source data to historical reports is broken.  Second, it may increase costs to Enron.  For example, much of the time incurred by CSC in support of the meter audit was spent in re-creating information that could have been easily retrieved if it had been archived.  Enron will be being billed for some of the time CSC spent in re-creating past data.  This issue likely impacts other departments that request information from CSC.  </w:t>
      </w:r>
    </w:p>
    <w:p>
      <w:pPr>
        <w:pStyle w:val="Heading"/>
        <w:jc w:val="both"/>
        <w:rPr>
          <w:b w:val="false"/>
          <w:bCs w:val="false"/>
          <w:sz w:val="20"/>
        </w:rPr>
      </w:pPr>
      <w:r>
        <w:rPr>
          <w:b w:val="false"/>
          <w:bCs w:val="false"/>
          <w:sz w:val="20"/>
        </w:rPr>
      </w:r>
    </w:p>
    <w:p>
      <w:pPr>
        <w:pStyle w:val="Heading"/>
        <w:numPr>
          <w:ilvl w:val="0"/>
          <w:numId w:val="2"/>
        </w:numPr>
        <w:tabs>
          <w:tab w:val="clear" w:pos="720"/>
          <w:tab w:val="left" w:pos="360" w:leader="none"/>
        </w:tabs>
        <w:ind w:hanging="360" w:start="360" w:end="0"/>
        <w:jc w:val="both"/>
        <w:rPr>
          <w:b w:val="false"/>
          <w:bCs w:val="false"/>
          <w:sz w:val="20"/>
        </w:rPr>
      </w:pPr>
      <w:r>
        <w:rPr>
          <w:b w:val="false"/>
          <w:bCs w:val="false"/>
          <w:sz w:val="20"/>
        </w:rPr>
        <w:t xml:space="preserve">Although CSCs change management processes were not audited, it was observed that the some departments in CSC that have experienced change (eg. change in key personnel) had great difficulty in providing adequate information for the audit.    </w:t>
      </w:r>
    </w:p>
    <w:p>
      <w:pPr>
        <w:pStyle w:val="Heading"/>
        <w:jc w:val="both"/>
        <w:rPr>
          <w:b w:val="false"/>
          <w:bCs w:val="false"/>
          <w:sz w:val="20"/>
        </w:rPr>
      </w:pPr>
      <w:r>
        <w:rPr>
          <w:b w:val="false"/>
          <w:bCs w:val="false"/>
          <w:sz w:val="20"/>
        </w:rPr>
      </w:r>
    </w:p>
    <w:p>
      <w:pPr>
        <w:pStyle w:val="Heading"/>
        <w:jc w:val="both"/>
        <w:rPr>
          <w:b w:val="false"/>
          <w:bCs w:val="false"/>
          <w:sz w:val="20"/>
        </w:rPr>
      </w:pPr>
      <w:r>
        <w:rPr>
          <w:b w:val="false"/>
          <w:bCs w:val="false"/>
          <w:sz w:val="20"/>
        </w:rPr>
      </w:r>
    </w:p>
    <w:p>
      <w:pPr>
        <w:pStyle w:val="Heading"/>
        <w:jc w:val="both"/>
        <w:rPr>
          <w:b w:val="false"/>
          <w:bCs w:val="false"/>
          <w:sz w:val="20"/>
        </w:rPr>
      </w:pPr>
      <w:r>
        <w:rPr>
          <w:b w:val="false"/>
          <w:bCs w:val="false"/>
          <w:sz w:val="20"/>
        </w:rPr>
      </w:r>
    </w:p>
    <w:p>
      <w:pPr>
        <w:pStyle w:val="Heading"/>
        <w:jc w:val="both"/>
        <w:rPr>
          <w:b w:val="false"/>
          <w:bCs w:val="false"/>
          <w:sz w:val="20"/>
        </w:rPr>
      </w:pPr>
      <w:r>
        <w:rPr>
          <w:b w:val="false"/>
          <w:bCs w:val="false"/>
          <w:sz w:val="20"/>
        </w:rPr>
      </w:r>
    </w:p>
    <w:p>
      <w:pPr>
        <w:pStyle w:val="Heading"/>
        <w:jc w:val="both"/>
        <w:rPr>
          <w:b w:val="false"/>
          <w:bCs w:val="false"/>
          <w:sz w:val="20"/>
        </w:rPr>
      </w:pPr>
      <w:r>
        <w:rPr>
          <w:b w:val="false"/>
          <w:bCs w:val="false"/>
          <w:sz w:val="20"/>
        </w:rPr>
      </w:r>
    </w:p>
    <w:p>
      <w:pPr>
        <w:pStyle w:val="Heading"/>
        <w:jc w:val="both"/>
        <w:rPr>
          <w:b w:val="false"/>
          <w:bCs w:val="false"/>
          <w:sz w:val="20"/>
        </w:rPr>
      </w:pPr>
      <w:r>
        <w:rPr>
          <w:b w:val="false"/>
          <w:bCs w:val="false"/>
          <w:sz w:val="20"/>
        </w:rPr>
      </w:r>
    </w:p>
    <w:p>
      <w:pPr>
        <w:pStyle w:val="Normal"/>
        <w:jc w:val="both"/>
        <w:rPr>
          <w:b/>
          <w:bCs/>
          <w:sz w:val="28"/>
        </w:rPr>
      </w:pPr>
      <w:r>
        <w:rPr>
          <w:b/>
          <w:bCs/>
          <w:sz w:val="28"/>
        </w:rPr>
      </w:r>
    </w:p>
    <w:p>
      <w:pPr>
        <w:pStyle w:val="Normal"/>
        <w:jc w:val="both"/>
        <w:rPr>
          <w:b/>
          <w:bCs/>
          <w:sz w:val="28"/>
        </w:rPr>
      </w:pPr>
      <w:r>
        <w:rPr>
          <w:b/>
          <w:bCs/>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2001-08-15T20:41:00Z</dcterms:created>
  <dc:creator>Ken Lewchuk</dc:creator>
  <dc:description/>
  <dc:language>en-CA</dc:language>
  <cp:lastModifiedBy>Ken Lewchuk</cp:lastModifiedBy>
  <cp:lastPrinted>2001-08-16T10:28:00Z</cp:lastPrinted>
  <dcterms:modified xsi:type="dcterms:W3CDTF">2001-09-17T11:24:00Z</dcterms:modified>
  <cp:revision>10</cp:revision>
  <dc:subject/>
  <dc:title>2001 ISO Meter Audit</dc:title>
</cp:coreProperties>
</file>