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2001 ISO Meter Audit: Background</w:t>
      </w:r>
    </w:p>
    <w:p>
      <w:pPr>
        <w:pStyle w:val="Heading"/>
        <w:jc w:val="start"/>
        <w:rPr>
          <w:b w:val="false"/>
          <w:sz w:val="20"/>
        </w:rPr>
      </w:pPr>
      <w:r>
        <w:rPr>
          <w:b w:val="false"/>
          <w:sz w:val="20"/>
        </w:rPr>
      </w:r>
    </w:p>
    <w:p>
      <w:pPr>
        <w:pStyle w:val="Heading"/>
        <w:jc w:val="start"/>
        <w:rPr>
          <w:sz w:val="20"/>
          <w:u w:val="single"/>
        </w:rPr>
      </w:pPr>
      <w:r>
        <w:rPr>
          <w:sz w:val="20"/>
          <w:u w:val="single"/>
        </w:rPr>
        <w:t>ISO PROTOCOL</w:t>
      </w:r>
    </w:p>
    <w:p>
      <w:pPr>
        <w:pStyle w:val="Heading"/>
        <w:jc w:val="start"/>
        <w:rPr>
          <w:sz w:val="20"/>
          <w:u w:val="single"/>
        </w:rPr>
      </w:pPr>
      <w:r>
        <w:rPr>
          <w:sz w:val="20"/>
          <w:u w:val="single"/>
        </w:rPr>
      </w:r>
    </w:p>
    <w:p>
      <w:pPr>
        <w:pStyle w:val="BodyText3"/>
        <w:rPr/>
      </w:pPr>
      <w:r>
        <w:rPr/>
        <w:t>In accordance with the ISO Tariff and Metering Protocol (Section MP 4.2.1 Requirement for Audit Testing, (a) Audit and Testing by SC) states that each Scheduling Coordinator (SC) shall at least annually conduct (or engage an independent, qualified entity to conduct) audits and tests of Metering Facilities of the SC Metered Entities that it represents and the Meter Data provided to the SC in order to ensure compliance with all applicable requirements of any relevant Local Regulatory Authority (LRA).  SCs shall undertake any other actions that are reasonable and necessary to ensure the accuracy and integrity of the Settlement Quality Meter Data provided by them to the ISO. The following is a description of the review conducted in accordance with the ISO Tariff and Metering Protocol.</w:t>
      </w:r>
    </w:p>
    <w:p>
      <w:pPr>
        <w:pStyle w:val="Heading"/>
        <w:jc w:val="start"/>
        <w:rPr>
          <w:b w:val="false"/>
          <w:sz w:val="20"/>
        </w:rPr>
      </w:pPr>
      <w:r>
        <w:rPr>
          <w:b w:val="false"/>
          <w:sz w:val="20"/>
        </w:rPr>
      </w:r>
    </w:p>
    <w:p>
      <w:pPr>
        <w:pStyle w:val="Heading"/>
        <w:jc w:val="start"/>
        <w:rPr>
          <w:sz w:val="20"/>
          <w:u w:val="single"/>
        </w:rPr>
      </w:pPr>
      <w:r>
        <w:rPr>
          <w:sz w:val="20"/>
          <w:u w:val="single"/>
        </w:rPr>
        <w:t>BACKGROUND</w:t>
      </w:r>
    </w:p>
    <w:p>
      <w:pPr>
        <w:pStyle w:val="Heading"/>
        <w:jc w:val="start"/>
        <w:rPr>
          <w:b w:val="false"/>
          <w:sz w:val="20"/>
          <w:u w:val="single"/>
        </w:rPr>
      </w:pPr>
      <w:r>
        <w:rPr>
          <w:b w:val="false"/>
          <w:sz w:val="20"/>
          <w:u w:val="single"/>
        </w:rPr>
      </w:r>
    </w:p>
    <w:p>
      <w:pPr>
        <w:pStyle w:val="Normal"/>
        <w:jc w:val="both"/>
        <w:rPr/>
      </w:pPr>
      <w:r>
        <w:rPr/>
        <w:t>Enron Energy Services LLC, a Delaware limited liability company, (EES) is a majority owned subsidiary of Enron Corp., an Oregon Corporation (Enron).  Enron Power Marketing Inc. (EPMI) is also a majority owned subsidiary of Enron.  EES is an Energy Service Provider (ESP) and utilizes EPMI as its Scheduling Coordinator (SC) for electricity.  EES is responsible for activities including meter installation, testing, maintenance and calibration for its customers.  EES has outsourced these functions to a third party service provider.  In addition, the third party has sub-contracted certain meter facility activities to Meter Service Providers (MSPs).   An understanding of the procedures in place surrounding the meter facility process was obtained through a series of discussions with representatives of the above-referenced companies.</w:t>
      </w:r>
    </w:p>
    <w:p>
      <w:pPr>
        <w:pStyle w:val="Normal"/>
        <w:jc w:val="both"/>
        <w:rPr/>
      </w:pPr>
      <w:r>
        <w:rPr/>
      </w:r>
    </w:p>
    <w:p>
      <w:pPr>
        <w:pStyle w:val="Normal"/>
        <w:jc w:val="both"/>
        <w:rPr/>
      </w:pPr>
      <w:r>
        <w:rPr/>
        <w:t xml:space="preserve">EES is responsible for the functions relating to meter reading, including Validation, Editing and Estimation  (VEE) of meter data per LRA standards and posting or transferring of meter reads per LRA standards.  EES currently receives meter data by either polling EES meters directly, or by downloading data from the Utility Distribution Company (UDC) MDMA web-server.  For meter data received via the UDC MDMA web-server, the UDCs are responsible for the VEE of meter data prior to posting consumption data on the applicable UDC MDMA web-server.  Since these procedures are not under the control or supervision of EES, we must rely on the procedural information provided to us by the respective UDCs.  As such, copies of the relevant meter procedures from all involved UDCs [(Pacific Gas and Electric (PG&amp;E), Southern California Edison (SCE), and San Diego Gas and Electric (SDG&amp;E)] was requested and received. The procedures we received also conveyed the process of meter reading, the meter reading schedules followed, VEE procedures and meter read posting.  Meter data is polled directly by EES utilizing the MV-90 system.  Personnel utilizing programmed validation checks in MV-90 perform VEE of meter data.  Once the meter data passes all validation checks, the meter data is transferred into the EES MDMA system.  </w:t>
      </w:r>
    </w:p>
    <w:p>
      <w:pPr>
        <w:pStyle w:val="Normal"/>
        <w:jc w:val="both"/>
        <w:rPr>
          <w:b/>
        </w:rPr>
      </w:pPr>
      <w:r>
        <w:rPr>
          <w:b/>
        </w:rPr>
      </w:r>
    </w:p>
    <w:p>
      <w:pPr>
        <w:pStyle w:val="Normal"/>
        <w:jc w:val="both"/>
        <w:rPr/>
      </w:pPr>
      <w:r>
        <w:rPr/>
        <w:t>All meter usage data is downloaded into MDMA from UDC websites and EES’s MV-90 server on a daily basis.  The meter data is processed through the MDMA system where Load Profiles (LP) and Distribution Loss Factors (DLF) are applied to meter data to determine SQMD usage by UDC demand zone in a CSV format.  The SQMD usage in CSV format is converted into an MDEF format and submitted to the ISO on a daily basis.</w:t>
      </w:r>
    </w:p>
    <w:p>
      <w:pPr>
        <w:pStyle w:val="Normal"/>
        <w:jc w:val="both"/>
        <w:rPr/>
      </w:pPr>
      <w:r>
        <w:rPr/>
      </w:r>
    </w:p>
    <w:p>
      <w:pPr>
        <w:pStyle w:val="Normal"/>
        <w:jc w:val="both"/>
        <w:rPr/>
      </w:pPr>
      <w:r>
        <w:rPr/>
        <w:t xml:space="preserve">The MDMA system replaced the previous CHEOPS system in November 2000.    MDMA serves the same role as CHEOPS but incorporates added functionality that contributed to improved controls and the correction of prior audit issues. </w:t>
      </w:r>
    </w:p>
    <w:p>
      <w:pPr>
        <w:pStyle w:val="Normal"/>
        <w:jc w:val="both"/>
        <w:rPr/>
      </w:pPr>
      <w:r>
        <w:rPr/>
      </w:r>
    </w:p>
    <w:p>
      <w:pPr>
        <w:pStyle w:val="Normal"/>
        <w:jc w:val="both"/>
        <w:rPr/>
      </w:pPr>
      <w:r>
        <w:rPr/>
      </w:r>
    </w:p>
    <w:p>
      <w:pPr>
        <w:pStyle w:val="Heading"/>
        <w:jc w:val="start"/>
        <w:rPr>
          <w:b w:val="false"/>
          <w:sz w:val="20"/>
        </w:rPr>
      </w:pPr>
      <w:r>
        <w:rPr>
          <w:b w:val="false"/>
          <w:sz w:val="20"/>
        </w:rPr>
      </w:r>
      <w:r>
        <w:br w:type="page"/>
      </w:r>
    </w:p>
    <w:p>
      <w:pPr>
        <w:pStyle w:val="Heading"/>
        <w:rPr>
          <w:b w:val="false"/>
        </w:rPr>
      </w:pPr>
      <w:r>
        <w:rPr/>
        <w:t>2001 ISO Meter Audit: Procedures</w:t>
      </w:r>
    </w:p>
    <w:p>
      <w:pPr>
        <w:pStyle w:val="Normal"/>
        <w:rPr>
          <w:b/>
        </w:rPr>
      </w:pPr>
      <w:r>
        <w:rPr>
          <w:b/>
        </w:rPr>
      </w:r>
    </w:p>
    <w:p>
      <w:pPr>
        <w:pStyle w:val="BodyText3"/>
        <w:rPr/>
      </w:pPr>
      <w:r>
        <w:rPr/>
        <w:t>ISO control objectives are grouped within three broad categories relating to Meter Facility, Meter Reading and Settlement Meter Data Processing.  Each category consists of some specific objectives noted by ISO to be included in the process controls review, however the process controls review is not limited to these activities.  The tables that follow illustrate how procedures in place address specific ISO objectives.</w:t>
      </w:r>
    </w:p>
    <w:p>
      <w:pPr>
        <w:pStyle w:val="Normal"/>
        <w:rPr>
          <w:b/>
        </w:rPr>
      </w:pPr>
      <w:r>
        <w:rPr>
          <w:b/>
        </w:rPr>
      </w:r>
    </w:p>
    <w:p>
      <w:pPr>
        <w:pStyle w:val="Heading1"/>
        <w:ind w:hanging="0" w:start="0"/>
        <w:rPr/>
      </w:pPr>
      <w: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2820670</wp:posOffset>
                </wp:positionV>
                <wp:extent cx="5120640" cy="0"/>
                <wp:effectExtent l="0" t="0" r="0" b="0"/>
                <wp:wrapNone/>
                <wp:docPr id="1"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-91440</wp:posOffset>
                </wp:positionH>
                <wp:positionV relativeFrom="paragraph">
                  <wp:posOffset>2820670</wp:posOffset>
                </wp:positionV>
                <wp:extent cx="5120640" cy="0"/>
                <wp:effectExtent l="0" t="0" r="0" b="0"/>
                <wp:wrapNone/>
                <wp:docPr id="2"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
                <v:stroke color="#3465a4" joinstyle="round" endcap="flat"/>
                <v:fill o:detectmouseclick="t" on="false"/>
                <w10:wrap type="none"/>
              </v:line>
            </w:pict>
          </mc:Fallback>
        </mc:AlternateContent>
      </w:r>
      <w:r>
        <w:rPr/>
        <w:t>ISO CONTROL OBJECTIVE:  METER FACILITY</w:t>
      </w:r>
    </w:p>
    <w:p>
      <w:pPr>
        <w:pStyle w:val="Normal"/>
        <w:rPr/>
      </w:pPr>
      <w:r>
        <w:rPr/>
      </w:r>
    </w:p>
    <w:p>
      <w:pPr>
        <w:pStyle w:val="Normal"/>
        <w:rPr>
          <w:b/>
        </w:rPr>
      </w:pPr>
      <w:r>
        <w:rPr>
          <w:b/>
        </w:rPr>
        <w:t>ISO Objectives:</w:t>
      </w:r>
    </w:p>
    <w:p>
      <w:pPr>
        <w:pStyle w:val="Normal"/>
        <w:numPr>
          <w:ilvl w:val="0"/>
          <w:numId w:val="7"/>
        </w:numPr>
        <w:rPr/>
      </w:pPr>
      <w:r>
        <w:rPr/>
        <w:t>Appropriate meter installation.</w:t>
      </w:r>
    </w:p>
    <w:p>
      <w:pPr>
        <w:pStyle w:val="Normal"/>
        <w:numPr>
          <w:ilvl w:val="0"/>
          <w:numId w:val="7"/>
        </w:numPr>
        <w:rPr/>
      </w:pPr>
      <w:r>
        <w:rPr/>
        <w:t>Meter is programmed correctly.</w:t>
      </w:r>
    </w:p>
    <w:p>
      <w:pPr>
        <w:pStyle w:val="Normal"/>
        <w:numPr>
          <w:ilvl w:val="0"/>
          <w:numId w:val="7"/>
        </w:numPr>
        <w:rPr/>
      </w:pPr>
      <w:r>
        <w:rPr/>
        <w:t>Meter testing is performed when required.</w:t>
      </w:r>
    </w:p>
    <w:p>
      <w:pPr>
        <w:pStyle w:val="Normal"/>
        <w:numPr>
          <w:ilvl w:val="0"/>
          <w:numId w:val="7"/>
        </w:numPr>
        <w:rPr/>
      </w:pPr>
      <w:r>
        <w:rPr/>
        <w:t>Meter multiplier is set appropriately.</w:t>
      </w:r>
    </w:p>
    <w:p>
      <w:pPr>
        <w:pStyle w:val="Normal"/>
        <w:numPr>
          <w:ilvl w:val="0"/>
          <w:numId w:val="7"/>
        </w:numPr>
        <w:rPr/>
      </w:pPr>
      <w:r>
        <w:rPr/>
        <w:t>Meter maintenance is being performed when required.</w:t>
      </w:r>
    </w:p>
    <w:p>
      <w:pPr>
        <w:pStyle w:val="Normal"/>
        <w:numPr>
          <w:ilvl w:val="0"/>
          <w:numId w:val="7"/>
        </w:numPr>
        <w:rPr/>
      </w:pPr>
      <w:r>
        <w:rPr/>
        <w:t>Meter calibration is performed as required.</w:t>
      </w:r>
    </w:p>
    <w:p>
      <w:pPr>
        <w:pStyle w:val="Normal"/>
        <w:rPr/>
      </w:pPr>
      <w:r>
        <w:rPr/>
      </w:r>
    </w:p>
    <w:tbl>
      <w:tblPr>
        <w:tblW w:w="8855" w:type="dxa"/>
        <w:jc w:val="start"/>
        <w:tblInd w:w="0" w:type="dxa"/>
        <w:tblLayout w:type="fixed"/>
        <w:tblCellMar>
          <w:top w:w="0" w:type="dxa"/>
          <w:start w:w="108" w:type="dxa"/>
          <w:bottom w:w="0" w:type="dxa"/>
          <w:end w:w="108" w:type="dxa"/>
        </w:tblCellMar>
      </w:tblPr>
      <w:tblGrid>
        <w:gridCol w:w="1265"/>
        <w:gridCol w:w="1453"/>
        <w:gridCol w:w="1260"/>
        <w:gridCol w:w="1170"/>
        <w:gridCol w:w="1177"/>
        <w:gridCol w:w="1265"/>
        <w:gridCol w:w="1265"/>
      </w:tblGrid>
      <w:tr>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pPr>
            <w:r>
              <w:rPr/>
              <w:t>ISO 1)</w:t>
            </w:r>
          </w:p>
          <w:p>
            <w:pPr>
              <w:pStyle w:val="Normal"/>
              <w:jc w:val="center"/>
              <w:rPr/>
            </w:pPr>
            <w:r>
              <w:rPr/>
              <w:t>Meter Installation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ISO 2)</w:t>
            </w:r>
          </w:p>
          <w:p>
            <w:pPr>
              <w:pStyle w:val="Normal"/>
              <w:jc w:val="center"/>
              <w:rPr/>
            </w:pPr>
            <w:r>
              <w:rPr/>
              <w:t>Meter Programmed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ISO 3)</w:t>
            </w:r>
          </w:p>
          <w:p>
            <w:pPr>
              <w:pStyle w:val="Normal"/>
              <w:jc w:val="center"/>
              <w:rPr/>
            </w:pPr>
            <w:r>
              <w:rPr/>
              <w:t>Meter Testing</w:t>
            </w:r>
          </w:p>
        </w:tc>
        <w:tc>
          <w:tcPr>
            <w:tcW w:w="1177" w:type="dxa"/>
            <w:tcBorders>
              <w:top w:val="single" w:sz="4" w:space="0" w:color="000000"/>
              <w:start w:val="single" w:sz="4" w:space="0" w:color="000000"/>
              <w:bottom w:val="single" w:sz="4" w:space="0" w:color="000000"/>
              <w:end w:val="single" w:sz="4" w:space="0" w:color="000000"/>
            </w:tcBorders>
          </w:tcPr>
          <w:p>
            <w:pPr>
              <w:pStyle w:val="Normal"/>
              <w:jc w:val="center"/>
              <w:rPr/>
            </w:pPr>
            <w:r>
              <w:rPr/>
              <w:t>ISO 4)</w:t>
            </w:r>
          </w:p>
          <w:p>
            <w:pPr>
              <w:pStyle w:val="Normal"/>
              <w:jc w:val="center"/>
              <w:rPr/>
            </w:pPr>
            <w:r>
              <w:rPr/>
              <w:t>Meter Multiplier</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pPr>
            <w:r>
              <w:rPr/>
              <w:t>ISO 5)</w:t>
            </w:r>
          </w:p>
          <w:p>
            <w:pPr>
              <w:pStyle w:val="Normal"/>
              <w:jc w:val="center"/>
              <w:rPr/>
            </w:pPr>
            <w:r>
              <w:rPr/>
              <w:t>Meter Maintenance</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pPr>
            <w:r>
              <w:rPr/>
              <w:t>ISO 6)</w:t>
            </w:r>
          </w:p>
          <w:p>
            <w:pPr>
              <w:pStyle w:val="Normal"/>
              <w:jc w:val="center"/>
              <w:rPr/>
            </w:pPr>
            <w:r>
              <w:rPr/>
              <w:t>Meter Calibration</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1</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2</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3</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4</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5</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6</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7</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8</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9</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b/>
        </w:rPr>
      </w:pPr>
      <w:r>
        <w:rPr>
          <w:b/>
        </w:rPr>
      </w:r>
    </w:p>
    <w:p>
      <w:pPr>
        <w:pStyle w:val="Normal"/>
        <w:rPr>
          <w:b/>
        </w:rPr>
      </w:pPr>
      <w:r>
        <w:rPr>
          <w:b/>
        </w:rPr>
        <w:t>Procedures in Place:</w:t>
      </w:r>
    </w:p>
    <w:p>
      <w:pPr>
        <w:pStyle w:val="BodyText"/>
        <w:ind w:hanging="180" w:start="180" w:end="0"/>
        <w:jc w:val="both"/>
        <w:rPr>
          <w:b w:val="false"/>
        </w:rPr>
      </w:pPr>
      <w:r>
        <w:rPr>
          <w:b w:val="false"/>
        </w:rPr>
        <w:t>1) Procedures in place to ensure meter installations are properly communicated, monitored and tracked in a meter management system:</w:t>
      </w:r>
    </w:p>
    <w:p>
      <w:pPr>
        <w:pStyle w:val="Normal"/>
        <w:numPr>
          <w:ilvl w:val="0"/>
          <w:numId w:val="26"/>
        </w:numPr>
        <w:tabs>
          <w:tab w:val="clear" w:pos="720"/>
        </w:tabs>
        <w:ind w:hanging="360" w:start="720" w:end="0"/>
        <w:jc w:val="both"/>
        <w:rPr/>
      </w:pPr>
      <w:r>
        <w:rPr/>
        <w:t xml:space="preserve">Meter Field Operations (MFO) schedule meter installations with a sub-contracted Metered Service Provider (MSP).  Required meter specifications, Meter Investigation (MI) reports and implementation plans are communicated to the MSP using work orders. </w:t>
      </w:r>
    </w:p>
    <w:p>
      <w:pPr>
        <w:pStyle w:val="Normal"/>
        <w:numPr>
          <w:ilvl w:val="0"/>
          <w:numId w:val="26"/>
        </w:numPr>
        <w:tabs>
          <w:tab w:val="clear" w:pos="720"/>
        </w:tabs>
        <w:ind w:hanging="360" w:start="720" w:end="0"/>
        <w:jc w:val="both"/>
        <w:rPr/>
      </w:pPr>
      <w:r>
        <w:rPr/>
        <w:t>MSP personnel communicate meter attributes to Automated Meter Reading Operations (AMR) for updating the meter reading systems (MV-90).  Communication with the AMR center is established during meter installation, meters are not considered installed unless electronic communication can be established between AMR and the meter.  In the event that electronic communication cannot be established, the old meter is placed in service again and a new meter installation request is generated.</w:t>
      </w:r>
    </w:p>
    <w:p>
      <w:pPr>
        <w:pStyle w:val="Normal"/>
        <w:numPr>
          <w:ilvl w:val="0"/>
          <w:numId w:val="26"/>
        </w:numPr>
        <w:tabs>
          <w:tab w:val="clear" w:pos="720"/>
        </w:tabs>
        <w:ind w:hanging="360" w:start="720" w:end="0"/>
        <w:jc w:val="both"/>
        <w:rPr/>
      </w:pPr>
      <w:r>
        <w:rPr/>
        <w:t>MFO field engineers monitor MSP records and accompany MSP personnel during meter installation on a discretionary basis as a quality control procedure.</w:t>
      </w:r>
    </w:p>
    <w:p>
      <w:pPr>
        <w:pStyle w:val="Normal"/>
        <w:numPr>
          <w:ilvl w:val="0"/>
          <w:numId w:val="26"/>
        </w:numPr>
        <w:tabs>
          <w:tab w:val="clear" w:pos="720"/>
        </w:tabs>
        <w:ind w:hanging="360" w:start="720" w:end="0"/>
        <w:jc w:val="both"/>
        <w:rPr/>
      </w:pPr>
      <w:r>
        <w:rPr/>
        <w:t xml:space="preserve">MFO maintains a Scheduling Database with the installation date and work order status. </w:t>
      </w:r>
    </w:p>
    <w:p>
      <w:pPr>
        <w:pStyle w:val="Normal"/>
        <w:rPr/>
      </w:pPr>
      <w:r>
        <w:rPr/>
      </w:r>
    </w:p>
    <w:p>
      <w:pPr>
        <w:pStyle w:val="BodyText"/>
        <w:rPr>
          <w:b w:val="false"/>
        </w:rPr>
      </w:pPr>
      <w:r>
        <w:rPr>
          <w:b w:val="false"/>
        </w:rPr>
        <w:t>2) Procedures in place to ensure meters are properly tested during installation:</w:t>
      </w:r>
    </w:p>
    <w:p>
      <w:pPr>
        <w:pStyle w:val="Normal"/>
        <w:numPr>
          <w:ilvl w:val="0"/>
          <w:numId w:val="4"/>
        </w:numPr>
        <w:jc w:val="both"/>
        <w:rPr/>
      </w:pPr>
      <w:r>
        <w:rPr/>
        <w:t>During meter installation, MSP personnel perform voltage, polarity, and connectivity tests to ensure proper installation.</w:t>
      </w:r>
    </w:p>
    <w:p>
      <w:pPr>
        <w:pStyle w:val="Normal"/>
        <w:tabs>
          <w:tab w:val="clear" w:pos="720"/>
          <w:tab w:val="left" w:pos="990" w:leader="none"/>
        </w:tabs>
        <w:ind w:start="540" w:end="0"/>
        <w:rPr>
          <w:b/>
        </w:rPr>
      </w:pPr>
      <w:r>
        <w:rPr>
          <w:b/>
        </w:rPr>
      </w:r>
    </w:p>
    <w:p>
      <w:pPr>
        <w:pStyle w:val="BodyText"/>
        <w:ind w:hanging="180" w:start="180" w:end="0"/>
        <w:rPr>
          <w:b w:val="false"/>
        </w:rPr>
      </w:pPr>
      <w:r>
        <w:rPr>
          <w:b w:val="false"/>
        </w:rPr>
        <w:t>3) Procedures in place to ensure that all meters are calibrated prior to installation at customer locations:</w:t>
      </w:r>
    </w:p>
    <w:p>
      <w:pPr>
        <w:pStyle w:val="Normal"/>
        <w:numPr>
          <w:ilvl w:val="0"/>
          <w:numId w:val="21"/>
        </w:numPr>
        <w:jc w:val="both"/>
        <w:rPr/>
      </w:pPr>
      <w:r>
        <w:rPr/>
        <w:t>The California Public Utility Commission (CPUC) requires that meter manufacturers provide purchasers with certified documentation evidencing that the meters comply with all related calibration and accuracy requirements per related regulatory standards.</w:t>
      </w:r>
    </w:p>
    <w:p>
      <w:pPr>
        <w:pStyle w:val="Normal"/>
        <w:jc w:val="both"/>
        <w:rPr/>
      </w:pPr>
      <w:r>
        <w:rPr/>
      </w:r>
    </w:p>
    <w:p>
      <w:pPr>
        <w:pStyle w:val="Normal"/>
        <w:jc w:val="both"/>
        <w:rPr/>
      </w:pPr>
      <w:r>
        <w:rPr/>
      </w:r>
    </w:p>
    <w:p>
      <w:pPr>
        <w:pStyle w:val="Normal"/>
        <w:jc w:val="both"/>
        <w:rPr/>
      </w:pPr>
      <w:r>
        <w:rPr/>
      </w:r>
    </w:p>
    <w:p>
      <w:pPr>
        <w:pStyle w:val="BodyText"/>
        <w:ind w:hanging="180" w:start="180" w:end="0"/>
        <w:rPr>
          <w:b w:val="false"/>
        </w:rPr>
      </w:pPr>
      <w:r>
        <w:rPr>
          <w:b w:val="false"/>
        </w:rPr>
        <w:t>4) Procedures in place to ensure that EES-metered and UDC-metered accounts are properly identified and communicated:</w:t>
      </w:r>
    </w:p>
    <w:p>
      <w:pPr>
        <w:pStyle w:val="Normal"/>
        <w:numPr>
          <w:ilvl w:val="0"/>
          <w:numId w:val="14"/>
        </w:numPr>
        <w:tabs>
          <w:tab w:val="left" w:pos="720" w:leader="none"/>
        </w:tabs>
        <w:ind w:hanging="360" w:start="720" w:end="0"/>
        <w:jc w:val="both"/>
        <w:rPr/>
      </w:pPr>
      <w:r>
        <w:rPr/>
        <w:t xml:space="preserve">MFO obtains a pre-service request account data summary and change requests from EES’ Operations and Maintenance Desk (OMD).  The account data summaries are generated from data received from the applicable Utility Distribution Center (UDC) via the Sales/Account team.  The change request initiates the meter pre-screening process, in which account history information is used to determine accounts over the specified EES/Utility installation threshold.  </w:t>
      </w:r>
    </w:p>
    <w:p>
      <w:pPr>
        <w:pStyle w:val="Normal"/>
        <w:numPr>
          <w:ilvl w:val="0"/>
          <w:numId w:val="14"/>
        </w:numPr>
        <w:tabs>
          <w:tab w:val="left" w:pos="720" w:leader="none"/>
        </w:tabs>
        <w:ind w:hanging="360" w:start="720" w:end="0"/>
        <w:jc w:val="both"/>
        <w:rPr/>
      </w:pPr>
      <w:r>
        <w:rPr/>
        <w:t>Meter Field Operations (MFO) notifies Customer Set-up which accounts are to use EES meters and which accounts are to use existing utility meters through a Metered Account and Relationship Listing form.  Metered account data is loaded into MFO’s Scheduling Database.</w:t>
      </w:r>
    </w:p>
    <w:p>
      <w:pPr>
        <w:pStyle w:val="Normal"/>
        <w:numPr>
          <w:ilvl w:val="0"/>
          <w:numId w:val="14"/>
        </w:numPr>
        <w:tabs>
          <w:tab w:val="left" w:pos="720" w:leader="none"/>
        </w:tabs>
        <w:ind w:hanging="360" w:start="720" w:end="0"/>
        <w:jc w:val="both"/>
        <w:rPr/>
      </w:pPr>
      <w:r>
        <w:rPr/>
        <w:t>Customer Set-up submits a Direct Access Service Request (DASR) to the applicable utility.  Once a response DASR is received from the Utility Distribution Center (UDC), MFO captures the EES Account Number from STAT, the company’s billing system.  The EES Account Number is applied to the appropriate customer in the Scheduling Database.</w:t>
      </w:r>
    </w:p>
    <w:p>
      <w:pPr>
        <w:pStyle w:val="Normal"/>
        <w:numPr>
          <w:ilvl w:val="0"/>
          <w:numId w:val="14"/>
        </w:numPr>
        <w:tabs>
          <w:tab w:val="left" w:pos="720" w:leader="none"/>
        </w:tabs>
        <w:ind w:hanging="360" w:start="720" w:end="0"/>
        <w:jc w:val="both"/>
        <w:rPr/>
      </w:pPr>
      <w:r>
        <w:rPr/>
        <w:t>After the utility sends a Meter Investigation report to MFO, a project manager verifies that appropriate direct access service relationships are present and that the service request has been approved, using the Customer Set-up System.</w:t>
      </w:r>
    </w:p>
    <w:p>
      <w:pPr>
        <w:pStyle w:val="Normal"/>
        <w:ind w:start="347" w:end="0"/>
        <w:rPr/>
      </w:pPr>
      <w:r>
        <w:rPr/>
      </w:r>
    </w:p>
    <w:p>
      <w:pPr>
        <w:pStyle w:val="BodyText"/>
        <w:ind w:hanging="180" w:start="180" w:end="0"/>
        <w:rPr>
          <w:b w:val="false"/>
        </w:rPr>
      </w:pPr>
      <w:r>
        <w:rPr>
          <w:b w:val="false"/>
        </w:rPr>
        <w:t>5) Procedures in place to ensure that documentation of meter specifications and meter installation are properly captured within meter-reading systems and communicated to the UDC:</w:t>
      </w:r>
    </w:p>
    <w:p>
      <w:pPr>
        <w:pStyle w:val="Normal"/>
        <w:numPr>
          <w:ilvl w:val="0"/>
          <w:numId w:val="15"/>
        </w:numPr>
        <w:tabs>
          <w:tab w:val="left" w:pos="720" w:leader="none"/>
        </w:tabs>
        <w:ind w:hanging="360" w:start="720" w:end="0"/>
        <w:jc w:val="both"/>
        <w:rPr/>
      </w:pPr>
      <w:r>
        <w:rPr/>
        <w:t>Once a meter is installed, the meter serial number and multipliers are recorded on the installation work order. MSP personnel complete a Meter Installation / Removal Notification (MIRN) and return the MIRN and completed work order to MFO for filing.  Completed documentation is forwarded to AMR and the applicable UDC.</w:t>
      </w:r>
    </w:p>
    <w:p>
      <w:pPr>
        <w:pStyle w:val="Normal"/>
        <w:numPr>
          <w:ilvl w:val="0"/>
          <w:numId w:val="15"/>
        </w:numPr>
        <w:tabs>
          <w:tab w:val="left" w:pos="720" w:leader="none"/>
        </w:tabs>
        <w:ind w:hanging="360" w:start="720" w:end="0"/>
        <w:jc w:val="both"/>
        <w:rPr/>
      </w:pPr>
      <w:r>
        <w:rPr/>
        <w:t>When AMR receives a MIRN, personnel compare the information contained therein with data previously captured in MV-90.  In the event that there are discrepancies, the MIRN supercedes any prior verbal communication.</w:t>
      </w:r>
    </w:p>
    <w:p>
      <w:pPr>
        <w:pStyle w:val="Normal"/>
        <w:rPr>
          <w:i/>
          <w:i/>
        </w:rPr>
      </w:pPr>
      <w:r>
        <w:rPr>
          <w:i/>
        </w:rPr>
      </w:r>
    </w:p>
    <w:p>
      <w:pPr>
        <w:pStyle w:val="BodyText"/>
        <w:rPr>
          <w:b w:val="false"/>
        </w:rPr>
      </w:pPr>
      <w:r>
        <w:rPr>
          <w:b w:val="false"/>
        </w:rPr>
        <w:t>6) Procedures in place to ensure meter testing is performed as required:</w:t>
      </w:r>
    </w:p>
    <w:p>
      <w:pPr>
        <w:pStyle w:val="Normal"/>
        <w:numPr>
          <w:ilvl w:val="0"/>
          <w:numId w:val="19"/>
        </w:numPr>
        <w:tabs>
          <w:tab w:val="left" w:pos="720" w:leader="none"/>
        </w:tabs>
        <w:ind w:hanging="360" w:start="720" w:end="0"/>
        <w:jc w:val="both"/>
        <w:rPr/>
      </w:pPr>
      <w:r>
        <w:rPr/>
        <w:t>Meters are initially tested when they are installed.  Meters are then checked every twelve months and tested once their load reaches a specified limit.</w:t>
      </w:r>
    </w:p>
    <w:p>
      <w:pPr>
        <w:pStyle w:val="Normal"/>
        <w:jc w:val="both"/>
        <w:rPr/>
      </w:pPr>
      <w:r>
        <w:rPr/>
      </w:r>
    </w:p>
    <w:p>
      <w:pPr>
        <w:pStyle w:val="BodyText"/>
        <w:rPr>
          <w:b w:val="false"/>
        </w:rPr>
      </w:pPr>
      <w:r>
        <w:rPr>
          <w:b w:val="false"/>
        </w:rPr>
        <w:t>7) Procedures in place to ensure meter multiplier is set appropriately:</w:t>
      </w:r>
    </w:p>
    <w:p>
      <w:pPr>
        <w:pStyle w:val="Normal"/>
        <w:numPr>
          <w:ilvl w:val="0"/>
          <w:numId w:val="5"/>
        </w:numPr>
        <w:tabs>
          <w:tab w:val="left" w:pos="720" w:leader="none"/>
        </w:tabs>
        <w:ind w:hanging="360" w:start="720" w:end="0"/>
        <w:jc w:val="both"/>
        <w:rPr/>
      </w:pPr>
      <w:r>
        <w:rPr/>
        <w:t xml:space="preserve">The multiplier is dictated by the customer site and type of meter installed.  </w:t>
      </w:r>
    </w:p>
    <w:p>
      <w:pPr>
        <w:pStyle w:val="Normal"/>
        <w:numPr>
          <w:ilvl w:val="0"/>
          <w:numId w:val="5"/>
        </w:numPr>
        <w:tabs>
          <w:tab w:val="left" w:pos="720" w:leader="none"/>
        </w:tabs>
        <w:ind w:hanging="360" w:start="720" w:end="0"/>
        <w:jc w:val="both"/>
        <w:rPr/>
      </w:pPr>
      <w:r>
        <w:rPr/>
        <w:t>Meter service providers report what they observe in the field compared to what utility distribution companies indicate should be in the field.</w:t>
      </w:r>
    </w:p>
    <w:p>
      <w:pPr>
        <w:pStyle w:val="Normal"/>
        <w:numPr>
          <w:ilvl w:val="0"/>
          <w:numId w:val="5"/>
        </w:numPr>
        <w:tabs>
          <w:tab w:val="left" w:pos="720" w:leader="none"/>
        </w:tabs>
        <w:ind w:hanging="360" w:start="720" w:end="0"/>
        <w:jc w:val="both"/>
        <w:rPr/>
      </w:pPr>
      <w:r>
        <w:rPr/>
        <w:t xml:space="preserve">Multipliers are calculated based on information obtained from meters.  </w:t>
      </w:r>
    </w:p>
    <w:p>
      <w:pPr>
        <w:pStyle w:val="Normal"/>
        <w:rPr/>
      </w:pPr>
      <w:r>
        <w:rPr/>
      </w:r>
    </w:p>
    <w:p>
      <w:pPr>
        <w:pStyle w:val="BodyText"/>
        <w:rPr>
          <w:b w:val="false"/>
        </w:rPr>
      </w:pPr>
      <w:r>
        <w:rPr>
          <w:b w:val="false"/>
        </w:rPr>
        <w:t>8) Procedures in place to ensure that unscheduled meter maintenance is performed as required:</w:t>
      </w:r>
    </w:p>
    <w:p>
      <w:pPr>
        <w:pStyle w:val="Normal"/>
        <w:numPr>
          <w:ilvl w:val="0"/>
          <w:numId w:val="27"/>
        </w:numPr>
        <w:tabs>
          <w:tab w:val="left" w:pos="720" w:leader="none"/>
        </w:tabs>
        <w:ind w:hanging="360" w:start="720" w:end="0"/>
        <w:jc w:val="both"/>
        <w:rPr/>
      </w:pPr>
      <w:r>
        <w:rPr/>
        <w:t>Unscheduled meter maintenance is performed when AMR has failed to communicate with a meter for three consecutive days or meter reads lie outside of the expected range when compared to historical data.  In these instances, AMR contacts MFO to schedule field visits.</w:t>
      </w:r>
    </w:p>
    <w:p>
      <w:pPr>
        <w:pStyle w:val="Normal"/>
        <w:numPr>
          <w:ilvl w:val="0"/>
          <w:numId w:val="27"/>
        </w:numPr>
        <w:tabs>
          <w:tab w:val="left" w:pos="720" w:leader="none"/>
        </w:tabs>
        <w:ind w:hanging="360" w:start="720" w:end="0"/>
        <w:jc w:val="both"/>
        <w:rPr/>
      </w:pPr>
      <w:r>
        <w:rPr/>
        <w:t>Meter data for meters requiring field visits are placed on a database that is updated daily.  The MFO project manager schedules a MSP to visit the customer location.  Field visits are prioritized by bill cycle read date.</w:t>
      </w:r>
    </w:p>
    <w:p>
      <w:pPr>
        <w:pStyle w:val="Normal"/>
        <w:ind w:start="720" w:end="0"/>
        <w:rPr/>
      </w:pPr>
      <w:r>
        <w:rPr/>
      </w:r>
    </w:p>
    <w:p>
      <w:pPr>
        <w:pStyle w:val="BodyText"/>
        <w:ind w:hanging="180" w:start="180" w:end="0"/>
        <w:rPr>
          <w:b w:val="false"/>
        </w:rPr>
      </w:pPr>
      <w:r>
        <w:rPr>
          <w:b w:val="false"/>
        </w:rPr>
        <w:t>9) Process in place to ensure that scheduled meter testing/calibration is conducted per related LRA requirements:</w:t>
      </w:r>
    </w:p>
    <w:p>
      <w:pPr>
        <w:pStyle w:val="Normal"/>
        <w:numPr>
          <w:ilvl w:val="0"/>
          <w:numId w:val="28"/>
        </w:numPr>
        <w:tabs>
          <w:tab w:val="left" w:pos="720" w:leader="none"/>
        </w:tabs>
        <w:ind w:hanging="360" w:start="720" w:end="0"/>
        <w:jc w:val="both"/>
        <w:rPr/>
      </w:pPr>
      <w:r>
        <w:rPr/>
        <w:t>The CPUC requires that all accounts with usage greater than 2 million kwh/year are scheduled for testing on an annual basis.  Accounts with usage ranging from 720,000 kwh/year to 2 million kwh/year are required to be scheduled for testing every two years.  Accounts with usage less than 720,000 kwh/year are required to be tested annually on a sample basis.</w:t>
      </w:r>
    </w:p>
    <w:p>
      <w:pPr>
        <w:pStyle w:val="Normal"/>
        <w:numPr>
          <w:ilvl w:val="0"/>
          <w:numId w:val="28"/>
        </w:numPr>
        <w:tabs>
          <w:tab w:val="left" w:pos="720" w:leader="none"/>
        </w:tabs>
        <w:ind w:hanging="360" w:start="720" w:end="0"/>
        <w:jc w:val="both"/>
        <w:rPr/>
      </w:pPr>
      <w:r>
        <w:rPr/>
        <w:t xml:space="preserve">Bi-annually, MFO develops testing schedules to meet CPUC requirements. Historical consumption data is obtained from AMR for analysis of maintenance requirements.  MFO then develops implementation plans with the MSPs to test meter accuracy and replace meter batteries, as needed. </w:t>
      </w:r>
    </w:p>
    <w:p>
      <w:pPr>
        <w:pStyle w:val="Normal"/>
        <w:ind w:start="360" w:end="0"/>
        <w:jc w:val="both"/>
        <w:rPr/>
      </w:pPr>
      <w:r>
        <w:rPr/>
      </w:r>
    </w:p>
    <w:p>
      <w:pPr>
        <w:pStyle w:val="Heading2"/>
        <w:numPr>
          <w:ilvl w:val="0"/>
          <w:numId w:val="11"/>
        </w:numPr>
        <w:ind w:hanging="0" w:start="0"/>
        <w:rPr/>
      </w:pPr>
      <w:r>
        <w:rPr/>
        <w:t>ISO CONTROL OBJECTIVE:  METER READING</w:t>
      </w:r>
    </w:p>
    <w:p>
      <w:pPr>
        <w:pStyle w:val="Normal"/>
        <w:rPr/>
      </w:pPr>
      <w:r>
        <w:rPr/>
      </w:r>
    </w:p>
    <w:p>
      <w:pPr>
        <w:pStyle w:val="Heading9"/>
        <w:rPr>
          <w:b/>
          <w:u w:val="none"/>
        </w:rPr>
      </w:pPr>
      <w:r>
        <w:rPr>
          <w:b/>
          <w:u w:val="none"/>
        </w:rPr>
        <w:t>ISO Objectives:</w:t>
      </w:r>
    </w:p>
    <w:p>
      <w:pPr>
        <w:pStyle w:val="Normal"/>
        <w:numPr>
          <w:ilvl w:val="0"/>
          <w:numId w:val="6"/>
        </w:numPr>
        <w:jc w:val="both"/>
        <w:rPr/>
      </w:pPr>
      <w:r>
        <w:rPr/>
        <w:t>Meter reading schedules are being followed.</w:t>
      </w:r>
    </w:p>
    <w:p>
      <w:pPr>
        <w:pStyle w:val="Normal"/>
        <w:numPr>
          <w:ilvl w:val="0"/>
          <w:numId w:val="6"/>
        </w:numPr>
        <w:jc w:val="both"/>
        <w:rPr/>
      </w:pPr>
      <w:r>
        <w:rPr/>
        <w:t>Validating, Editing, and Estimation (VEE) is being performed per Local Regulatory Authority (LRA) standards.</w:t>
      </w:r>
    </w:p>
    <w:p>
      <w:pPr>
        <w:pStyle w:val="Normal"/>
        <w:numPr>
          <w:ilvl w:val="0"/>
          <w:numId w:val="6"/>
        </w:numPr>
        <w:jc w:val="both"/>
        <w:rPr/>
      </w:pPr>
      <w:r>
        <w:rPr/>
        <w:t>Record keeping documentation on VEE is being kept per the LRA.</w:t>
      </w:r>
    </w:p>
    <w:p>
      <w:pPr>
        <w:pStyle w:val="Normal"/>
        <w:numPr>
          <w:ilvl w:val="0"/>
          <w:numId w:val="6"/>
        </w:numPr>
        <w:jc w:val="both"/>
        <w:rPr/>
      </w:pPr>
      <w:r>
        <w:rPr/>
        <w:t>Posting of meter reads (where applicable) or transferring the meter reads are being performed per the LRA standard.</w:t>
      </w:r>
    </w:p>
    <w:p>
      <w:pPr>
        <w:pStyle w:val="Normal"/>
        <w:numPr>
          <w:ilvl w:val="0"/>
          <w:numId w:val="6"/>
        </w:numPr>
        <w:jc w:val="both"/>
        <w:rPr/>
      </w:pPr>
      <w:r>
        <w:rPr/>
        <w:t>Record keeping documentation on meter data availability are being kept per the LRA.</w:t>
      </w:r>
    </w:p>
    <w:p>
      <w:pPr>
        <w:pStyle w:val="Normal"/>
        <w:rPr>
          <w:b/>
        </w:rPr>
      </w:pPr>
      <w:r>
        <w:rPr>
          <w:b/>
        </w:rPr>
      </w:r>
    </w:p>
    <w:tbl>
      <w:tblPr>
        <w:tblW w:w="8748" w:type="dxa"/>
        <w:jc w:val="start"/>
        <w:tblInd w:w="0" w:type="dxa"/>
        <w:tblLayout w:type="fixed"/>
        <w:tblCellMar>
          <w:top w:w="0" w:type="dxa"/>
          <w:start w:w="108" w:type="dxa"/>
          <w:bottom w:w="0" w:type="dxa"/>
          <w:end w:w="108" w:type="dxa"/>
        </w:tblCellMar>
      </w:tblPr>
      <w:tblGrid>
        <w:gridCol w:w="1265"/>
        <w:gridCol w:w="1453"/>
        <w:gridCol w:w="1350"/>
        <w:gridCol w:w="1530"/>
        <w:gridCol w:w="1620"/>
        <w:gridCol w:w="1530"/>
      </w:tblGrid>
      <w:tr>
        <w:trPr>
          <w:trHeight w:val="548"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pPr>
            <w:r>
              <w:rPr/>
              <w:t>ISO 1)</w:t>
            </w:r>
          </w:p>
          <w:p>
            <w:pPr>
              <w:pStyle w:val="Normal"/>
              <w:jc w:val="center"/>
              <w:rPr/>
            </w:pPr>
            <w:r>
              <w:rPr/>
              <w:t>Reading Schedule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ISO 2)</w:t>
            </w:r>
          </w:p>
          <w:p>
            <w:pPr>
              <w:pStyle w:val="Normal"/>
              <w:jc w:val="center"/>
              <w:rPr/>
            </w:pPr>
            <w:r>
              <w:rPr/>
              <w:t>VEE per LRA</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ISO 3)</w:t>
            </w:r>
          </w:p>
          <w:p>
            <w:pPr>
              <w:pStyle w:val="Normal"/>
              <w:jc w:val="center"/>
              <w:rPr/>
            </w:pPr>
            <w:r>
              <w:rPr/>
              <w:t>VEE Documentation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ISO 4)</w:t>
            </w:r>
          </w:p>
          <w:p>
            <w:pPr>
              <w:pStyle w:val="Normal"/>
              <w:jc w:val="center"/>
              <w:rPr/>
            </w:pPr>
            <w:r>
              <w:rPr/>
              <w:t xml:space="preserve"> </w:t>
            </w:r>
            <w:r>
              <w:rPr/>
              <w:t>Posting of Meter Reads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ISO 5)</w:t>
            </w:r>
          </w:p>
          <w:p>
            <w:pPr>
              <w:pStyle w:val="Normal"/>
              <w:jc w:val="center"/>
              <w:rPr/>
            </w:pPr>
            <w:r>
              <w:rPr/>
              <w:t>Data Availability</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1</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2</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3</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4</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5</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6</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r>
        <w:trPr>
          <w:trHeight w:val="70"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7</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highlight w:val="yellow"/>
              </w:rPr>
            </w:pPr>
            <w:r>
              <w:rPr>
                <w:b/>
              </w:rPr>
              <w:t>X</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highlight w:val="yellow"/>
              </w:rPr>
            </w:pPr>
            <w:r>
              <w:rPr>
                <w:b/>
                <w:highlight w:val="yellow"/>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b/>
        </w:rPr>
      </w:pPr>
      <w:r>
        <w:rPr>
          <w:b/>
        </w:rPr>
      </w:r>
    </w:p>
    <w:p>
      <w:pPr>
        <w:pStyle w:val="Normal"/>
        <w:rPr>
          <w:b/>
        </w:rPr>
      </w:pPr>
      <w:r>
        <w:rPr>
          <w:b/>
        </w:rPr>
        <w:t>Procedures in Place:</w:t>
      </w:r>
    </w:p>
    <w:p>
      <w:pPr>
        <w:pStyle w:val="BodyText"/>
        <w:rPr>
          <w:b w:val="false"/>
        </w:rPr>
      </w:pPr>
      <w:r>
        <w:rPr>
          <w:b w:val="false"/>
        </w:rPr>
        <w:t>1) Procedures in place to ensure compliance with LRA data validation requirements:</w:t>
      </w:r>
    </w:p>
    <w:p>
      <w:pPr>
        <w:pStyle w:val="Normal"/>
        <w:numPr>
          <w:ilvl w:val="0"/>
          <w:numId w:val="12"/>
        </w:numPr>
        <w:jc w:val="both"/>
        <w:rPr/>
      </w:pPr>
      <w:r>
        <w:rPr/>
        <w:t>Data validation procedures are performed within MV-90 at the time data is received.  Phone-based and wireless pulse counts are received and validated daily.  Both are validated monthly at the end of each bill cycle.  MV-90 data validations include the following checks per CPUC requirements:</w:t>
      </w:r>
    </w:p>
    <w:p>
      <w:pPr>
        <w:pStyle w:val="Normal"/>
        <w:numPr>
          <w:ilvl w:val="0"/>
          <w:numId w:val="22"/>
        </w:numPr>
        <w:tabs>
          <w:tab w:val="clear" w:pos="720"/>
          <w:tab w:val="left" w:pos="1440" w:leader="none"/>
          <w:tab w:val="left" w:pos="1620" w:leader="none"/>
        </w:tabs>
        <w:ind w:hanging="360" w:start="1440" w:end="0"/>
        <w:jc w:val="both"/>
        <w:rPr/>
      </w:pPr>
      <w:r>
        <w:rPr/>
        <w:t>Gap</w:t>
      </w:r>
    </w:p>
    <w:p>
      <w:pPr>
        <w:pStyle w:val="Normal"/>
        <w:numPr>
          <w:ilvl w:val="0"/>
          <w:numId w:val="22"/>
        </w:numPr>
        <w:tabs>
          <w:tab w:val="clear" w:pos="720"/>
          <w:tab w:val="left" w:pos="1440" w:leader="none"/>
          <w:tab w:val="left" w:pos="1620" w:leader="none"/>
        </w:tabs>
        <w:ind w:hanging="360" w:start="1440" w:end="0"/>
        <w:jc w:val="both"/>
        <w:rPr/>
      </w:pPr>
      <w:r>
        <w:rPr/>
        <w:t>Sum</w:t>
      </w:r>
    </w:p>
    <w:p>
      <w:pPr>
        <w:pStyle w:val="Normal"/>
        <w:numPr>
          <w:ilvl w:val="0"/>
          <w:numId w:val="22"/>
        </w:numPr>
        <w:tabs>
          <w:tab w:val="clear" w:pos="720"/>
          <w:tab w:val="left" w:pos="1440" w:leader="none"/>
          <w:tab w:val="left" w:pos="1620" w:leader="none"/>
        </w:tabs>
        <w:ind w:hanging="360" w:start="1440" w:end="0"/>
        <w:jc w:val="both"/>
        <w:rPr/>
      </w:pPr>
      <w:r>
        <w:rPr/>
        <w:t>Zero</w:t>
      </w:r>
    </w:p>
    <w:p>
      <w:pPr>
        <w:pStyle w:val="Normal"/>
        <w:numPr>
          <w:ilvl w:val="0"/>
          <w:numId w:val="22"/>
        </w:numPr>
        <w:tabs>
          <w:tab w:val="clear" w:pos="720"/>
          <w:tab w:val="left" w:pos="1440" w:leader="none"/>
          <w:tab w:val="left" w:pos="1620" w:leader="none"/>
        </w:tabs>
        <w:ind w:hanging="360" w:start="1440" w:end="0"/>
        <w:jc w:val="both"/>
        <w:rPr/>
      </w:pPr>
      <w:r>
        <w:rPr/>
        <w:t>Pulse overflow</w:t>
      </w:r>
    </w:p>
    <w:p>
      <w:pPr>
        <w:pStyle w:val="Normal"/>
        <w:numPr>
          <w:ilvl w:val="0"/>
          <w:numId w:val="22"/>
        </w:numPr>
        <w:tabs>
          <w:tab w:val="clear" w:pos="720"/>
          <w:tab w:val="left" w:pos="1440" w:leader="none"/>
          <w:tab w:val="left" w:pos="1620" w:leader="none"/>
        </w:tabs>
        <w:ind w:hanging="360" w:start="1440" w:end="0"/>
        <w:jc w:val="both"/>
        <w:rPr/>
      </w:pPr>
      <w:r>
        <w:rPr/>
        <w:t>High/low usage</w:t>
      </w:r>
    </w:p>
    <w:p>
      <w:pPr>
        <w:pStyle w:val="Normal"/>
        <w:numPr>
          <w:ilvl w:val="0"/>
          <w:numId w:val="22"/>
        </w:numPr>
        <w:tabs>
          <w:tab w:val="clear" w:pos="720"/>
          <w:tab w:val="left" w:pos="1440" w:leader="none"/>
          <w:tab w:val="left" w:pos="1620" w:leader="none"/>
        </w:tabs>
        <w:ind w:hanging="360" w:start="1440" w:end="0"/>
        <w:jc w:val="both"/>
        <w:rPr/>
      </w:pPr>
      <w:r>
        <w:rPr/>
        <w:t>Spike</w:t>
      </w:r>
    </w:p>
    <w:p>
      <w:pPr>
        <w:pStyle w:val="Normal"/>
        <w:numPr>
          <w:ilvl w:val="0"/>
          <w:numId w:val="22"/>
        </w:numPr>
        <w:tabs>
          <w:tab w:val="clear" w:pos="720"/>
          <w:tab w:val="left" w:pos="1440" w:leader="none"/>
          <w:tab w:val="left" w:pos="1620" w:leader="none"/>
        </w:tabs>
        <w:ind w:hanging="360" w:start="1440" w:end="0"/>
        <w:jc w:val="both"/>
        <w:rPr>
          <w:i/>
          <w:i/>
        </w:rPr>
      </w:pPr>
      <w:r>
        <w:rPr/>
        <w:t>Time stamp check of meter and meter reading device</w:t>
      </w:r>
    </w:p>
    <w:p>
      <w:pPr>
        <w:pStyle w:val="Normal"/>
        <w:numPr>
          <w:ilvl w:val="0"/>
          <w:numId w:val="12"/>
        </w:numPr>
        <w:jc w:val="both"/>
        <w:rPr/>
      </w:pPr>
      <w:r>
        <w:rPr/>
        <w:t xml:space="preserve">MV-90 generates meter statistics reports for daily reads.  From these statistics, AMR monitors expected versus actual meter reads as well as validation status.  </w:t>
      </w:r>
    </w:p>
    <w:p>
      <w:pPr>
        <w:pStyle w:val="Header"/>
        <w:tabs>
          <w:tab w:val="clear" w:pos="4536"/>
          <w:tab w:val="clear" w:pos="9072"/>
          <w:tab w:val="left" w:pos="1134" w:leader="none"/>
        </w:tabs>
        <w:rPr>
          <w:sz w:val="20"/>
        </w:rPr>
      </w:pPr>
      <w:r>
        <w:rPr>
          <w:sz w:val="20"/>
        </w:rPr>
      </w:r>
    </w:p>
    <w:p>
      <w:pPr>
        <w:pStyle w:val="BodyText"/>
        <w:rPr>
          <w:b w:val="false"/>
        </w:rPr>
      </w:pPr>
      <w:r>
        <w:rPr>
          <w:b w:val="false"/>
        </w:rPr>
        <w:t>2) Procedures in place to resolve failed data validations:</w:t>
      </w:r>
    </w:p>
    <w:p>
      <w:pPr>
        <w:pStyle w:val="Normal"/>
        <w:numPr>
          <w:ilvl w:val="0"/>
          <w:numId w:val="16"/>
        </w:numPr>
        <w:tabs>
          <w:tab w:val="left" w:pos="720" w:leader="none"/>
        </w:tabs>
        <w:ind w:hanging="360" w:start="720" w:end="0"/>
        <w:jc w:val="both"/>
        <w:rPr/>
      </w:pPr>
      <w:r>
        <w:rPr/>
        <w:t xml:space="preserve">On a daily basis, MV-90 performs a time synchronization check between the meter and meter reading device.  The meter time stamp should be time-synched within +/- three minutes.  If the meter time is within three minutes, MV-90 reads the meter and automatically resets the meter clock.  Wireless meters must be reset by the system.  </w:t>
      </w:r>
    </w:p>
    <w:p>
      <w:pPr>
        <w:pStyle w:val="Normal"/>
        <w:numPr>
          <w:ilvl w:val="0"/>
          <w:numId w:val="16"/>
        </w:numPr>
        <w:tabs>
          <w:tab w:val="left" w:pos="720" w:leader="none"/>
        </w:tabs>
        <w:ind w:hanging="360" w:start="720" w:end="0"/>
        <w:jc w:val="both"/>
        <w:rPr/>
      </w:pPr>
      <w:r>
        <w:rPr/>
        <w:t xml:space="preserve">MV-90 generates an exception report for each customer account.  AMR personnel review the exception reports in order to investigate failed validations.   The procedure for resolving a failed validation depends upon the nature of the failure.  These procedures include activities such as field visits, comparison to historical data and communication with the customer.  </w:t>
      </w:r>
    </w:p>
    <w:p>
      <w:pPr>
        <w:pStyle w:val="BodyText2"/>
        <w:rPr>
          <w:b/>
        </w:rPr>
      </w:pPr>
      <w:r>
        <w:rPr>
          <w:b/>
        </w:rPr>
      </w:r>
    </w:p>
    <w:p>
      <w:pPr>
        <w:pStyle w:val="BodyText"/>
        <w:rPr>
          <w:b w:val="false"/>
        </w:rPr>
      </w:pPr>
      <w:r>
        <w:rPr>
          <w:b w:val="false"/>
        </w:rPr>
        <w:t>3) Procedures in place to ensure compliance with related LRA estimation requirements:</w:t>
      </w:r>
    </w:p>
    <w:p>
      <w:pPr>
        <w:pStyle w:val="Normal"/>
        <w:numPr>
          <w:ilvl w:val="0"/>
          <w:numId w:val="25"/>
        </w:numPr>
        <w:tabs>
          <w:tab w:val="left" w:pos="720" w:leader="none"/>
        </w:tabs>
        <w:ind w:hanging="360" w:start="720" w:end="0"/>
        <w:jc w:val="both"/>
        <w:rPr/>
      </w:pPr>
      <w:r>
        <w:rPr/>
        <w:t xml:space="preserve">When necessary AMR estimates meter data five days after the end of the billing cycle (estimates are flagged as such during data transmission).  Estimates are performed manually within MV-90.  </w:t>
      </w:r>
    </w:p>
    <w:p>
      <w:pPr>
        <w:pStyle w:val="Normal"/>
        <w:numPr>
          <w:ilvl w:val="0"/>
          <w:numId w:val="25"/>
        </w:numPr>
        <w:tabs>
          <w:tab w:val="left" w:pos="720" w:leader="none"/>
        </w:tabs>
        <w:ind w:hanging="360" w:start="720" w:end="0"/>
        <w:jc w:val="both"/>
        <w:rPr/>
      </w:pPr>
      <w:r>
        <w:rPr/>
        <w:t>When the interval data to be estimated is two hours or less, data is estimated using point-to-point linear interpolation, per related CPUC specifications.</w:t>
      </w:r>
    </w:p>
    <w:p>
      <w:pPr>
        <w:pStyle w:val="Normal"/>
        <w:numPr>
          <w:ilvl w:val="0"/>
          <w:numId w:val="25"/>
        </w:numPr>
        <w:tabs>
          <w:tab w:val="left" w:pos="720" w:leader="none"/>
        </w:tabs>
        <w:ind w:hanging="360" w:start="720" w:end="0"/>
        <w:jc w:val="both"/>
        <w:rPr/>
      </w:pPr>
      <w:r>
        <w:rPr/>
        <w:t>When the interval data to be estimated exceeds two hours, data is estimated using like days and times during the same period, like days and times within the past 90 days, or like days and times from the prior year.</w:t>
      </w:r>
    </w:p>
    <w:p>
      <w:pPr>
        <w:pStyle w:val="Normal"/>
        <w:numPr>
          <w:ilvl w:val="0"/>
          <w:numId w:val="25"/>
        </w:numPr>
        <w:tabs>
          <w:tab w:val="left" w:pos="720" w:leader="none"/>
        </w:tabs>
        <w:ind w:hanging="360" w:start="720" w:end="0"/>
        <w:jc w:val="both"/>
        <w:rPr/>
      </w:pPr>
      <w:r>
        <w:rPr/>
        <w:t xml:space="preserve">AMR routinely reports the number of accounts and number of intervals containing estimated data via weekly “Percent Estimated Data” reports and graphs. AMR personnel use these reports to determine whether EES is complying with the CPUC requirement that no more than 10% of the accounts or 1% of the data intervals read monthly contain estimated data. </w:t>
      </w:r>
    </w:p>
    <w:p>
      <w:pPr>
        <w:pStyle w:val="Header"/>
        <w:tabs>
          <w:tab w:val="clear" w:pos="4536"/>
          <w:tab w:val="clear" w:pos="9072"/>
          <w:tab w:val="left" w:pos="1134" w:leader="none"/>
        </w:tabs>
        <w:rPr>
          <w:sz w:val="20"/>
        </w:rPr>
      </w:pPr>
      <w:r>
        <w:rPr>
          <w:sz w:val="20"/>
        </w:rPr>
      </w:r>
    </w:p>
    <w:p>
      <w:pPr>
        <w:pStyle w:val="BodyText"/>
        <w:ind w:hanging="180" w:start="180" w:end="0"/>
        <w:rPr>
          <w:b w:val="false"/>
        </w:rPr>
      </w:pPr>
      <w:r>
        <w:rPr>
          <w:b w:val="false"/>
        </w:rPr>
        <w:t>4) Procedures in place to ensure compliance with related CPUC data validation record keeping requirements:</w:t>
      </w:r>
    </w:p>
    <w:p>
      <w:pPr>
        <w:pStyle w:val="Normal"/>
        <w:numPr>
          <w:ilvl w:val="0"/>
          <w:numId w:val="9"/>
        </w:numPr>
        <w:tabs>
          <w:tab w:val="left" w:pos="720" w:leader="none"/>
        </w:tabs>
        <w:ind w:hanging="360" w:start="720" w:end="0"/>
        <w:jc w:val="both"/>
        <w:rPr/>
      </w:pPr>
      <w:r>
        <w:rPr/>
        <w:t>Post-VEE meter data is posted to the MDMA server and retained for at least twelve months, per CPUC standards.</w:t>
      </w:r>
    </w:p>
    <w:p>
      <w:pPr>
        <w:pStyle w:val="Normal"/>
        <w:numPr>
          <w:ilvl w:val="0"/>
          <w:numId w:val="9"/>
        </w:numPr>
        <w:tabs>
          <w:tab w:val="left" w:pos="720" w:leader="none"/>
          <w:tab w:val="left" w:pos="990" w:leader="none"/>
        </w:tabs>
        <w:ind w:hanging="360" w:start="720" w:end="0"/>
        <w:jc w:val="both"/>
        <w:rPr/>
      </w:pPr>
      <w:r>
        <w:rPr/>
        <w:t>Raw meter data is retained for a minimum of three years, per the related CPUC standards.</w:t>
      </w:r>
    </w:p>
    <w:p>
      <w:pPr>
        <w:pStyle w:val="EnvelopeReturn"/>
        <w:jc w:val="both"/>
        <w:rPr>
          <w:rFonts w:ascii="Times New Roman" w:hAnsi="Times New Roman" w:cs="Times New Roman"/>
        </w:rPr>
      </w:pPr>
      <w:r>
        <w:rPr>
          <w:rFonts w:cs="Times New Roman" w:ascii="Times New Roman" w:hAnsi="Times New Roman"/>
        </w:rPr>
      </w:r>
    </w:p>
    <w:p>
      <w:pPr>
        <w:pStyle w:val="BodyText"/>
        <w:ind w:hanging="180" w:start="180" w:end="0"/>
        <w:rPr>
          <w:b w:val="false"/>
        </w:rPr>
      </w:pPr>
      <w:r>
        <w:rPr>
          <w:b w:val="false"/>
        </w:rPr>
        <w:t>5) Procedures in place to ensure that all customer accounts are appropriately included in meter read transfers:</w:t>
      </w:r>
    </w:p>
    <w:p>
      <w:pPr>
        <w:pStyle w:val="Normal"/>
        <w:numPr>
          <w:ilvl w:val="0"/>
          <w:numId w:val="13"/>
        </w:numPr>
        <w:tabs>
          <w:tab w:val="left" w:pos="720" w:leader="none"/>
        </w:tabs>
        <w:ind w:hanging="360" w:start="720" w:end="0"/>
        <w:jc w:val="both"/>
        <w:rPr/>
      </w:pPr>
      <w:r>
        <w:rPr/>
        <w:t>EES runs a sync-up query with STAT on a daily basis.  The query identifies customer identification discrepancies, if any, between the STAT billing and MDMA 2.1 meter systems.  New customer account data (customer name, UDC account number, EES account number, street address, load zone, and rate class) is downloaded into MDMA 2.1.  Existing customer modifications (i.e., name, account number) are updated in MDMA 2.1.</w:t>
      </w:r>
    </w:p>
    <w:p>
      <w:pPr>
        <w:pStyle w:val="Normal"/>
        <w:numPr>
          <w:ilvl w:val="0"/>
          <w:numId w:val="13"/>
        </w:numPr>
        <w:tabs>
          <w:tab w:val="left" w:pos="720" w:leader="none"/>
          <w:tab w:val="left" w:pos="1003" w:leader="none"/>
        </w:tabs>
        <w:ind w:hanging="360" w:start="720" w:end="0"/>
        <w:jc w:val="both"/>
        <w:rPr/>
      </w:pPr>
      <w:r>
        <w:rPr/>
        <w:t xml:space="preserve">At the end of each meter’s billing cycle, MV-90 posts consumption data into MDMA 2.1.  Completeness of EES-metered data transfer from MV-90 to MDMA 2.1 is monitored by the system.  </w:t>
      </w:r>
    </w:p>
    <w:p>
      <w:pPr>
        <w:pStyle w:val="Normal"/>
        <w:numPr>
          <w:ilvl w:val="0"/>
          <w:numId w:val="13"/>
        </w:numPr>
        <w:tabs>
          <w:tab w:val="left" w:pos="720" w:leader="none"/>
          <w:tab w:val="left" w:pos="1003" w:leader="none"/>
        </w:tabs>
        <w:ind w:hanging="360" w:start="720" w:end="0"/>
        <w:jc w:val="both"/>
        <w:rPr/>
      </w:pPr>
      <w:r>
        <w:rPr/>
        <w:t>To ensure integrity of meter read transfers, MV-90 transfers actual usage data to MDMA 2.1 for settlement processing only after all validation checks have been passed.</w:t>
      </w:r>
    </w:p>
    <w:p>
      <w:pPr>
        <w:pStyle w:val="Normal"/>
        <w:numPr>
          <w:ilvl w:val="0"/>
          <w:numId w:val="13"/>
        </w:numPr>
        <w:tabs>
          <w:tab w:val="left" w:pos="720" w:leader="none"/>
          <w:tab w:val="left" w:pos="990" w:leader="none"/>
        </w:tabs>
        <w:ind w:hanging="360" w:start="720" w:end="0"/>
        <w:jc w:val="both"/>
        <w:rPr/>
      </w:pPr>
      <w:r>
        <w:rPr/>
        <w:t xml:space="preserve">UDC-metered data is downloaded from the applicable UDC via an EDI hub, and manually batch imported into MDMA 2.1.  Import logs are monitored for transmission errors and unusually large errors are investigated. </w:t>
      </w:r>
    </w:p>
    <w:p>
      <w:pPr>
        <w:pStyle w:val="Header"/>
        <w:tabs>
          <w:tab w:val="clear" w:pos="4536"/>
          <w:tab w:val="clear" w:pos="9072"/>
          <w:tab w:val="left" w:pos="1134" w:leader="none"/>
        </w:tabs>
        <w:rPr>
          <w:sz w:val="20"/>
        </w:rPr>
      </w:pPr>
      <w:r>
        <w:rPr>
          <w:sz w:val="20"/>
        </w:rPr>
      </w:r>
    </w:p>
    <w:p>
      <w:pPr>
        <w:pStyle w:val="BodyText"/>
        <w:rPr>
          <w:b w:val="false"/>
        </w:rPr>
      </w:pPr>
      <w:r>
        <w:rPr>
          <w:b w:val="false"/>
        </w:rPr>
        <w:t>6) Procedures in place to ensure that all metered data is captured in meter reading systems:</w:t>
      </w:r>
    </w:p>
    <w:p>
      <w:pPr>
        <w:pStyle w:val="Normal"/>
        <w:numPr>
          <w:ilvl w:val="0"/>
          <w:numId w:val="17"/>
        </w:numPr>
        <w:tabs>
          <w:tab w:val="left" w:pos="720" w:leader="none"/>
        </w:tabs>
        <w:ind w:hanging="360" w:start="720" w:end="0"/>
        <w:jc w:val="both"/>
        <w:rPr/>
      </w:pPr>
      <w:r>
        <w:rPr/>
        <w:t xml:space="preserve">MV-90 is scheduled to automatically contact all interval meters daily.  In addition, meters are contacted at the end of the applicable billing cycles. </w:t>
      </w:r>
    </w:p>
    <w:p>
      <w:pPr>
        <w:pStyle w:val="Normal"/>
        <w:numPr>
          <w:ilvl w:val="0"/>
          <w:numId w:val="17"/>
        </w:numPr>
        <w:tabs>
          <w:tab w:val="left" w:pos="720" w:leader="none"/>
        </w:tabs>
        <w:ind w:hanging="360" w:start="720" w:end="0"/>
        <w:jc w:val="both"/>
        <w:rPr/>
      </w:pPr>
      <w:r>
        <w:rPr/>
        <w:t>MV-90 produces exception reports for meters that do not have meter reads.  In the event that MV-90 has not received data from a phone-based meter for 3 consecutive days, a field visit and manual field read are scheduled.</w:t>
      </w:r>
    </w:p>
    <w:p>
      <w:pPr>
        <w:pStyle w:val="BodyText"/>
        <w:rPr/>
      </w:pPr>
      <w:r>
        <w:rPr/>
      </w:r>
    </w:p>
    <w:p>
      <w:pPr>
        <w:pStyle w:val="BodyText"/>
        <w:ind w:hanging="180" w:start="180" w:end="0"/>
        <w:rPr>
          <w:b w:val="false"/>
        </w:rPr>
      </w:pPr>
      <w:r>
        <w:rPr>
          <w:b w:val="false"/>
        </w:rPr>
        <w:t>7) Procedures in place to ensure that EES-metered interval data is posted to the MDMA server in a timely manner:</w:t>
      </w:r>
    </w:p>
    <w:p>
      <w:pPr>
        <w:pStyle w:val="Normal"/>
        <w:numPr>
          <w:ilvl w:val="0"/>
          <w:numId w:val="2"/>
        </w:numPr>
        <w:tabs>
          <w:tab w:val="left" w:pos="720" w:leader="none"/>
        </w:tabs>
        <w:ind w:hanging="360" w:start="720" w:end="0"/>
        <w:jc w:val="both"/>
        <w:rPr/>
      </w:pPr>
      <w:r>
        <w:rPr/>
        <w:t>AMR generates performance reports, including a weekly “On-Time Meter Reads” report and graph, to identify how timely this data is posted to the MDMA server.  These reports are reviewed to determine whether this data is being posted per the following CPUC requirements:</w:t>
      </w:r>
    </w:p>
    <w:p>
      <w:pPr>
        <w:pStyle w:val="Normal"/>
        <w:numPr>
          <w:ilvl w:val="0"/>
          <w:numId w:val="2"/>
        </w:numPr>
        <w:tabs>
          <w:tab w:val="left" w:pos="720" w:leader="none"/>
          <w:tab w:val="left" w:pos="1003" w:leader="none"/>
        </w:tabs>
        <w:ind w:hanging="360" w:start="720" w:end="0"/>
        <w:jc w:val="both"/>
        <w:rPr/>
      </w:pPr>
      <w:r>
        <w:rPr/>
        <w:t>80% of the meter data for reads scheduled to occur on a given date [i.e., Scheduled Read Date (SRD)], should be posted to the server on the day after the SRD.</w:t>
      </w:r>
    </w:p>
    <w:p>
      <w:pPr>
        <w:pStyle w:val="Normal"/>
        <w:numPr>
          <w:ilvl w:val="0"/>
          <w:numId w:val="2"/>
        </w:numPr>
        <w:tabs>
          <w:tab w:val="left" w:pos="720" w:leader="none"/>
          <w:tab w:val="left" w:pos="1003" w:leader="none"/>
        </w:tabs>
        <w:ind w:hanging="360" w:start="720" w:end="0"/>
        <w:jc w:val="both"/>
        <w:rPr/>
      </w:pPr>
      <w:r>
        <w:rPr/>
        <w:t>90% of the meter data should be posted to the server within two days after the SRD.</w:t>
      </w:r>
    </w:p>
    <w:p>
      <w:pPr>
        <w:pStyle w:val="Normal"/>
        <w:numPr>
          <w:ilvl w:val="0"/>
          <w:numId w:val="2"/>
        </w:numPr>
        <w:tabs>
          <w:tab w:val="left" w:pos="720" w:leader="none"/>
          <w:tab w:val="left" w:pos="1003" w:leader="none"/>
        </w:tabs>
        <w:ind w:hanging="360" w:start="720" w:end="0"/>
        <w:jc w:val="both"/>
        <w:rPr/>
      </w:pPr>
      <w:r>
        <w:rPr/>
        <w:t>99% of the meter data should be posted to the server within five days after the SRD.</w:t>
      </w:r>
    </w:p>
    <w:p>
      <w:pPr>
        <w:pStyle w:val="Header"/>
        <w:tabs>
          <w:tab w:val="clear" w:pos="4536"/>
          <w:tab w:val="clear" w:pos="9072"/>
          <w:tab w:val="left" w:pos="900" w:leader="none"/>
          <w:tab w:val="left" w:pos="1134" w:leader="none"/>
        </w:tabs>
        <w:rPr>
          <w:b/>
          <w:bCs/>
        </w:rPr>
      </w:pPr>
      <w:r>
        <w:rPr>
          <w:b/>
          <w:bCs/>
        </w:rPr>
      </w:r>
    </w:p>
    <w:p>
      <w:pPr>
        <w:pStyle w:val="Header"/>
        <w:tabs>
          <w:tab w:val="clear" w:pos="4536"/>
          <w:tab w:val="clear" w:pos="9072"/>
          <w:tab w:val="left" w:pos="900" w:leader="none"/>
          <w:tab w:val="left" w:pos="1134" w:leader="none"/>
        </w:tabs>
        <w:rPr>
          <w:sz w:val="20"/>
        </w:rPr>
      </w:pPr>
      <w:r>
        <w:rPr>
          <w:b/>
          <w:bCs/>
          <w:sz w:val="20"/>
        </w:rPr>
        <w:t>Review of Corrective Actions from Prior Audit</w:t>
      </w:r>
    </w:p>
    <w:p>
      <w:pPr>
        <w:pStyle w:val="BodyText"/>
        <w:numPr>
          <w:ilvl w:val="0"/>
          <w:numId w:val="10"/>
        </w:numPr>
        <w:rPr>
          <w:b w:val="false"/>
          <w:bCs/>
        </w:rPr>
      </w:pPr>
      <w:r>
        <w:rPr>
          <w:b w:val="false"/>
          <w:bCs/>
        </w:rPr>
        <w:t xml:space="preserve">The prior audit noted that when MV-90 generates an exception report for each customer account detailing failed customer meter validations, there is no formal process in place to ensure that all validation resolutions are adequately documented.  The system prompts the user to document all meter resolutions but does not require a user response.  The corrective action was to utilize MDMA 2.1 to track users, time of use, and the edits made.    Although MDMA 2.1 has been implemented, it is not currently being used to address this issue. </w:t>
      </w:r>
    </w:p>
    <w:p>
      <w:pPr>
        <w:pStyle w:val="BodyText"/>
        <w:rPr>
          <w:b w:val="false"/>
          <w:bCs/>
        </w:rPr>
      </w:pPr>
      <w:r>
        <w:rPr>
          <w:b w:val="false"/>
          <w:bCs/>
        </w:rPr>
      </w:r>
    </w:p>
    <w:p>
      <w:pPr>
        <w:pStyle w:val="BodyText"/>
        <w:rPr/>
      </w:pPr>
      <w:r>
        <w:rPr/>
        <w:t>Response to Review of Corrective Actions from Prior Audit</w:t>
      </w:r>
    </w:p>
    <w:p>
      <w:pPr>
        <w:pStyle w:val="BodyText"/>
        <w:numPr>
          <w:ilvl w:val="0"/>
          <w:numId w:val="10"/>
        </w:numPr>
        <w:rPr>
          <w:b w:val="false"/>
          <w:bCs/>
        </w:rPr>
      </w:pPr>
      <w:r>
        <w:rPr>
          <w:b w:val="false"/>
          <w:bCs/>
        </w:rPr>
        <w:t>Plans are to utilize MDMA 2.1 edit tracking functionality.</w:t>
      </w:r>
    </w:p>
    <w:p>
      <w:pPr>
        <w:pStyle w:val="BodyText"/>
        <w:rPr>
          <w:b w:val="false"/>
          <w:bCs/>
        </w:rPr>
      </w:pPr>
      <w:r>
        <w:rPr>
          <w:b w:val="false"/>
          <w:bCs/>
        </w:rPr>
      </w:r>
    </w:p>
    <w:p>
      <w:pPr>
        <w:pStyle w:val="BodyText"/>
        <w:rPr/>
      </w:pPr>
      <w:r>
        <w:rPr/>
        <w:t>Process Findings:</w:t>
      </w:r>
    </w:p>
    <w:p>
      <w:pPr>
        <w:pStyle w:val="BodyText"/>
        <w:numPr>
          <w:ilvl w:val="0"/>
          <w:numId w:val="20"/>
        </w:numPr>
        <w:rPr>
          <w:b w:val="false"/>
          <w:bCs/>
        </w:rPr>
      </w:pPr>
      <w:r>
        <w:rPr>
          <w:b w:val="false"/>
          <w:bCs/>
        </w:rPr>
        <w:t xml:space="preserve">The validation of some data required in STAT (the billing system) does not occur within STAT but within MDMA, resulting in a delay between the time data is entered into STAT and the time when the data is fully validated.  If the relevant validation processes were included in STAT with the ability to override the validation, issues would be identified earlier in the process and could be acted on without delaying the DASR process. </w:t>
      </w:r>
    </w:p>
    <w:p>
      <w:pPr>
        <w:pStyle w:val="BodyText"/>
        <w:rPr>
          <w:b w:val="false"/>
          <w:bCs/>
        </w:rPr>
      </w:pPr>
      <w:r>
        <w:rPr>
          <w:b w:val="false"/>
          <w:bCs/>
        </w:rPr>
      </w:r>
    </w:p>
    <w:p>
      <w:pPr>
        <w:pStyle w:val="BodyText"/>
        <w:rPr/>
      </w:pPr>
      <w:r>
        <w:rPr/>
        <w:t>Response to Findings:</w:t>
      </w:r>
    </w:p>
    <w:p>
      <w:pPr>
        <w:pStyle w:val="Normal"/>
        <w:rPr/>
      </w:pPr>
      <w:r>
        <w:rPr/>
      </w:r>
      <w:r>
        <w:br w:type="page"/>
      </w:r>
    </w:p>
    <w:p>
      <w:pPr>
        <w:pStyle w:val="Normal"/>
        <w:rPr>
          <w:b/>
          <w:u w:val="single"/>
        </w:rPr>
      </w:pPr>
      <w:r>
        <w:rPr>
          <w:b/>
          <w:u w:val="single"/>
        </w:rPr>
        <w:t>C.  ISO CONTROL OBJECTIVE:  SETTLEMENT METER DATA PROCESSING</w:t>
      </w:r>
    </w:p>
    <w:p>
      <w:pPr>
        <w:pStyle w:val="BodyText3"/>
        <w:rPr>
          <w:b/>
          <w:u w:val="single"/>
        </w:rPr>
      </w:pPr>
      <w:r>
        <w:rPr>
          <w:b/>
          <w:u w:val="single"/>
        </w:rPr>
      </w:r>
    </w:p>
    <w:p>
      <w:pPr>
        <w:pStyle w:val="BodyText"/>
        <w:rPr/>
      </w:pPr>
      <w:r>
        <w:rPr/>
        <w:t>ISO Objectives:</w:t>
      </w:r>
    </w:p>
    <w:p>
      <w:pPr>
        <w:pStyle w:val="Normal"/>
        <w:numPr>
          <w:ilvl w:val="0"/>
          <w:numId w:val="23"/>
        </w:numPr>
        <w:jc w:val="both"/>
        <w:rPr/>
      </w:pPr>
      <w:r>
        <w:rPr/>
        <w:t>All SC Metered Entities represented are included in the SC’s SQMD file.</w:t>
      </w:r>
    </w:p>
    <w:p>
      <w:pPr>
        <w:pStyle w:val="Normal"/>
        <w:numPr>
          <w:ilvl w:val="0"/>
          <w:numId w:val="23"/>
        </w:numPr>
        <w:jc w:val="both"/>
        <w:rPr/>
      </w:pPr>
      <w:r>
        <w:rPr/>
        <w:t>Load Profiles (LP’s), if applicable, are applied properly (i.e., use of correct profiles, applied to the correct rate class, and with appropriate time shift).</w:t>
      </w:r>
    </w:p>
    <w:p>
      <w:pPr>
        <w:pStyle w:val="Normal"/>
        <w:numPr>
          <w:ilvl w:val="0"/>
          <w:numId w:val="23"/>
        </w:numPr>
        <w:jc w:val="both"/>
        <w:rPr/>
      </w:pPr>
      <w:r>
        <w:rPr/>
        <w:t>Distribution Loss Factors (DLF’s), if applicable, are applied properly (i.e. use of correct DLF, and voltage class).</w:t>
      </w:r>
    </w:p>
    <w:p>
      <w:pPr>
        <w:pStyle w:val="Normal"/>
        <w:numPr>
          <w:ilvl w:val="0"/>
          <w:numId w:val="23"/>
        </w:numPr>
        <w:jc w:val="both"/>
        <w:rPr/>
      </w:pPr>
      <w:r>
        <w:rPr/>
        <w:t>Aggregation of meter data to the proper scheduling point.</w:t>
      </w:r>
    </w:p>
    <w:p>
      <w:pPr>
        <w:pStyle w:val="Normal"/>
        <w:numPr>
          <w:ilvl w:val="0"/>
          <w:numId w:val="23"/>
        </w:numPr>
        <w:jc w:val="both"/>
        <w:rPr/>
      </w:pPr>
      <w:r>
        <w:rPr/>
        <w:t>Proper creation of the SQMD file.</w:t>
      </w:r>
    </w:p>
    <w:p>
      <w:pPr>
        <w:pStyle w:val="Normal"/>
        <w:numPr>
          <w:ilvl w:val="0"/>
          <w:numId w:val="23"/>
        </w:numPr>
        <w:jc w:val="both"/>
        <w:rPr/>
      </w:pPr>
      <w:r>
        <w:rPr/>
        <w:t>Any estimation performed by the SC is documented and controlled.</w:t>
      </w:r>
    </w:p>
    <w:p>
      <w:pPr>
        <w:pStyle w:val="Normal"/>
        <w:numPr>
          <w:ilvl w:val="0"/>
          <w:numId w:val="23"/>
        </w:numPr>
        <w:jc w:val="both"/>
        <w:rPr/>
      </w:pPr>
      <w:r>
        <w:rPr/>
        <w:t>Any calculations, in order to support Existing Contracts or logical (pseudo) meters, are performed per the contracts.  All meter data used in the calculation is reviewed in the same manner as any other load or generation entity.</w:t>
      </w:r>
    </w:p>
    <w:p>
      <w:pPr>
        <w:pStyle w:val="Normal"/>
        <w:numPr>
          <w:ilvl w:val="0"/>
          <w:numId w:val="23"/>
        </w:numPr>
        <w:jc w:val="both"/>
        <w:rPr/>
      </w:pPr>
      <w:r>
        <w:rPr/>
        <w:t>Identification of any late meter data submittals and corrective actions.</w:t>
      </w:r>
    </w:p>
    <w:p>
      <w:pPr>
        <w:pStyle w:val="Normal"/>
        <w:numPr>
          <w:ilvl w:val="0"/>
          <w:numId w:val="23"/>
        </w:numPr>
        <w:jc w:val="both"/>
        <w:rPr/>
      </w:pPr>
      <w:r>
        <w:rPr/>
        <w:t>Validation routines evaluating the appropriateness and reasonableness of the submitted SQMD.</w:t>
      </w:r>
    </w:p>
    <w:p>
      <w:pPr>
        <w:pStyle w:val="Normal"/>
        <w:numPr>
          <w:ilvl w:val="0"/>
          <w:numId w:val="23"/>
        </w:numPr>
        <w:jc w:val="both"/>
        <w:rPr/>
      </w:pPr>
      <w:r>
        <w:rPr/>
        <w:t>If applicable, corrected meter data submitted after T + 45, with the cause of resubmittal and the corrective actions identified.</w:t>
      </w:r>
    </w:p>
    <w:p>
      <w:pPr>
        <w:pStyle w:val="Normal"/>
        <w:jc w:val="both"/>
        <w:rPr/>
      </w:pPr>
      <w:r>
        <w:rPr/>
      </w:r>
    </w:p>
    <w:p>
      <w:pPr>
        <w:pStyle w:val="Heading2"/>
        <w:numPr>
          <w:ilvl w:val="0"/>
          <w:numId w:val="11"/>
        </w:numPr>
        <w:ind w:hanging="0" w:start="0"/>
        <w:rPr/>
      </w:pPr>
      <w:r>
        <w:rPr/>
        <w:t>ISO CONTROL OBJECTIVE: SETTLEMENT QUALITY METER DATA</w:t>
      </w:r>
    </w:p>
    <w:p>
      <w:pPr>
        <w:pStyle w:val="Normal"/>
        <w:rPr>
          <w:b/>
        </w:rPr>
      </w:pPr>
      <w:r>
        <w:rPr>
          <w:b/>
        </w:rPr>
      </w:r>
    </w:p>
    <w:tbl>
      <w:tblPr>
        <w:tblW w:w="8928" w:type="dxa"/>
        <w:jc w:val="start"/>
        <w:tblInd w:w="0" w:type="dxa"/>
        <w:tblLayout w:type="fixed"/>
        <w:tblCellMar>
          <w:top w:w="0" w:type="dxa"/>
          <w:start w:w="108" w:type="dxa"/>
          <w:bottom w:w="0" w:type="dxa"/>
          <w:end w:w="108" w:type="dxa"/>
        </w:tblCellMar>
      </w:tblPr>
      <w:tblGrid>
        <w:gridCol w:w="1098"/>
        <w:gridCol w:w="810"/>
        <w:gridCol w:w="720"/>
        <w:gridCol w:w="720"/>
        <w:gridCol w:w="720"/>
        <w:gridCol w:w="720"/>
        <w:gridCol w:w="990"/>
        <w:gridCol w:w="720"/>
        <w:gridCol w:w="720"/>
        <w:gridCol w:w="720"/>
        <w:gridCol w:w="990"/>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1)</w:t>
            </w:r>
          </w:p>
          <w:p>
            <w:pPr>
              <w:pStyle w:val="Normal"/>
              <w:jc w:val="center"/>
              <w:rPr>
                <w:position w:val="-6"/>
                <w:sz w:val="16"/>
              </w:rPr>
            </w:pPr>
            <w:r>
              <w:rPr>
                <w:position w:val="-6"/>
                <w:sz w:val="16"/>
              </w:rPr>
              <w:t>All entities included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2)</w:t>
            </w:r>
          </w:p>
          <w:p>
            <w:pPr>
              <w:pStyle w:val="Normal"/>
              <w:jc w:val="center"/>
              <w:rPr>
                <w:position w:val="-6"/>
                <w:sz w:val="16"/>
              </w:rPr>
            </w:pPr>
            <w:r>
              <w:rPr>
                <w:position w:val="-6"/>
                <w:sz w:val="16"/>
              </w:rPr>
              <w:t>Load Profiles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3)</w:t>
            </w:r>
          </w:p>
          <w:p>
            <w:pPr>
              <w:pStyle w:val="Normal"/>
              <w:jc w:val="center"/>
              <w:rPr>
                <w:position w:val="-6"/>
                <w:sz w:val="16"/>
              </w:rPr>
            </w:pPr>
            <w:r>
              <w:rPr>
                <w:position w:val="-6"/>
                <w:sz w:val="16"/>
              </w:rPr>
              <w:t>Distrib. Loss Factors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4)</w:t>
            </w:r>
          </w:p>
          <w:p>
            <w:pPr>
              <w:pStyle w:val="Normal"/>
              <w:jc w:val="center"/>
              <w:rPr>
                <w:position w:val="-6"/>
                <w:sz w:val="16"/>
              </w:rPr>
            </w:pPr>
            <w:r>
              <w:rPr>
                <w:position w:val="-6"/>
                <w:sz w:val="16"/>
              </w:rPr>
              <w:t>Agg. of Meter Data</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5)</w:t>
            </w:r>
          </w:p>
          <w:p>
            <w:pPr>
              <w:pStyle w:val="Normal"/>
              <w:jc w:val="center"/>
              <w:rPr>
                <w:position w:val="-6"/>
                <w:sz w:val="16"/>
              </w:rPr>
            </w:pPr>
            <w:r>
              <w:rPr>
                <w:position w:val="-6"/>
                <w:sz w:val="16"/>
              </w:rPr>
            </w:r>
          </w:p>
          <w:p>
            <w:pPr>
              <w:pStyle w:val="Normal"/>
              <w:jc w:val="center"/>
              <w:rPr>
                <w:position w:val="-6"/>
                <w:sz w:val="16"/>
              </w:rPr>
            </w:pPr>
            <w:r>
              <w:rPr>
                <w:position w:val="-6"/>
                <w:sz w:val="16"/>
              </w:rPr>
              <w:t>SQMD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6)</w:t>
            </w:r>
          </w:p>
          <w:p>
            <w:pPr>
              <w:pStyle w:val="Normal"/>
              <w:jc w:val="center"/>
              <w:rPr>
                <w:position w:val="-6"/>
                <w:sz w:val="16"/>
              </w:rPr>
            </w:pPr>
            <w:r>
              <w:rPr>
                <w:position w:val="-6"/>
                <w:sz w:val="16"/>
              </w:rPr>
              <w:t>Doc. Estimation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7)</w:t>
            </w:r>
          </w:p>
          <w:p>
            <w:pPr>
              <w:pStyle w:val="Normal"/>
              <w:jc w:val="center"/>
              <w:rPr>
                <w:position w:val="-6"/>
                <w:sz w:val="16"/>
              </w:rPr>
            </w:pPr>
            <w:r>
              <w:rPr>
                <w:position w:val="-6"/>
                <w:sz w:val="16"/>
              </w:rPr>
            </w:r>
          </w:p>
          <w:p>
            <w:pPr>
              <w:pStyle w:val="Normal"/>
              <w:jc w:val="center"/>
              <w:rPr>
                <w:position w:val="-6"/>
                <w:sz w:val="16"/>
              </w:rPr>
            </w:pPr>
            <w:r>
              <w:rPr>
                <w:position w:val="-6"/>
                <w:sz w:val="16"/>
              </w:rPr>
              <w:t>Calcs*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8)</w:t>
            </w:r>
          </w:p>
          <w:p>
            <w:pPr>
              <w:pStyle w:val="Normal"/>
              <w:jc w:val="center"/>
              <w:rPr>
                <w:position w:val="-6"/>
                <w:sz w:val="16"/>
              </w:rPr>
            </w:pPr>
            <w:r>
              <w:rPr>
                <w:position w:val="-6"/>
                <w:sz w:val="16"/>
              </w:rPr>
              <w:t>Late data</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9)</w:t>
            </w:r>
          </w:p>
          <w:p>
            <w:pPr>
              <w:pStyle w:val="Normal"/>
              <w:jc w:val="center"/>
              <w:rPr>
                <w:position w:val="-6"/>
                <w:sz w:val="16"/>
              </w:rPr>
            </w:pPr>
            <w:r>
              <w:rPr>
                <w:position w:val="-6"/>
                <w:sz w:val="16"/>
              </w:rPr>
              <w:t>SQMD Validation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10)</w:t>
            </w:r>
          </w:p>
          <w:p>
            <w:pPr>
              <w:pStyle w:val="Normal"/>
              <w:jc w:val="center"/>
              <w:rPr>
                <w:position w:val="-6"/>
                <w:sz w:val="16"/>
              </w:rPr>
            </w:pPr>
            <w:r>
              <w:rPr>
                <w:position w:val="-6"/>
                <w:sz w:val="16"/>
              </w:rPr>
              <w:t>Cause of Resubmittal</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1</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2</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3</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4</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5</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6</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7</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8</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9</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10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sz w:val="16"/>
        </w:rPr>
      </w:pPr>
      <w:r>
        <w:rPr>
          <w:sz w:val="16"/>
        </w:rPr>
        <w:t>*Not applicable</w:t>
      </w:r>
    </w:p>
    <w:p>
      <w:pPr>
        <w:pStyle w:val="Normal"/>
        <w:rPr>
          <w:sz w:val="16"/>
        </w:rPr>
      </w:pPr>
      <w:r>
        <w:rPr>
          <w:sz w:val="16"/>
        </w:rPr>
      </w:r>
    </w:p>
    <w:p>
      <w:pPr>
        <w:pStyle w:val="Heading4"/>
        <w:rPr/>
      </w:pPr>
      <w:r>
        <w:rPr/>
        <w:t>Procedures in Place:</w:t>
      </w:r>
    </w:p>
    <w:p>
      <w:pPr>
        <w:pStyle w:val="Normal"/>
        <w:numPr>
          <w:ilvl w:val="0"/>
          <w:numId w:val="24"/>
        </w:numPr>
        <w:jc w:val="both"/>
        <w:rPr/>
      </w:pPr>
      <w:r>
        <w:rPr/>
        <w:t xml:space="preserve">On a daily basis, the company downloads meter usage data from UDC EDI web-server and EES’s MV-90 server.  For UDC usage, EES manually prepares an import log that details the number of records available on the hub and the number of records properly downloaded into the MDMA 2.1 system.  In the event that the percentage of records downloaded is not consistent with the prior day, EES contacts the appropriate UDC to resolve the discrepancy.  </w:t>
      </w:r>
    </w:p>
    <w:p>
      <w:pPr>
        <w:pStyle w:val="Normal"/>
        <w:numPr>
          <w:ilvl w:val="0"/>
          <w:numId w:val="24"/>
        </w:numPr>
        <w:jc w:val="both"/>
        <w:rPr/>
      </w:pPr>
      <w:r>
        <w:rPr/>
        <w:t xml:space="preserve">Monday, Wednesday, and Friday mornings, load profiles are manually imported into MDMA 2.1 from UDC websites via a web server.  The server downloads all new files posted to the UDC website since the date of the last read.  A count of the number of UDC files opened and closed is logged. </w:t>
      </w:r>
    </w:p>
    <w:p>
      <w:pPr>
        <w:pStyle w:val="Normal"/>
        <w:numPr>
          <w:ilvl w:val="0"/>
          <w:numId w:val="24"/>
        </w:numPr>
        <w:jc w:val="both"/>
        <w:rPr/>
      </w:pPr>
      <w:r>
        <w:rPr/>
        <w:t xml:space="preserve">On the first and fifteenth of each month, DLF’s are downloaded from the PGE, SCE, and SDG&amp;E websites into MDMA 2.1 via an EES web server.  </w:t>
      </w:r>
    </w:p>
    <w:p>
      <w:pPr>
        <w:pStyle w:val="Normal"/>
        <w:numPr>
          <w:ilvl w:val="0"/>
          <w:numId w:val="24"/>
        </w:numPr>
        <w:jc w:val="both"/>
        <w:rPr/>
      </w:pPr>
      <w:r>
        <w:rPr/>
        <w:t>When processing meter data, in the event that DLFs are missing from data downloaded from PGE, MDMA 2.1 defaults the DLF value to one.  This control ensures that usage data will be processed and included in the SQMD file.</w:t>
      </w:r>
    </w:p>
    <w:p>
      <w:pPr>
        <w:pStyle w:val="Normal"/>
        <w:numPr>
          <w:ilvl w:val="0"/>
          <w:numId w:val="24"/>
        </w:numPr>
        <w:jc w:val="both"/>
        <w:rPr/>
      </w:pPr>
      <w:r>
        <w:rPr/>
        <w:t>After meter processing is complete, MDMA 2.1 aggregates usage by Demand Zone based on information entered during the meter set up process.</w:t>
      </w:r>
    </w:p>
    <w:p>
      <w:pPr>
        <w:pStyle w:val="Normal"/>
        <w:numPr>
          <w:ilvl w:val="0"/>
          <w:numId w:val="24"/>
        </w:numPr>
        <w:jc w:val="both"/>
        <w:rPr/>
      </w:pPr>
      <w:r>
        <w:rPr/>
        <w:t>MDMA 2.1 automatically processes an SQMD file each night based on the date argument (day-41).</w:t>
      </w:r>
    </w:p>
    <w:p>
      <w:pPr>
        <w:pStyle w:val="Normal"/>
        <w:numPr>
          <w:ilvl w:val="0"/>
          <w:numId w:val="24"/>
        </w:numPr>
        <w:jc w:val="both"/>
        <w:rPr/>
      </w:pPr>
      <w:r>
        <w:rPr/>
        <w:t>System-generated SQMD process logs are generated each night and examined the morning after the SQMD file is created.</w:t>
      </w:r>
    </w:p>
    <w:p>
      <w:pPr>
        <w:pStyle w:val="Normal"/>
        <w:numPr>
          <w:ilvl w:val="0"/>
          <w:numId w:val="24"/>
        </w:numPr>
        <w:jc w:val="both"/>
        <w:rPr/>
      </w:pPr>
      <w:r>
        <w:rPr/>
        <w:t>EES personnel review the SQMD file for obvious errors.</w:t>
      </w:r>
    </w:p>
    <w:p>
      <w:pPr>
        <w:pStyle w:val="Normal"/>
        <w:numPr>
          <w:ilvl w:val="0"/>
          <w:numId w:val="24"/>
        </w:numPr>
        <w:jc w:val="both"/>
        <w:rPr/>
      </w:pPr>
      <w:r>
        <w:rPr/>
        <w:t xml:space="preserve">After the SQMD file is sent to EPMI, reported usage is graphed against MDMA usage prior to application of load profiles and distribution loss factors.  The reported usage is also graphed against the weekday specific average of MDMA usage prior to application of load profiles and distribution loss factors.  Abnormal usage trends and inconsistencies between reported usage and MDMA usage are investigated.  In the event that the reported SQMD file is determined to be materially incorrect, SQMD files are resubmitted to the ISO with corrected data. </w:t>
      </w:r>
    </w:p>
    <w:p>
      <w:pPr>
        <w:pStyle w:val="Normal"/>
        <w:numPr>
          <w:ilvl w:val="0"/>
          <w:numId w:val="24"/>
        </w:numPr>
        <w:jc w:val="both"/>
        <w:rPr/>
      </w:pPr>
      <w:r>
        <w:rPr/>
        <w:t>At trade date plus 41 days, EPMI receives SQMD usage files from its customers.  EPMI’s FTP server automatically converts the customer usage into MDEF format and submits the document to the ISO.  An e-mail notification is sent to EPMI when the file is submitted to the ISO.  After submission to the ISO, EPMI performs a high-level reasonableness check using scheduled and metered usage by demand zone.  In the event that metered usage is determined to be inaccurate prior to trade date plus 45 days, EPMI resubmits customer usage to the ISO.</w:t>
      </w:r>
    </w:p>
    <w:p>
      <w:pPr>
        <w:pStyle w:val="Normal"/>
        <w:jc w:val="both"/>
        <w:rPr/>
      </w:pPr>
      <w:r>
        <w:rPr/>
      </w:r>
    </w:p>
    <w:p>
      <w:pPr>
        <w:pStyle w:val="Normal"/>
        <w:jc w:val="both"/>
        <w:rPr>
          <w:b/>
          <w:bCs/>
        </w:rPr>
      </w:pPr>
      <w:r>
        <w:rPr>
          <w:b/>
          <w:bCs/>
        </w:rPr>
        <w:t xml:space="preserve">Detailed Testing Procedures: </w:t>
      </w:r>
    </w:p>
    <w:p>
      <w:pPr>
        <w:pStyle w:val="BodyText3"/>
        <w:rPr/>
      </w:pPr>
      <w:r>
        <w:rPr/>
        <w:t>In testing the accuracy of the settlement meter usage reporting process, meter usage data from 2/15/00, 6/11/00, 7/15/00, 8/7/00 and 12/27/00 was selected.  These days represent high UFE days from each quarter of 2000.  The data from these days was reprocessed through the production environment to generate SQMD meter usage.  Load profiles and distribution loss factors were manually applied through a Microsoft Excel model to raw meter data as appropriate, and compared with the information processed through the production environment.  The meter data tested included both interval and time-of-use meters read by EES, PG&amp;E, SDG&amp;E and SCE.    In total 364 meters, 287 interval meters and 77 time of use meters, were tested.   Under this testing methodology, if manually calculated meter usage agreed with the usage generated from the production environment, it was determined that the raw meter data was being processed correctly.  Validation, estimation and editing processes were reviewed for reasonableness and for compliance with ISO standards.  Detail testing procedures are as follows:</w:t>
      </w:r>
    </w:p>
    <w:p>
      <w:pPr>
        <w:pStyle w:val="BodyText3"/>
        <w:rPr/>
      </w:pPr>
      <w:r>
        <w:rPr/>
      </w:r>
    </w:p>
    <w:p>
      <w:pPr>
        <w:pStyle w:val="BodyText3"/>
        <w:numPr>
          <w:ilvl w:val="0"/>
          <w:numId w:val="3"/>
        </w:numPr>
        <w:tabs>
          <w:tab w:val="clear" w:pos="720"/>
          <w:tab w:val="left" w:pos="360" w:leader="none"/>
        </w:tabs>
        <w:ind w:hanging="360" w:start="360" w:end="0"/>
        <w:rPr/>
      </w:pPr>
      <w:r>
        <w:rPr>
          <w:u w:val="single"/>
        </w:rPr>
        <w:t>Interval Meter Usage:</w:t>
      </w:r>
      <w:r>
        <w:rPr/>
        <w:t xml:space="preserve">  In testing the accuracy of interval meter data, the UDC and Voltage Class was determined using customer information contained in MDMA.  After determining the applicable UDC and voltage class, DLFs were applied to the hourly meter data using data downloaded from PG&amp;E, SDG&amp;E and SCE websites.  Finally, the total usage was compared with the total calculated through the production environment.  </w:t>
      </w:r>
    </w:p>
    <w:p>
      <w:pPr>
        <w:pStyle w:val="BodyText3"/>
        <w:rPr/>
      </w:pPr>
      <w:r>
        <w:rPr/>
      </w:r>
    </w:p>
    <w:p>
      <w:pPr>
        <w:pStyle w:val="BodyText3"/>
        <w:numPr>
          <w:ilvl w:val="0"/>
          <w:numId w:val="3"/>
        </w:numPr>
        <w:tabs>
          <w:tab w:val="clear" w:pos="720"/>
          <w:tab w:val="left" w:pos="360" w:leader="none"/>
        </w:tabs>
        <w:ind w:hanging="360" w:start="360" w:end="0"/>
        <w:rPr/>
      </w:pPr>
      <w:r>
        <w:rPr>
          <w:u w:val="single"/>
        </w:rPr>
        <w:t>Time of Use Meter Data:</w:t>
      </w:r>
      <w:r>
        <w:rPr/>
        <w:t xml:space="preserve">  In testing the accuracy of time of use meter data, the applicable UDC, Rate Class, Voltage Class and Load Profile for each meter was determined using information contained in MDMA.  Usage was manually profiled using the applicable load profiles downloaded from the PG&amp;E, SDG&amp;E and SCE websites.  After determining profiled meter usage, the DLFs downloaded from the PG&amp;E, SDG&amp;E and SCE websites were applied to provide the total usage.  Finally, the total usage was compared with the total calculated through the production environment.  </w:t>
      </w:r>
    </w:p>
    <w:p>
      <w:pPr>
        <w:pStyle w:val="BodyText3"/>
        <w:rPr/>
      </w:pPr>
      <w:r>
        <w:rPr/>
      </w:r>
    </w:p>
    <w:p>
      <w:pPr>
        <w:pStyle w:val="BodyText3"/>
        <w:numPr>
          <w:ilvl w:val="0"/>
          <w:numId w:val="3"/>
        </w:numPr>
        <w:tabs>
          <w:tab w:val="clear" w:pos="720"/>
          <w:tab w:val="left" w:pos="360" w:leader="none"/>
        </w:tabs>
        <w:ind w:hanging="360" w:start="360" w:end="0"/>
        <w:rPr/>
      </w:pPr>
      <w:r>
        <w:rPr>
          <w:u w:val="single"/>
        </w:rPr>
        <w:t>SQMD / MDEF Conversion:</w:t>
      </w:r>
      <w:r>
        <w:rPr/>
        <w:t xml:space="preserve">  In testing the integrity of the data submitted to ISO, the total usage from all meters per the detailed data was compared with both the total meter usage per the summary data and the MDEF file.  </w:t>
      </w:r>
    </w:p>
    <w:p>
      <w:pPr>
        <w:pStyle w:val="Normal"/>
        <w:tabs>
          <w:tab w:val="clear" w:pos="720"/>
          <w:tab w:val="left" w:pos="630" w:leader="none"/>
        </w:tabs>
        <w:jc w:val="both"/>
        <w:rPr/>
      </w:pPr>
      <w:r>
        <w:rPr/>
      </w:r>
    </w:p>
    <w:p>
      <w:pPr>
        <w:pStyle w:val="EnvelopeReturn"/>
        <w:tabs>
          <w:tab w:val="clear" w:pos="1134"/>
          <w:tab w:val="left" w:pos="630" w:leader="none"/>
        </w:tabs>
        <w:spacing w:lineRule="auto" w:line="240"/>
        <w:rPr>
          <w:rFonts w:ascii="Times New Roman" w:hAnsi="Times New Roman" w:cs="Times New Roman"/>
          <w:b/>
          <w:bCs/>
        </w:rPr>
      </w:pPr>
      <w:r>
        <w:rPr>
          <w:rFonts w:cs="Times New Roman" w:ascii="Times New Roman" w:hAnsi="Times New Roman"/>
          <w:b/>
          <w:bCs/>
        </w:rPr>
        <w:t>Review of Corrective Actions from Previous Audits</w:t>
      </w:r>
    </w:p>
    <w:p>
      <w:pPr>
        <w:pStyle w:val="BodyText"/>
        <w:numPr>
          <w:ilvl w:val="0"/>
          <w:numId w:val="8"/>
        </w:numPr>
        <w:rPr>
          <w:b w:val="false"/>
          <w:bCs/>
        </w:rPr>
      </w:pPr>
      <w:r>
        <w:rPr>
          <w:b w:val="false"/>
          <w:bCs/>
        </w:rPr>
        <w:t>All issues noted in the prior audits have been addressed.</w:t>
      </w:r>
    </w:p>
    <w:p>
      <w:pPr>
        <w:pStyle w:val="BodyText"/>
        <w:rPr>
          <w:b w:val="false"/>
          <w:bCs/>
        </w:rPr>
      </w:pPr>
      <w:r>
        <w:rPr>
          <w:b w:val="false"/>
          <w:bCs/>
        </w:rPr>
      </w:r>
    </w:p>
    <w:p>
      <w:pPr>
        <w:pStyle w:val="BodyText"/>
        <w:rPr/>
      </w:pPr>
      <w:r>
        <w:rPr/>
        <w:t>Findings Related to Testing Procedures:</w:t>
      </w:r>
    </w:p>
    <w:p>
      <w:pPr>
        <w:pStyle w:val="Normal"/>
        <w:numPr>
          <w:ilvl w:val="0"/>
          <w:numId w:val="18"/>
        </w:numPr>
        <w:rPr/>
      </w:pPr>
      <w:r>
        <w:rPr/>
        <w:t xml:space="preserve">MDMA and STAT data is not compared on a routine basis. </w:t>
      </w:r>
    </w:p>
    <w:p>
      <w:pPr>
        <w:pStyle w:val="Normal"/>
        <w:numPr>
          <w:ilvl w:val="0"/>
          <w:numId w:val="18"/>
        </w:numPr>
        <w:rPr/>
      </w:pPr>
      <w:r>
        <w:rPr/>
        <w:t>Consumption data is not consistently transferred to the SQMD file submitted to ISO accurately.  The cause of variance could not be identified.</w:t>
      </w:r>
    </w:p>
    <w:p>
      <w:pPr>
        <w:pStyle w:val="Normal"/>
        <w:numPr>
          <w:ilvl w:val="0"/>
          <w:numId w:val="18"/>
        </w:numPr>
        <w:rPr/>
      </w:pPr>
      <w:r>
        <w:rPr/>
        <w:t xml:space="preserve">SQMD file submitted to ISO is not in compliance with the CPUC guidelines that no more than either 10% of the accounts or 1% of the data intervals read monthly contain estimated data. </w:t>
      </w:r>
    </w:p>
    <w:p>
      <w:pPr>
        <w:pStyle w:val="Normal"/>
        <w:rPr/>
      </w:pPr>
      <w:r>
        <w:rPr/>
      </w:r>
    </w:p>
    <w:p>
      <w:pPr>
        <w:pStyle w:val="EnvelopeReturn"/>
        <w:tabs>
          <w:tab w:val="clear" w:pos="1134"/>
        </w:tabs>
        <w:spacing w:lineRule="auto" w:line="240"/>
        <w:rPr>
          <w:rFonts w:ascii="Times New Roman" w:hAnsi="Times New Roman" w:cs="Times New Roman"/>
        </w:rPr>
      </w:pPr>
      <w:r>
        <w:rPr>
          <w:rFonts w:cs="Times New Roman" w:ascii="Times New Roman" w:hAnsi="Times New Roman"/>
        </w:rPr>
      </w:r>
    </w:p>
    <w:p>
      <w:pPr>
        <w:pStyle w:val="BodyText"/>
        <w:tabs>
          <w:tab w:val="clear" w:pos="720"/>
          <w:tab w:val="left" w:pos="630" w:leader="none"/>
        </w:tabs>
        <w:rPr/>
      </w:pPr>
      <w:r>
        <w:rPr/>
        <w:t>Response to Findings:</w:t>
      </w:r>
    </w:p>
    <w:p>
      <w:pPr>
        <w:pStyle w:val="Normal"/>
        <w:tabs>
          <w:tab w:val="clear" w:pos="720"/>
          <w:tab w:val="left" w:pos="630" w:leader="none"/>
        </w:tabs>
        <w:rPr/>
      </w:pPr>
      <w:r>
        <w:rPr/>
        <w:t>Plans are to compare usage and billing information.</w:t>
      </w:r>
      <w:r>
        <w:br w:type="page"/>
      </w:r>
    </w:p>
    <w:p>
      <w:pPr>
        <w:pStyle w:val="Heading"/>
        <w:rPr>
          <w:b w:val="false"/>
          <w:sz w:val="20"/>
        </w:rPr>
      </w:pPr>
      <w:r>
        <w:rPr/>
        <w:t>2001 ISO Meter Audit: Abbreviations / Definitions</w:t>
      </w:r>
    </w:p>
    <w:p>
      <w:pPr>
        <w:pStyle w:val="Heading"/>
        <w:jc w:val="start"/>
        <w:rPr>
          <w:b w:val="false"/>
          <w:sz w:val="20"/>
        </w:rPr>
      </w:pPr>
      <w:r>
        <w:rPr>
          <w:b w:val="false"/>
          <w:sz w:val="20"/>
        </w:rPr>
      </w:r>
    </w:p>
    <w:p>
      <w:pPr>
        <w:pStyle w:val="Heading"/>
        <w:jc w:val="start"/>
        <w:rPr/>
      </w:pPr>
      <w:r>
        <w:rPr/>
      </w:r>
    </w:p>
    <w:p>
      <w:pPr>
        <w:pStyle w:val="Normal"/>
        <w:tabs>
          <w:tab w:val="clear" w:pos="720"/>
          <w:tab w:val="left" w:pos="990" w:leader="none"/>
        </w:tabs>
        <w:spacing w:lineRule="auto" w:line="360"/>
        <w:jc w:val="both"/>
        <w:rPr/>
      </w:pPr>
      <w:r>
        <w:rPr/>
        <w:t>AMR</w:t>
        <w:tab/>
        <w:t>Automated Meter Reading Operations</w:t>
      </w:r>
    </w:p>
    <w:p>
      <w:pPr>
        <w:pStyle w:val="Normal"/>
        <w:tabs>
          <w:tab w:val="clear" w:pos="720"/>
          <w:tab w:val="left" w:pos="990" w:leader="none"/>
        </w:tabs>
        <w:spacing w:lineRule="auto" w:line="360"/>
        <w:jc w:val="both"/>
        <w:rPr/>
      </w:pPr>
      <w:r>
        <w:rPr/>
        <w:t>CPUC</w:t>
        <w:tab/>
        <w:t>California Public Utilities Commission</w:t>
      </w:r>
    </w:p>
    <w:p>
      <w:pPr>
        <w:pStyle w:val="Normal"/>
        <w:tabs>
          <w:tab w:val="clear" w:pos="720"/>
          <w:tab w:val="left" w:pos="990" w:leader="none"/>
        </w:tabs>
        <w:spacing w:lineRule="auto" w:line="360"/>
        <w:jc w:val="both"/>
        <w:rPr/>
      </w:pPr>
      <w:r>
        <w:rPr/>
        <w:t>CT</w:t>
        <w:tab/>
        <w:t>Current Transformer</w:t>
      </w:r>
    </w:p>
    <w:p>
      <w:pPr>
        <w:pStyle w:val="Normal"/>
        <w:tabs>
          <w:tab w:val="clear" w:pos="720"/>
          <w:tab w:val="left" w:pos="990" w:leader="none"/>
        </w:tabs>
        <w:spacing w:lineRule="auto" w:line="360"/>
        <w:jc w:val="both"/>
        <w:rPr/>
      </w:pPr>
      <w:r>
        <w:rPr/>
        <w:t>DASR</w:t>
        <w:tab/>
        <w:t>Direct Access Service Request</w:t>
      </w:r>
    </w:p>
    <w:p>
      <w:pPr>
        <w:pStyle w:val="Normal"/>
        <w:tabs>
          <w:tab w:val="clear" w:pos="720"/>
          <w:tab w:val="left" w:pos="990" w:leader="none"/>
        </w:tabs>
        <w:spacing w:lineRule="auto" w:line="360"/>
        <w:jc w:val="both"/>
        <w:rPr/>
      </w:pPr>
      <w:r>
        <w:rPr/>
        <w:t>DLF</w:t>
        <w:tab/>
        <w:t>Distribution Loss Factor</w:t>
      </w:r>
    </w:p>
    <w:p>
      <w:pPr>
        <w:pStyle w:val="Normal"/>
        <w:tabs>
          <w:tab w:val="clear" w:pos="720"/>
          <w:tab w:val="left" w:pos="990" w:leader="none"/>
        </w:tabs>
        <w:spacing w:lineRule="auto" w:line="360"/>
        <w:jc w:val="both"/>
        <w:rPr/>
      </w:pPr>
      <w:r>
        <w:rPr/>
        <w:t>ISO</w:t>
        <w:tab/>
        <w:t>Independent System Operator</w:t>
      </w:r>
    </w:p>
    <w:p>
      <w:pPr>
        <w:pStyle w:val="Normal"/>
        <w:tabs>
          <w:tab w:val="clear" w:pos="720"/>
          <w:tab w:val="left" w:pos="990" w:leader="none"/>
        </w:tabs>
        <w:spacing w:lineRule="auto" w:line="360"/>
        <w:jc w:val="both"/>
        <w:rPr/>
      </w:pPr>
      <w:r>
        <w:rPr/>
        <w:t>LP</w:t>
        <w:tab/>
        <w:t>Load Profile</w:t>
      </w:r>
    </w:p>
    <w:p>
      <w:pPr>
        <w:pStyle w:val="Normal"/>
        <w:tabs>
          <w:tab w:val="clear" w:pos="720"/>
          <w:tab w:val="left" w:pos="990" w:leader="none"/>
        </w:tabs>
        <w:spacing w:lineRule="auto" w:line="360"/>
        <w:jc w:val="both"/>
        <w:rPr/>
      </w:pPr>
      <w:r>
        <w:rPr/>
        <w:t>LRA</w:t>
        <w:tab/>
        <w:t>Local Regulatory Authority</w:t>
      </w:r>
    </w:p>
    <w:p>
      <w:pPr>
        <w:pStyle w:val="Normal"/>
        <w:tabs>
          <w:tab w:val="clear" w:pos="720"/>
          <w:tab w:val="left" w:pos="990" w:leader="none"/>
        </w:tabs>
        <w:spacing w:lineRule="auto" w:line="360"/>
        <w:jc w:val="both"/>
        <w:rPr/>
      </w:pPr>
      <w:r>
        <w:rPr/>
        <w:t>MI</w:t>
        <w:tab/>
        <w:t>Meter Investigation report</w:t>
      </w:r>
    </w:p>
    <w:p>
      <w:pPr>
        <w:pStyle w:val="Normal"/>
        <w:tabs>
          <w:tab w:val="clear" w:pos="720"/>
          <w:tab w:val="left" w:pos="990" w:leader="none"/>
        </w:tabs>
        <w:spacing w:lineRule="auto" w:line="360"/>
        <w:jc w:val="both"/>
        <w:rPr/>
      </w:pPr>
      <w:r>
        <w:rPr/>
        <w:t>MIRN</w:t>
        <w:tab/>
        <w:t>Meter Installation/Removal Notification</w:t>
      </w:r>
    </w:p>
    <w:p>
      <w:pPr>
        <w:pStyle w:val="Normal"/>
        <w:tabs>
          <w:tab w:val="clear" w:pos="720"/>
          <w:tab w:val="left" w:pos="990" w:leader="none"/>
        </w:tabs>
        <w:spacing w:lineRule="auto" w:line="360"/>
        <w:jc w:val="both"/>
        <w:rPr/>
      </w:pPr>
      <w:r>
        <w:rPr/>
        <w:t>MFO</w:t>
        <w:tab/>
        <w:t>Meter Field Operations</w:t>
      </w:r>
    </w:p>
    <w:p>
      <w:pPr>
        <w:pStyle w:val="Normal"/>
        <w:tabs>
          <w:tab w:val="clear" w:pos="720"/>
          <w:tab w:val="left" w:pos="990" w:leader="none"/>
        </w:tabs>
        <w:spacing w:lineRule="auto" w:line="360"/>
        <w:jc w:val="both"/>
        <w:rPr/>
      </w:pPr>
      <w:r>
        <w:rPr/>
        <w:t>MSP</w:t>
        <w:tab/>
        <w:t>Meter Service Provider</w:t>
      </w:r>
    </w:p>
    <w:p>
      <w:pPr>
        <w:pStyle w:val="Normal"/>
        <w:tabs>
          <w:tab w:val="clear" w:pos="720"/>
          <w:tab w:val="left" w:pos="990" w:leader="none"/>
        </w:tabs>
        <w:spacing w:lineRule="auto" w:line="360"/>
        <w:jc w:val="both"/>
        <w:rPr/>
      </w:pPr>
      <w:r>
        <w:rPr/>
        <w:t>OMD</w:t>
        <w:tab/>
        <w:t>Operations and Maintenance Desk</w:t>
      </w:r>
    </w:p>
    <w:p>
      <w:pPr>
        <w:pStyle w:val="Normal"/>
        <w:tabs>
          <w:tab w:val="clear" w:pos="720"/>
          <w:tab w:val="left" w:pos="990" w:leader="none"/>
        </w:tabs>
        <w:spacing w:lineRule="auto" w:line="360"/>
        <w:jc w:val="both"/>
        <w:rPr/>
      </w:pPr>
      <w:r>
        <w:rPr/>
        <w:t>PT</w:t>
        <w:tab/>
        <w:t>Potential Transformer</w:t>
      </w:r>
    </w:p>
    <w:p>
      <w:pPr>
        <w:pStyle w:val="Normal"/>
        <w:tabs>
          <w:tab w:val="clear" w:pos="720"/>
          <w:tab w:val="left" w:pos="990" w:leader="none"/>
        </w:tabs>
        <w:spacing w:lineRule="auto" w:line="360"/>
        <w:jc w:val="both"/>
        <w:rPr/>
      </w:pPr>
      <w:r>
        <w:rPr/>
        <w:t>SC</w:t>
        <w:tab/>
        <w:t>Scheduling Coordinator</w:t>
      </w:r>
    </w:p>
    <w:p>
      <w:pPr>
        <w:pStyle w:val="Normal"/>
        <w:tabs>
          <w:tab w:val="clear" w:pos="720"/>
          <w:tab w:val="left" w:pos="990" w:leader="none"/>
        </w:tabs>
        <w:spacing w:lineRule="auto" w:line="360"/>
        <w:jc w:val="both"/>
        <w:rPr/>
      </w:pPr>
      <w:r>
        <w:rPr/>
        <w:t>STAT</w:t>
        <w:tab/>
        <w:t>Billing System</w:t>
      </w:r>
    </w:p>
    <w:p>
      <w:pPr>
        <w:pStyle w:val="Normal"/>
        <w:tabs>
          <w:tab w:val="clear" w:pos="720"/>
          <w:tab w:val="left" w:pos="990" w:leader="none"/>
        </w:tabs>
        <w:spacing w:lineRule="auto" w:line="360"/>
        <w:jc w:val="both"/>
        <w:rPr/>
      </w:pPr>
      <w:r>
        <w:rPr/>
        <w:t>SQMD</w:t>
        <w:tab/>
        <w:t>Settlement Quality Meter Data</w:t>
      </w:r>
    </w:p>
    <w:p>
      <w:pPr>
        <w:pStyle w:val="Normal"/>
        <w:tabs>
          <w:tab w:val="clear" w:pos="720"/>
          <w:tab w:val="left" w:pos="990" w:leader="none"/>
        </w:tabs>
        <w:spacing w:lineRule="auto" w:line="360"/>
        <w:jc w:val="both"/>
        <w:rPr/>
      </w:pPr>
      <w:r>
        <w:rPr/>
        <w:t>UDC</w:t>
        <w:tab/>
        <w:t>Utility Distribution Company</w:t>
      </w:r>
    </w:p>
    <w:p>
      <w:pPr>
        <w:pStyle w:val="Normal"/>
        <w:tabs>
          <w:tab w:val="clear" w:pos="720"/>
          <w:tab w:val="left" w:pos="990" w:leader="none"/>
        </w:tabs>
        <w:spacing w:lineRule="auto" w:line="360"/>
        <w:jc w:val="both"/>
        <w:rPr/>
      </w:pPr>
      <w:r>
        <w:rPr/>
        <w:t>VEE</w:t>
        <w:tab/>
        <w:t>Validation, Editing, and Estimation</w:t>
      </w:r>
      <w:r>
        <w:br w:type="page"/>
      </w:r>
    </w:p>
    <w:p>
      <w:pPr>
        <w:pStyle w:val="Normal"/>
        <w:tabs>
          <w:tab w:val="clear" w:pos="720"/>
          <w:tab w:val="left" w:pos="990" w:leader="none"/>
        </w:tabs>
        <w:spacing w:lineRule="auto" w:line="360"/>
        <w:rPr/>
      </w:pPr>
      <w:r>
        <w:rPr/>
      </w:r>
    </w:p>
    <w:p>
      <w:pPr>
        <w:pStyle w:val="Heading"/>
        <w:rPr>
          <w:b w:val="false"/>
          <w:sz w:val="20"/>
        </w:rPr>
      </w:pPr>
      <w:r>
        <w:rPr/>
        <w:t>2001 ISO Meter Audit: Appendix A</w:t>
      </w:r>
    </w:p>
    <w:p>
      <w:pPr>
        <w:pStyle w:val="Heading"/>
        <w:jc w:val="both"/>
        <w:rPr>
          <w:b w:val="false"/>
          <w:sz w:val="20"/>
        </w:rPr>
      </w:pPr>
      <w:r>
        <w:rPr>
          <w:b w:val="false"/>
          <w:sz w:val="20"/>
        </w:rPr>
      </w:r>
    </w:p>
    <w:p>
      <w:pPr>
        <w:pStyle w:val="Heading"/>
        <w:jc w:val="both"/>
        <w:rPr>
          <w:b w:val="false"/>
          <w:sz w:val="20"/>
        </w:rPr>
      </w:pPr>
      <w:r>
        <w:rPr>
          <w:b w:val="false"/>
          <w:sz w:val="20"/>
        </w:rPr>
        <w:t>The following flowcharts illustrate some of the key processes involved in ensuring the accuracy and integrity of the Settlement Quality Meter Data provided to ISO.</w:t>
      </w:r>
    </w:p>
    <w:p>
      <w:pPr>
        <w:pStyle w:val="Heading"/>
        <w:jc w:val="both"/>
        <w:rPr>
          <w:b w:val="false"/>
          <w:sz w:val="20"/>
        </w:rPr>
      </w:pPr>
      <w:r>
        <w:rPr>
          <w:b w:val="false"/>
          <w:sz w:val="20"/>
        </w:rPr>
      </w:r>
    </w:p>
    <w:p>
      <w:pPr>
        <w:pStyle w:val="Heading"/>
        <w:jc w:val="both"/>
        <w:rPr>
          <w:b w:val="false"/>
          <w:sz w:val="20"/>
        </w:rPr>
      </w:pPr>
      <w:r>
        <w:rPr>
          <w:b w:val="false"/>
          <w:sz w:val="20"/>
        </w:rPr>
      </w:r>
    </w:p>
    <w:p>
      <w:pPr>
        <w:pStyle w:val="Heading"/>
        <w:jc w:val="both"/>
        <w:rPr>
          <w:b w:val="false"/>
          <w:sz w:val="20"/>
        </w:rPr>
      </w:pPr>
      <w:r>
        <w:rPr>
          <w:b w:val="false"/>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t>2001 ISO</w:t>
    </w:r>
  </w:p>
  <w:p>
    <w:pPr>
      <w:pStyle w:val="Header"/>
      <w:jc w:val="end"/>
      <w:rPr>
        <w:sz w:val="16"/>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start w:val="2"/>
      <w:numFmt w:val="upperLetter"/>
      <w:lvlText w:val="%1)"/>
      <w:lvlJc w:val="start"/>
      <w:pPr>
        <w:tabs>
          <w:tab w:val="num" w:pos="360"/>
        </w:tabs>
        <w:ind w:start="360" w:hanging="360"/>
      </w:pPr>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360"/>
        </w:tabs>
        <w:ind w:start="360" w:hanging="360"/>
      </w:pPr>
    </w:lvl>
  </w:abstractNum>
  <w:abstractNum w:abstractNumId="14">
    <w:lvl w:ilvl="0">
      <w:start w:val="1"/>
      <w:numFmt w:val="lowerLetter"/>
      <w:lvlText w:val="%1)"/>
      <w:lvlJc w:val="start"/>
      <w:pPr>
        <w:tabs>
          <w:tab w:val="num" w:pos="360"/>
        </w:tabs>
        <w:ind w:start="360" w:hanging="36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lowerLetter"/>
      <w:lvlText w:val="%1)"/>
      <w:lvlJc w:val="start"/>
      <w:pPr>
        <w:tabs>
          <w:tab w:val="num" w:pos="360"/>
        </w:tabs>
        <w:ind w:start="360" w:hanging="360"/>
      </w:p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Symbol" w:hAnsi="Symbol" w:cs="Symbol" w:hint="default"/>
        <w:sz w:val="20"/>
      </w:rPr>
    </w:lvl>
  </w:abstractNum>
  <w:abstractNum w:abstractNumId="19">
    <w:lvl w:ilvl="0">
      <w:start w:val="1"/>
      <w:numFmt w:val="lowerLetter"/>
      <w:lvlText w:val="%1)"/>
      <w:lvlJc w:val="start"/>
      <w:pPr>
        <w:tabs>
          <w:tab w:val="num" w:pos="360"/>
        </w:tabs>
        <w:ind w:start="360" w:hanging="360"/>
      </w:pPr>
    </w:lvl>
  </w:abstractNum>
  <w:abstractNum w:abstractNumId="20">
    <w:lvl w:ilvl="0">
      <w:start w:val="1"/>
      <w:numFmt w:val="bullet"/>
      <w:lvlText w:val=""/>
      <w:lvlJc w:val="start"/>
      <w:pPr>
        <w:tabs>
          <w:tab w:val="num" w:pos="360"/>
        </w:tabs>
        <w:ind w:start="360" w:hanging="360"/>
      </w:pPr>
      <w:rPr>
        <w:rFonts w:ascii="Symbol" w:hAnsi="Symbol" w:cs="Symbol" w:hint="default"/>
        <w:sz w:val="20"/>
      </w:rPr>
    </w:lvl>
  </w:abstractNum>
  <w:abstractNum w:abstractNumId="21">
    <w:lvl w:ilvl="0">
      <w:start w:val="1"/>
      <w:numFmt w:val="lowerLetter"/>
      <w:lvlText w:val="%1)"/>
      <w:lvlJc w:val="start"/>
      <w:pPr>
        <w:tabs>
          <w:tab w:val="num" w:pos="720"/>
        </w:tabs>
        <w:ind w:start="720" w:hanging="36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decimal"/>
      <w:lvlText w:val="%1)"/>
      <w:lvlJc w:val="start"/>
      <w:pPr>
        <w:tabs>
          <w:tab w:val="num" w:pos="360"/>
        </w:tabs>
        <w:ind w:start="360" w:hanging="360"/>
      </w:p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lowerLetter"/>
      <w:lvlText w:val="%1)"/>
      <w:lvlJc w:val="start"/>
      <w:pPr>
        <w:tabs>
          <w:tab w:val="num" w:pos="360"/>
        </w:tabs>
        <w:ind w:start="360" w:hanging="360"/>
      </w:pPr>
    </w:lvl>
  </w:abstractNum>
  <w:abstractNum w:abstractNumId="26">
    <w:lvl w:ilvl="0">
      <w:start w:val="1"/>
      <w:numFmt w:val="lowerLetter"/>
      <w:lvlText w:val="%1)"/>
      <w:lvlJc w:val="start"/>
      <w:pPr>
        <w:tabs>
          <w:tab w:val="num" w:pos="360"/>
        </w:tabs>
        <w:ind w:start="360" w:hanging="360"/>
      </w:pPr>
    </w:lvl>
  </w:abstractNum>
  <w:abstractNum w:abstractNumId="27">
    <w:lvl w:ilvl="0">
      <w:start w:val="1"/>
      <w:numFmt w:val="lowerLetter"/>
      <w:lvlText w:val="%1)"/>
      <w:lvlJc w:val="start"/>
      <w:pPr>
        <w:tabs>
          <w:tab w:val="num" w:pos="360"/>
        </w:tabs>
        <w:ind w:start="360" w:hanging="360"/>
      </w:pPr>
    </w:lvl>
  </w:abstractNum>
  <w:abstractNum w:abstractNumId="2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0"/>
        <w:numId w:val="11"/>
      </w:numPr>
      <w:jc w:val="both"/>
      <w:outlineLvl w:val="1"/>
    </w:pPr>
    <w:rPr>
      <w:b/>
      <w:bCs/>
      <w:u w:val="single"/>
    </w:rPr>
  </w:style>
  <w:style w:type="paragraph" w:styleId="Heading4">
    <w:name w:val="heading 4"/>
    <w:basedOn w:val="Normal"/>
    <w:next w:val="Normal"/>
    <w:qFormat/>
    <w:pPr>
      <w:keepNext w:val="true"/>
      <w:tabs>
        <w:tab w:val="clear" w:pos="720"/>
        <w:tab w:val="left" w:pos="1134" w:leader="none"/>
      </w:tabs>
      <w:spacing w:lineRule="atLeast" w:line="280"/>
      <w:outlineLvl w:val="3"/>
    </w:pPr>
    <w:rPr>
      <w:b/>
    </w:rPr>
  </w:style>
  <w:style w:type="paragraph" w:styleId="Heading5">
    <w:name w:val="heading 5"/>
    <w:basedOn w:val="Normal"/>
    <w:next w:val="Normal"/>
    <w:qFormat/>
    <w:pPr>
      <w:keepNext w:val="true"/>
      <w:tabs>
        <w:tab w:val="clear" w:pos="720"/>
        <w:tab w:val="left" w:pos="1134" w:leader="none"/>
      </w:tabs>
      <w:spacing w:lineRule="atLeast" w:line="280"/>
      <w:outlineLvl w:val="4"/>
    </w:pPr>
    <w:rPr>
      <w:b/>
      <w:sz w:val="22"/>
    </w:rPr>
  </w:style>
  <w:style w:type="paragraph" w:styleId="Heading8">
    <w:name w:val="heading 8"/>
    <w:basedOn w:val="Normal"/>
    <w:next w:val="Normal"/>
    <w:qFormat/>
    <w:pPr>
      <w:keepNext w:val="true"/>
      <w:tabs>
        <w:tab w:val="clear" w:pos="720"/>
        <w:tab w:val="left" w:pos="1134" w:leader="none"/>
      </w:tabs>
      <w:spacing w:lineRule="atLeast" w:line="280"/>
      <w:outlineLvl w:val="7"/>
    </w:pPr>
    <w:rPr>
      <w:b/>
      <w:sz w:val="24"/>
    </w:rPr>
  </w:style>
  <w:style w:type="paragraph" w:styleId="Heading9">
    <w:name w:val="heading 9"/>
    <w:basedOn w:val="Normal"/>
    <w:next w:val="Normal"/>
    <w:qFormat/>
    <w:pPr>
      <w:keepNext w:val="true"/>
      <w:tabs>
        <w:tab w:val="clear" w:pos="720"/>
        <w:tab w:val="left" w:pos="1134" w:leader="none"/>
      </w:tabs>
      <w:spacing w:lineRule="atLeast" w:line="280"/>
      <w:outlineLvl w:val="8"/>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1">
    <w:name w:val="WW8Num9z1"/>
    <w:qFormat/>
    <w:rPr>
      <w:rFonts w:ascii="Symbol" w:hAnsi="Symbol" w:cs="Symbol"/>
      <w:sz w:val="20"/>
    </w:rPr>
  </w:style>
  <w:style w:type="character" w:styleId="WW8Num10z0">
    <w:name w:val="WW8Num10z0"/>
    <w:qFormat/>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5z0">
    <w:name w:val="WW8Num25z0"/>
    <w:qFormat/>
    <w:rPr>
      <w:rFonts w:ascii="Symbol" w:hAnsi="Symbol" w:cs="Symbol"/>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sz w:val="20"/>
    </w:rPr>
  </w:style>
  <w:style w:type="character" w:styleId="WW8Num35z0">
    <w:name w:val="WW8Num35z0"/>
    <w:qFormat/>
    <w:rPr>
      <w:rFonts w:ascii="Symbol" w:hAnsi="Symbol" w:cs="Symbol"/>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sz w:val="2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2z0">
    <w:name w:val="WW8Num62z0"/>
    <w:qFormat/>
    <w:rPr>
      <w:rFonts w:ascii="Symbol" w:hAnsi="Symbol" w:cs="Symbol"/>
      <w:sz w:val="2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Book Antiqua" w:hAnsi="Book Antiqua" w:cs="Book Antiqua"/>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8z0">
    <w:name w:val="WW8Num88z0"/>
    <w:qFormat/>
    <w:rPr>
      <w:rFonts w:ascii="Symbol" w:hAnsi="Symbol" w:cs="Symbol"/>
    </w:rPr>
  </w:style>
  <w:style w:type="character" w:styleId="WW8Num93z0">
    <w:name w:val="WW8Num9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tabs>
        <w:tab w:val="clear" w:pos="720"/>
        <w:tab w:val="left" w:pos="1134" w:leader="none"/>
      </w:tabs>
      <w:spacing w:lineRule="atLeast" w:line="280"/>
    </w:pPr>
    <w:rPr>
      <w:rFonts w:ascii="Arial" w:hAnsi="Arial" w:cs="Arial"/>
    </w:rPr>
  </w:style>
  <w:style w:type="paragraph" w:styleId="BodyText2">
    <w:name w:val="Body Text 2"/>
    <w:basedOn w:val="Normal"/>
    <w:qFormat/>
    <w:pPr>
      <w:tabs>
        <w:tab w:val="clear" w:pos="720"/>
        <w:tab w:val="left" w:pos="1134" w:leader="none"/>
      </w:tabs>
      <w:spacing w:lineRule="atLeast" w:line="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rPr>
  </w:style>
  <w:style w:type="paragraph" w:styleId="BodyText3">
    <w:name w:val="Body Text 3"/>
    <w:basedOn w:val="Normal"/>
    <w:qFormat/>
    <w:pPr>
      <w:jc w:val="both"/>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2001-09-11T11:54:00Z</dcterms:created>
  <dc:creator>bswanso2</dc:creator>
  <dc:description/>
  <dc:language>en-CA</dc:language>
  <cp:lastModifiedBy>Ken Lewchuk</cp:lastModifiedBy>
  <cp:lastPrinted>2001-08-16T09:34:00Z</cp:lastPrinted>
  <dcterms:modified xsi:type="dcterms:W3CDTF">2001-09-17T11:18:00Z</dcterms:modified>
  <cp:revision>7</cp:revision>
  <dc:subject/>
  <dc:title>A</dc:title>
</cp:coreProperties>
</file>