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pacing w:val="-140"/>
          <w:sz w:val="72"/>
        </w:rPr>
      </w:pPr>
      <w:r>
        <w:rPr>
          <w:spacing w:val="-140"/>
          <w:sz w:val="72"/>
        </w:rPr>
        <w:drawing>
          <wp:inline distT="0" distB="0" distL="0" distR="0">
            <wp:extent cx="5478145" cy="704850"/>
            <wp:effectExtent l="0" t="0" r="0" b="0"/>
            <wp:docPr id="1" name="IEPA 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PA logo" descr="" title=""/>
                    <pic:cNvPicPr>
                      <a:picLocks noChangeAspect="1" noChangeArrowheads="1"/>
                    </pic:cNvPicPr>
                  </pic:nvPicPr>
                  <pic:blipFill>
                    <a:blip r:embed="rId2"/>
                    <a:srcRect l="-5" t="-39" r="-5" b="-39"/>
                    <a:stretch>
                      <a:fillRect/>
                    </a:stretch>
                  </pic:blipFill>
                  <pic:spPr bwMode="auto">
                    <a:xfrm>
                      <a:off x="0" y="0"/>
                      <a:ext cx="5478145" cy="704850"/>
                    </a:xfrm>
                    <a:prstGeom prst="rect">
                      <a:avLst/>
                    </a:prstGeom>
                    <a:noFill/>
                  </pic:spPr>
                </pic:pic>
              </a:graphicData>
            </a:graphic>
          </wp:inline>
        </w:drawing>
      </w:r>
    </w:p>
    <w:p>
      <w:pPr>
        <w:pStyle w:val="Normal"/>
        <w:rPr/>
      </w:pPr>
      <w:r>
        <w:rPr/>
      </w:r>
    </w:p>
    <w:p>
      <w:pPr>
        <w:pStyle w:val="Normal"/>
        <w:jc w:val="center"/>
        <w:rPr>
          <w:sz w:val="28"/>
        </w:rPr>
      </w:pPr>
      <w:r>
        <w:rPr>
          <w:sz w:val="28"/>
        </w:rPr>
      </w:r>
    </w:p>
    <w:p>
      <w:pPr>
        <w:pStyle w:val="Heading2"/>
        <w:ind w:hanging="0" w:start="0"/>
        <w:rPr>
          <w:sz w:val="24"/>
        </w:rPr>
      </w:pPr>
      <w:r>
        <w:rPr>
          <w:sz w:val="24"/>
        </w:rPr>
        <w:t>May 18, 2001</w:t>
      </w:r>
    </w:p>
    <w:p>
      <w:pPr>
        <w:pStyle w:val="Normal"/>
        <w:rPr>
          <w:sz w:val="24"/>
        </w:rPr>
      </w:pPr>
      <w:r>
        <w:rPr>
          <w:sz w:val="24"/>
        </w:rPr>
      </w:r>
    </w:p>
    <w:p>
      <w:pPr>
        <w:pStyle w:val="Normal"/>
        <w:rPr/>
      </w:pPr>
      <w:r>
        <w:rPr/>
      </w:r>
    </w:p>
    <w:p>
      <w:pPr>
        <w:pStyle w:val="Normal"/>
        <w:rPr/>
      </w:pPr>
      <w:r>
        <w:rPr/>
        <w:t>Independent Energy Producers</w:t>
      </w:r>
    </w:p>
    <w:p>
      <w:pPr>
        <w:pStyle w:val="Heading2"/>
        <w:ind w:hanging="0" w:start="0"/>
        <w:rPr>
          <w:sz w:val="24"/>
        </w:rPr>
      </w:pPr>
      <w:r>
        <w:rPr>
          <w:sz w:val="24"/>
        </w:rPr>
        <w:t>ISO/FERC Committee</w:t>
      </w:r>
    </w:p>
    <w:p>
      <w:pPr>
        <w:pStyle w:val="Normal"/>
        <w:rPr>
          <w:sz w:val="24"/>
        </w:rPr>
      </w:pPr>
      <w:r>
        <w:rPr>
          <w:sz w:val="24"/>
        </w:rPr>
      </w:r>
    </w:p>
    <w:p>
      <w:pPr>
        <w:pStyle w:val="Normal"/>
        <w:rPr/>
      </w:pPr>
      <w:r>
        <w:rPr/>
        <w:t xml:space="preserve">Dear Committee Member,                                                </w:t>
      </w:r>
    </w:p>
    <w:p>
      <w:pPr>
        <w:pStyle w:val="Normal"/>
        <w:rPr/>
      </w:pPr>
      <w:r>
        <w:rPr/>
      </w:r>
    </w:p>
    <w:p>
      <w:pPr>
        <w:pStyle w:val="Normal"/>
        <w:rPr/>
      </w:pPr>
      <w:r>
        <w:rPr/>
        <w:t>This is to solicit your participation in the ISO/FERC Committee at the decision-making level.  Payment of the attached invoice for $15,000 will entitle you to participate in the development of committee positions, the decisions of whether or not to intervene in various proceedings of the ISO and FERC, the review and commenting on draft interventions, and the direction of committee operations and expenditures.  If you choose to not participate at the decision-making level, you will continue to be advised of committee activities in a timely manner.</w:t>
      </w:r>
    </w:p>
    <w:p>
      <w:pPr>
        <w:pStyle w:val="Normal"/>
        <w:rPr/>
      </w:pPr>
      <w:r>
        <w:rPr/>
      </w:r>
    </w:p>
    <w:p>
      <w:pPr>
        <w:pStyle w:val="Normal"/>
        <w:rPr/>
      </w:pPr>
      <w:r>
        <w:rPr/>
        <w:t>The amount of the invoice is based on an estimate of the cost of legal and technical consultants for the balance of the calendar year, and the number of members that are likely to participate.  Prior to making any intervention funding decisions, the committee will be given cost estimates by the consultants.  Any over-collection or under-collection will be handled as determined by the decision-making members.  Bylaws for decision-making will be either established by the IEP Board or by a 2/3 majority of the decision-making committee members.</w:t>
      </w:r>
    </w:p>
    <w:p>
      <w:pPr>
        <w:pStyle w:val="Normal"/>
        <w:rPr/>
      </w:pPr>
      <w:r>
        <w:rPr/>
      </w:r>
    </w:p>
    <w:p>
      <w:pPr>
        <w:pStyle w:val="Normal"/>
        <w:rPr/>
      </w:pPr>
      <w:r>
        <w:rPr/>
        <w:t>It is my expectation that the committee will be managing several critical issues this year, including ISO governance, implementation of FERC’s price mitigation order, congestion management reform, market redesign, maintenance and outage coordination, and a variety of market intervention attempts by the ISO.  I look forward to your participation at whatever level you determine to be appropriate.</w:t>
      </w:r>
    </w:p>
    <w:p>
      <w:pPr>
        <w:pStyle w:val="Normal"/>
        <w:rPr/>
      </w:pPr>
      <w:r>
        <w:rPr/>
      </w:r>
    </w:p>
    <w:p>
      <w:pPr>
        <w:pStyle w:val="Normal"/>
        <w:rPr/>
      </w:pPr>
      <w:r>
        <w:rPr/>
        <w:t>Sincerely,</w:t>
      </w:r>
    </w:p>
    <w:p>
      <w:pPr>
        <w:pStyle w:val="Normal"/>
        <w:rPr/>
      </w:pPr>
      <w:r>
        <w:rPr/>
      </w:r>
    </w:p>
    <w:p>
      <w:pPr>
        <w:pStyle w:val="Normal"/>
        <w:rPr/>
      </w:pPr>
      <w:r>
        <w:rPr/>
        <w:t>Roger Pelote</w:t>
      </w:r>
    </w:p>
    <w:p>
      <w:pPr>
        <w:pStyle w:val="Normal"/>
        <w:rPr/>
      </w:pPr>
      <w:r>
        <w:rPr/>
        <w:t xml:space="preserve">Chairman, ISO/FERC Committee  </w:t>
      </w:r>
      <w:r>
        <w:br w:type="page"/>
      </w:r>
    </w:p>
    <w:p>
      <w:pPr>
        <w:pStyle w:val="Normal"/>
        <w:rPr/>
      </w:pPr>
      <w:r>
        <w:rPr/>
        <w:t xml:space="preserve"> </w:t>
      </w:r>
    </w:p>
    <w:p>
      <w:pPr>
        <w:pStyle w:val="Normal"/>
        <w:rPr/>
      </w:pPr>
      <w:r>
        <w:rPr/>
      </w:r>
    </w:p>
    <w:p>
      <w:pPr>
        <w:pStyle w:val="Normal"/>
        <w:rPr/>
      </w:pPr>
      <w:r>
        <w:rPr/>
      </w:r>
    </w:p>
    <w:p>
      <w:pPr>
        <w:pStyle w:val="Normal"/>
        <w:jc w:val="center"/>
        <w:rPr/>
      </w:pPr>
      <w:r>
        <w:rPr/>
      </w:r>
    </w:p>
    <w:p>
      <w:pPr>
        <w:pStyle w:val="Normal"/>
        <w:jc w:val="center"/>
        <w:rPr/>
      </w:pPr>
      <w:r>
        <w:rPr/>
      </w:r>
    </w:p>
    <w:p>
      <w:pPr>
        <w:pStyle w:val="Normal"/>
        <w:jc w:val="center"/>
        <w:rPr/>
      </w:pPr>
      <w:r>
        <w:rPr/>
        <w:t>INDEPENDENT ENERGY PRODUCERS</w:t>
      </w:r>
    </w:p>
    <w:p>
      <w:pPr>
        <w:pStyle w:val="Header"/>
        <w:tabs>
          <w:tab w:val="clear" w:pos="4320"/>
          <w:tab w:val="clear" w:pos="8640"/>
        </w:tabs>
        <w:jc w:val="center"/>
        <w:rPr/>
      </w:pPr>
      <w:r>
        <w:rPr/>
        <w:t>ISO / FERC COMMITTEE</w:t>
      </w:r>
    </w:p>
    <w:p>
      <w:pPr>
        <w:pStyle w:val="Header"/>
        <w:tabs>
          <w:tab w:val="clear" w:pos="4320"/>
          <w:tab w:val="clear" w:pos="8640"/>
        </w:tabs>
        <w:jc w:val="center"/>
        <w:rPr/>
      </w:pPr>
      <w:r>
        <w:rPr/>
      </w:r>
    </w:p>
    <w:p>
      <w:pPr>
        <w:pStyle w:val="Header"/>
        <w:tabs>
          <w:tab w:val="clear" w:pos="4320"/>
          <w:tab w:val="clear" w:pos="8640"/>
        </w:tabs>
        <w:rPr/>
      </w:pPr>
      <w:r>
        <w:rPr/>
      </w:r>
    </w:p>
    <w:p>
      <w:pPr>
        <w:pStyle w:val="Normal"/>
        <w:jc w:val="center"/>
        <w:rPr/>
      </w:pPr>
      <w:r>
        <w:rPr/>
      </w:r>
    </w:p>
    <w:p>
      <w:pPr>
        <w:pStyle w:val="Normal"/>
        <w:rPr/>
      </w:pPr>
      <w:r>
        <w:rPr/>
        <w:t xml:space="preserve">_____________________________________________ would like to participate in the </w:t>
      </w:r>
    </w:p>
    <w:p>
      <w:pPr>
        <w:pStyle w:val="Normal"/>
        <w:rPr/>
      </w:pPr>
      <w:r>
        <w:rPr/>
        <w:t>(name of participating company)</w:t>
      </w:r>
    </w:p>
    <w:p>
      <w:pPr>
        <w:pStyle w:val="Normal"/>
        <w:rPr/>
      </w:pPr>
      <w:r>
        <w:rPr/>
      </w:r>
    </w:p>
    <w:p>
      <w:pPr>
        <w:pStyle w:val="Normal"/>
        <w:rPr/>
      </w:pPr>
      <w:r>
        <w:rPr/>
        <w:t xml:space="preserve">decision making level of the Independent Energy Producers ISO/FERC Committee.  Our </w:t>
      </w:r>
    </w:p>
    <w:p>
      <w:pPr>
        <w:pStyle w:val="Normal"/>
        <w:rPr/>
      </w:pPr>
      <w:r>
        <w:rPr/>
      </w:r>
    </w:p>
    <w:p>
      <w:pPr>
        <w:pStyle w:val="Normal"/>
        <w:rPr/>
      </w:pPr>
      <w:r>
        <w:rPr/>
        <w:t xml:space="preserve">check, in the amount of $15,000.00, is enclosed.   </w:t>
      </w:r>
    </w:p>
    <w:p>
      <w:pPr>
        <w:pStyle w:val="Normal"/>
        <w:rPr/>
      </w:pPr>
      <w:r>
        <w:rPr/>
      </w:r>
    </w:p>
    <w:p>
      <w:pPr>
        <w:pStyle w:val="Normal"/>
        <w:rPr/>
      </w:pPr>
      <w:r>
        <w:rPr/>
      </w:r>
    </w:p>
    <w:p>
      <w:pPr>
        <w:pStyle w:val="Normal"/>
        <w:rPr/>
      </w:pPr>
      <w:r>
        <w:rPr/>
      </w:r>
    </w:p>
    <w:p>
      <w:pPr>
        <w:pStyle w:val="Normal"/>
        <w:rPr/>
      </w:pPr>
      <w:r>
        <w:rPr/>
        <w:tab/>
        <w:tab/>
        <w:tab/>
        <w:tab/>
        <w:tab/>
        <w:tab/>
        <w:tab/>
      </w:r>
      <w:r>
        <w:rPr>
          <w:u w:val="single"/>
        </w:rPr>
        <w:tab/>
        <w:tab/>
        <w:tab/>
        <w:tab/>
        <w:tab/>
      </w:r>
    </w:p>
    <w:p>
      <w:pPr>
        <w:pStyle w:val="Header"/>
        <w:tabs>
          <w:tab w:val="clear" w:pos="4320"/>
          <w:tab w:val="clear" w:pos="8640"/>
        </w:tabs>
        <w:rPr/>
      </w:pPr>
      <w:r>
        <w:rPr/>
        <w:tab/>
        <w:tab/>
        <w:tab/>
        <w:tab/>
        <w:tab/>
        <w:tab/>
        <w:tab/>
        <w:t>Contact Name (Please Print)</w:t>
      </w:r>
    </w:p>
    <w:p>
      <w:pPr>
        <w:pStyle w:val="Normal"/>
        <w:rPr/>
      </w:pPr>
      <w:r>
        <w:rPr/>
      </w:r>
    </w:p>
    <w:p>
      <w:pPr>
        <w:pStyle w:val="Normal"/>
        <w:rPr/>
      </w:pPr>
      <w:r>
        <w:rPr/>
        <w:tab/>
        <w:tab/>
        <w:tab/>
        <w:tab/>
        <w:tab/>
        <w:tab/>
        <w:tab/>
      </w:r>
      <w:r>
        <w:rPr>
          <w:u w:val="single"/>
        </w:rPr>
        <w:tab/>
        <w:tab/>
        <w:tab/>
        <w:tab/>
        <w:tab/>
      </w:r>
    </w:p>
    <w:p>
      <w:pPr>
        <w:pStyle w:val="Normal"/>
        <w:rPr/>
      </w:pPr>
      <w:r>
        <w:rPr/>
        <w:tab/>
        <w:tab/>
        <w:tab/>
        <w:tab/>
        <w:tab/>
        <w:tab/>
        <w:tab/>
        <w:t>Date</w:t>
      </w:r>
    </w:p>
    <w:p>
      <w:pPr>
        <w:pStyle w:val="Normal"/>
        <w:rPr/>
      </w:pPr>
      <w:r>
        <w:rPr/>
      </w:r>
    </w:p>
    <w:p>
      <w:pPr>
        <w:pStyle w:val="Normal"/>
        <w:rPr/>
      </w:pPr>
      <w:r>
        <w:rPr/>
      </w:r>
    </w:p>
    <w:p>
      <w:pPr>
        <w:pStyle w:val="Header"/>
        <w:tabs>
          <w:tab w:val="clear" w:pos="4320"/>
          <w:tab w:val="clear" w:pos="8640"/>
        </w:tabs>
        <w:rPr>
          <w:sz w:val="22"/>
        </w:rPr>
      </w:pPr>
      <w:r>
        <w:rPr>
          <w:sz w:val="22"/>
        </w:rPr>
        <w:t>Please return completed invoice and check to:</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Independent Energy Producers</w:t>
      </w:r>
    </w:p>
    <w:p>
      <w:pPr>
        <w:pStyle w:val="Header"/>
        <w:tabs>
          <w:tab w:val="clear" w:pos="4320"/>
          <w:tab w:val="clear" w:pos="8640"/>
        </w:tabs>
        <w:rPr>
          <w:sz w:val="22"/>
        </w:rPr>
      </w:pPr>
      <w:r>
        <w:rPr>
          <w:sz w:val="22"/>
        </w:rPr>
        <w:t>Attn: Carol Hudson, Executive Assistant</w:t>
      </w:r>
    </w:p>
    <w:p>
      <w:pPr>
        <w:pStyle w:val="Header"/>
        <w:tabs>
          <w:tab w:val="clear" w:pos="4320"/>
          <w:tab w:val="clear" w:pos="8640"/>
        </w:tabs>
        <w:rPr>
          <w:sz w:val="22"/>
        </w:rPr>
      </w:pPr>
      <w:r>
        <w:rPr>
          <w:sz w:val="22"/>
        </w:rPr>
        <w:t>1112 I Street, Suite 380</w:t>
      </w:r>
    </w:p>
    <w:p>
      <w:pPr>
        <w:pStyle w:val="Header"/>
        <w:tabs>
          <w:tab w:val="clear" w:pos="4320"/>
          <w:tab w:val="clear" w:pos="8640"/>
        </w:tabs>
        <w:rPr>
          <w:sz w:val="22"/>
        </w:rPr>
      </w:pPr>
      <w:r>
        <w:rPr>
          <w:sz w:val="22"/>
        </w:rPr>
        <w:t>Sacramento, CA 95814</w:t>
      </w:r>
    </w:p>
    <w:p>
      <w:pPr>
        <w:pStyle w:val="Header"/>
        <w:tabs>
          <w:tab w:val="clear" w:pos="4320"/>
          <w:tab w:val="clear" w:pos="8640"/>
        </w:tabs>
        <w:rPr>
          <w:sz w:val="22"/>
        </w:rPr>
      </w:pPr>
      <w:r>
        <w:rPr>
          <w:sz w:val="22"/>
        </w:rPr>
      </w:r>
    </w:p>
    <w:p>
      <w:pPr>
        <w:pStyle w:val="Header"/>
        <w:tabs>
          <w:tab w:val="clear" w:pos="4320"/>
          <w:tab w:val="clear" w:pos="8640"/>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entury Schoolbook" w:hAnsi="Century Schoolbook" w:cs="Century Schoolbook"/>
        <w:sz w:val="18"/>
      </w:rPr>
    </w:pPr>
    <w:r>
      <w:rPr>
        <w:rFonts w:cs="Century Schoolbook" w:ascii="Century Schoolbook" w:hAnsi="Century Schoolbook"/>
        <w:sz w:val="18"/>
      </w:rPr>
      <w:t>1112 I Street, Suite 380</w:t>
    </w:r>
  </w:p>
  <w:p>
    <w:pPr>
      <w:pStyle w:val="Footer"/>
      <w:jc w:val="center"/>
      <w:rPr>
        <w:rFonts w:ascii="Century Schoolbook" w:hAnsi="Century Schoolbook" w:cs="Century Schoolbook"/>
        <w:sz w:val="18"/>
      </w:rPr>
    </w:pPr>
    <w:r>
      <w:rPr>
        <w:rFonts w:cs="Century Schoolbook" w:ascii="Century Schoolbook" w:hAnsi="Century Schoolbook"/>
        <w:sz w:val="18"/>
      </w:rPr>
      <w:t>Sacramento, CA 95814</w:t>
    </w:r>
  </w:p>
  <w:p>
    <w:pPr>
      <w:pStyle w:val="Footer"/>
      <w:jc w:val="center"/>
      <w:rPr>
        <w:rFonts w:ascii="Century Schoolbook" w:hAnsi="Century Schoolbook" w:cs="Century Schoolbook"/>
        <w:sz w:val="18"/>
      </w:rPr>
    </w:pPr>
    <w:r>
      <w:rPr>
        <w:rFonts w:cs="Century Schoolbook" w:ascii="Century Schoolbook" w:hAnsi="Century Schoolbook"/>
        <w:sz w:val="18"/>
      </w:rPr>
      <w:t>Ph: 916-448-9499; Fax: 916-448-0182</w:t>
    </w:r>
  </w:p>
  <w:p>
    <w:pPr>
      <w:pStyle w:val="Footer"/>
      <w:jc w:val="center"/>
      <w:rPr>
        <w:rFonts w:ascii="Century Schoolbook" w:hAnsi="Century Schoolbook" w:cs="Century Schoolbook"/>
        <w:sz w:val="18"/>
      </w:rPr>
    </w:pPr>
    <w:r>
      <w:rPr>
        <w:rFonts w:cs="Century Schoolbook" w:ascii="Century Schoolbook" w:hAnsi="Century Schoolbook"/>
        <w:sz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numPr>
        <w:ilvl w:val="2"/>
        <w:numId w:val="1"/>
      </w:numPr>
      <w:jc w:val="center"/>
      <w:outlineLvl w:val="2"/>
    </w:pPr>
    <w:rPr>
      <w:u w:val="single"/>
    </w:rPr>
  </w:style>
  <w:style w:type="character" w:styleId="DefaultParagraphFont">
    <w:name w:val="Default Paragraph Font"/>
    <w:qFormat/>
    <w:rPr/>
  </w:style>
  <w:style w:type="paragraph" w:styleId="Heading">
    <w:name w:val="Heading"/>
    <w:basedOn w:val="Normal"/>
    <w:next w:val="BodyText"/>
    <w:qFormat/>
    <w:pPr>
      <w:jc w:val="center"/>
    </w:pPr>
    <w:rPr>
      <w:sz w:val="28"/>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2001-05-21T20:56:00Z</dcterms:created>
  <dc:creator>Katie Kaplan</dc:creator>
  <dc:description/>
  <dc:language>en-CA</dc:language>
  <cp:lastModifiedBy>Carol Hudson</cp:lastModifiedBy>
  <cp:lastPrinted>2000-11-13T14:17:00Z</cp:lastPrinted>
  <dcterms:modified xsi:type="dcterms:W3CDTF">2001-05-21T20:56:00Z</dcterms:modified>
  <cp:revision>2</cp:revision>
  <dc:subject/>
  <dc:title> </dc:title>
</cp:coreProperties>
</file>