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Seasonal Super Peak Market</w:t>
      </w:r>
    </w:p>
    <w:p>
      <w:pPr>
        <w:pStyle w:val="Heading"/>
        <w:rPr>
          <w:sz w:val="40"/>
        </w:rPr>
      </w:pPr>
      <w:r>
        <w:rPr>
          <w:sz w:val="40"/>
        </w:rPr>
        <w:t>Draft Definition</w:t>
      </w:r>
    </w:p>
    <w:p>
      <w:pPr>
        <w:pStyle w:val="Heading"/>
        <w:rPr>
          <w:sz w:val="40"/>
        </w:rPr>
      </w:pPr>
      <w:r>
        <w:rPr>
          <w:sz w:val="40"/>
        </w:rPr>
      </w:r>
    </w:p>
    <w:p>
      <w:pPr>
        <w:pStyle w:val="Heading"/>
        <w:jc w:val="start"/>
        <w:rPr/>
      </w:pPr>
      <w:r>
        <w:rPr/>
        <w:t>ISSUE</w:t>
      </w:r>
    </w:p>
    <w:p>
      <w:pPr>
        <w:pStyle w:val="Heading"/>
        <w:jc w:val="start"/>
        <w:rPr/>
      </w:pPr>
      <w:r>
        <w:rPr/>
      </w:r>
    </w:p>
    <w:p>
      <w:pPr>
        <w:pStyle w:val="Heading"/>
        <w:jc w:val="start"/>
        <w:rPr>
          <w:b w:val="false"/>
        </w:rPr>
      </w:pPr>
      <w:r>
        <w:rPr>
          <w:b w:val="false"/>
        </w:rPr>
        <w:t>The ISO is facing increased reliability concerns due to shortages of energy and capacity during peak load periods of the day.  The delta between the ISO forecasted load and the SC scheduled Day Ahead load has increased to amounts that are often in excess of 10,000mws.  This consistent under scheduling forces the ISO to become a market player by procuring Out-of-Market (OOM) resources to respond to reserve shortages during peak hours.</w:t>
      </w:r>
    </w:p>
    <w:p>
      <w:pPr>
        <w:pStyle w:val="Heading"/>
        <w:jc w:val="start"/>
        <w:rPr>
          <w:b w:val="false"/>
        </w:rPr>
      </w:pPr>
      <w:r>
        <w:rPr>
          <w:b w:val="false"/>
        </w:rPr>
      </w:r>
    </w:p>
    <w:p>
      <w:pPr>
        <w:pStyle w:val="Heading"/>
        <w:jc w:val="start"/>
        <w:rPr/>
      </w:pPr>
      <w:r>
        <w:rPr/>
      </w:r>
    </w:p>
    <w:p>
      <w:pPr>
        <w:pStyle w:val="Heading"/>
        <w:jc w:val="start"/>
        <w:rPr/>
      </w:pPr>
      <w:r>
        <w:rPr/>
        <w:t>SEASONAL SUPER PEAK MARKET</w:t>
      </w:r>
    </w:p>
    <w:p>
      <w:pPr>
        <w:pStyle w:val="Heading"/>
        <w:jc w:val="start"/>
        <w:rPr/>
      </w:pPr>
      <w:r>
        <w:rPr/>
      </w:r>
    </w:p>
    <w:p>
      <w:pPr>
        <w:pStyle w:val="Heading"/>
        <w:jc w:val="start"/>
        <w:rPr>
          <w:b w:val="false"/>
        </w:rPr>
      </w:pPr>
      <w:r>
        <w:rPr>
          <w:b w:val="false"/>
        </w:rPr>
        <w:t>In an effort to incorporate the manual OOM purchases into an automated market structure, the ISO and Market participants have proposed a seasonal block forward market.  This market is intended to serve the portion of the under scheduled load that is not scheduled in the Day Ahead market, projected to be scheduled in the Hour Ahead market or projected to be bid as Supplemental energy and is presently procured as real time OOM energy.</w:t>
      </w:r>
    </w:p>
    <w:p>
      <w:pPr>
        <w:pStyle w:val="Heading"/>
        <w:jc w:val="start"/>
        <w:rPr>
          <w:b w:val="false"/>
        </w:rPr>
      </w:pPr>
      <w:r>
        <w:rPr>
          <w:b w:val="false"/>
        </w:rPr>
      </w:r>
    </w:p>
    <w:p>
      <w:pPr>
        <w:pStyle w:val="Heading"/>
        <w:jc w:val="start"/>
        <w:rPr>
          <w:b w:val="false"/>
        </w:rPr>
      </w:pPr>
      <w:r>
        <w:rPr>
          <w:b w:val="false"/>
        </w:rPr>
        <w:t>The ISO intends on entering this market the morning of the trade days where operating reserves are projected to fall below 5 percent and the need for OOM energy is projected over the Super Peak hours.  Early procurement of Super Peak energy gives ISO grid operations more inclusive data for calculating daily peak reserves.  As well as, the ability to manage the OOM aspect of the current peak energy shortage.</w:t>
      </w:r>
    </w:p>
    <w:p>
      <w:pPr>
        <w:pStyle w:val="Heading"/>
        <w:jc w:val="start"/>
        <w:rPr>
          <w:b w:val="false"/>
        </w:rPr>
      </w:pPr>
      <w:r>
        <w:rPr>
          <w:b w:val="false"/>
        </w:rPr>
      </w:r>
    </w:p>
    <w:p>
      <w:pPr>
        <w:pStyle w:val="Heading"/>
        <w:jc w:val="start"/>
        <w:rPr>
          <w:b w:val="false"/>
        </w:rPr>
      </w:pPr>
      <w:r>
        <w:rPr>
          <w:b w:val="false"/>
        </w:rPr>
        <w:t xml:space="preserve">The ISO will inform the Market of it’s intention to enter into the super peak market after the close of the Day Ahead Market and before the opening of the super peak Market </w:t>
      </w:r>
    </w:p>
    <w:p>
      <w:pPr>
        <w:pStyle w:val="Heading"/>
        <w:jc w:val="start"/>
        <w:rPr>
          <w:b w:val="false"/>
        </w:rPr>
      </w:pPr>
      <w:r>
        <w:rPr>
          <w:b w:val="false"/>
        </w:rPr>
      </w:r>
    </w:p>
    <w:p>
      <w:pPr>
        <w:pStyle w:val="Heading"/>
        <w:jc w:val="start"/>
        <w:rPr>
          <w:b w:val="false"/>
        </w:rPr>
      </w:pPr>
      <w:r>
        <w:rPr>
          <w:b w:val="false"/>
        </w:rPr>
        <w:t>The ISO intends on following the July 2000 Board Resolution when procuring energy utilizing the super peak market.</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pPr>
      <w:r>
        <w:rPr/>
        <w:t>PRODUCT DEFINITION</w:t>
      </w:r>
    </w:p>
    <w:p>
      <w:pPr>
        <w:pStyle w:val="Heading"/>
        <w:numPr>
          <w:ilvl w:val="0"/>
          <w:numId w:val="3"/>
        </w:numPr>
        <w:jc w:val="start"/>
        <w:rPr/>
      </w:pPr>
      <w:r>
        <w:rPr/>
        <w:t>Procurement during the morning of the trade day by 0800</w:t>
      </w:r>
    </w:p>
    <w:p>
      <w:pPr>
        <w:pStyle w:val="Heading"/>
        <w:numPr>
          <w:ilvl w:val="0"/>
          <w:numId w:val="3"/>
        </w:numPr>
        <w:jc w:val="start"/>
        <w:rPr/>
      </w:pPr>
      <w:r>
        <w:rPr/>
        <w:t>WSCC firm energy, delivered in 25mw, 50mw and 100mw blocks across the super peak hours (HE 1300 through 1900)</w:t>
      </w:r>
    </w:p>
    <w:p>
      <w:pPr>
        <w:pStyle w:val="Heading"/>
        <w:numPr>
          <w:ilvl w:val="0"/>
          <w:numId w:val="3"/>
        </w:numPr>
        <w:jc w:val="start"/>
        <w:rPr/>
      </w:pPr>
      <w:r>
        <w:rPr/>
        <w:t>Procurement at any of the ISO interchange points including NP15 and SP15.</w:t>
      </w:r>
    </w:p>
    <w:p>
      <w:pPr>
        <w:pStyle w:val="Heading"/>
        <w:numPr>
          <w:ilvl w:val="0"/>
          <w:numId w:val="3"/>
        </w:numPr>
        <w:jc w:val="start"/>
        <w:rPr/>
      </w:pPr>
      <w:r>
        <w:rPr/>
        <w:t>Energy that is procured at interchange points will be based on projected transmission capability.</w:t>
      </w:r>
    </w:p>
    <w:p>
      <w:pPr>
        <w:pStyle w:val="Heading"/>
        <w:numPr>
          <w:ilvl w:val="0"/>
          <w:numId w:val="3"/>
        </w:numPr>
        <w:jc w:val="start"/>
        <w:rPr/>
      </w:pPr>
      <w:r>
        <w:rPr/>
        <w:t>Energy is expected to be incremental to any energy or Ancillary Services scheduled into or awarded in the ISO control area and is subject to ISO compliance review.</w:t>
      </w:r>
    </w:p>
    <w:p>
      <w:pPr>
        <w:pStyle w:val="Heading"/>
        <w:jc w:val="start"/>
        <w:rPr/>
      </w:pPr>
      <w:r>
        <w:rPr/>
      </w:r>
    </w:p>
    <w:p>
      <w:pPr>
        <w:pStyle w:val="Heading"/>
        <w:jc w:val="start"/>
        <w:rPr/>
      </w:pPr>
      <w:r>
        <w:rPr/>
      </w:r>
    </w:p>
    <w:p>
      <w:pPr>
        <w:pStyle w:val="Heading"/>
        <w:jc w:val="start"/>
        <w:rPr>
          <w:b w:val="false"/>
        </w:rPr>
      </w:pPr>
      <w:r>
        <w:rPr>
          <w:b w:val="false"/>
        </w:rPr>
        <w:t>The ISO is interested in having the Seasonal Super Peak product and market software available starting September 5, 2000.</w:t>
      </w:r>
    </w:p>
    <w:p>
      <w:pPr>
        <w:pStyle w:val="Heading"/>
        <w:jc w:val="start"/>
        <w:rPr>
          <w:b w:val="false"/>
        </w:rPr>
      </w:pPr>
      <w:r>
        <w:rPr>
          <w:b w:val="false"/>
        </w:rPr>
      </w:r>
    </w:p>
    <w:p>
      <w:pPr>
        <w:pStyle w:val="Heading"/>
        <w:jc w:val="start"/>
        <w:rPr>
          <w:b w:val="false"/>
        </w:rPr>
      </w:pPr>
      <w:r>
        <w:rPr>
          <w:b w:val="false"/>
        </w:rPr>
      </w:r>
    </w:p>
    <w:p>
      <w:pPr>
        <w:pStyle w:val="Heading"/>
        <w:jc w:val="start"/>
        <w:rPr>
          <w:i/>
          <w:i/>
          <w:u w:val="single"/>
        </w:rPr>
      </w:pPr>
      <w:r>
        <w:rPr>
          <w:i/>
          <w:u w:val="single"/>
        </w:rPr>
        <w:t>Comments:</w:t>
      </w:r>
    </w:p>
    <w:p>
      <w:pPr>
        <w:pStyle w:val="Heading"/>
        <w:jc w:val="start"/>
        <w:rPr>
          <w:b w:val="false"/>
          <w:i/>
          <w:i/>
          <w:u w:val="single"/>
        </w:rPr>
      </w:pPr>
      <w:r>
        <w:rPr>
          <w:b w:val="false"/>
          <w:i/>
          <w:u w:val="single"/>
        </w:rPr>
      </w:r>
    </w:p>
    <w:p>
      <w:pPr>
        <w:pStyle w:val="Heading"/>
        <w:numPr>
          <w:ilvl w:val="0"/>
          <w:numId w:val="1"/>
        </w:numPr>
        <w:jc w:val="start"/>
        <w:rPr>
          <w:b w:val="false"/>
        </w:rPr>
      </w:pPr>
      <w:r>
        <w:rPr>
          <w:b w:val="false"/>
        </w:rPr>
        <w:t xml:space="preserve">The ISO should define for how many days in advance of the trading day they want to have contracts listed.  </w:t>
      </w:r>
    </w:p>
    <w:p>
      <w:pPr>
        <w:pStyle w:val="Heading"/>
        <w:numPr>
          <w:ilvl w:val="0"/>
          <w:numId w:val="1"/>
        </w:numPr>
        <w:jc w:val="start"/>
        <w:rPr>
          <w:b w:val="false"/>
        </w:rPr>
      </w:pPr>
      <w:r>
        <w:rPr>
          <w:b w:val="false"/>
        </w:rPr>
        <w:t>All products listed by the PX will be firm energy.</w:t>
      </w:r>
    </w:p>
    <w:p>
      <w:pPr>
        <w:pStyle w:val="Heading"/>
        <w:numPr>
          <w:ilvl w:val="0"/>
          <w:numId w:val="1"/>
        </w:numPr>
        <w:jc w:val="start"/>
        <w:rPr>
          <w:b w:val="false"/>
        </w:rPr>
      </w:pPr>
      <w:r>
        <w:rPr>
          <w:b w:val="false"/>
        </w:rPr>
        <w:t>The standard PX contract size is 1 MWh; however, over 95% of all forward trading takes place in blocks of 25 MWh.  This is also the standard trading block size in the WSCC.</w:t>
      </w:r>
    </w:p>
    <w:p>
      <w:pPr>
        <w:pStyle w:val="Heading"/>
        <w:numPr>
          <w:ilvl w:val="0"/>
          <w:numId w:val="1"/>
        </w:numPr>
        <w:tabs>
          <w:tab w:val="left" w:pos="720" w:leader="none"/>
        </w:tabs>
        <w:ind w:hanging="360" w:start="720" w:end="0"/>
        <w:jc w:val="start"/>
        <w:rPr>
          <w:b w:val="false"/>
        </w:rPr>
      </w:pPr>
      <w:r>
        <w:rPr>
          <w:b w:val="false"/>
        </w:rPr>
        <w:t>A 25 MWh block size doesn’t stop the ISO from submitting 50 or 100 MWh bids.  If this is done, the ISO will be awarded energy in 25 MWh blocks.</w:t>
      </w:r>
    </w:p>
    <w:p>
      <w:pPr>
        <w:pStyle w:val="Heading"/>
        <w:numPr>
          <w:ilvl w:val="0"/>
          <w:numId w:val="1"/>
        </w:numPr>
        <w:tabs>
          <w:tab w:val="left" w:pos="720" w:leader="none"/>
        </w:tabs>
        <w:ind w:hanging="360" w:start="720" w:end="0"/>
        <w:jc w:val="start"/>
        <w:rPr>
          <w:b w:val="false"/>
        </w:rPr>
      </w:pPr>
      <w:r>
        <w:rPr>
          <w:b w:val="false"/>
        </w:rPr>
        <w:t>This has the advantage of allowing the ISO the ISO’s bid to be filled by several lower-cost sellers rather than one larger contractor.  I.e. consider if the ISO submits a 50MWh bid and there are three offers to sell in the market.  The first two sellers each offer 25 MWh energy that is cheaper than the third that offers a single bid of 50MWh.  If energy is traded in 25 MWh blocks, the two less expensive offers will be combined and matched against the ISO’s bid.</w:t>
      </w:r>
    </w:p>
    <w:p>
      <w:pPr>
        <w:pStyle w:val="Heading"/>
        <w:numPr>
          <w:ilvl w:val="0"/>
          <w:numId w:val="1"/>
        </w:numPr>
        <w:tabs>
          <w:tab w:val="left" w:pos="720" w:leader="none"/>
        </w:tabs>
        <w:ind w:hanging="360" w:start="720" w:end="0"/>
        <w:jc w:val="start"/>
        <w:rPr>
          <w:b w:val="false"/>
        </w:rPr>
      </w:pPr>
      <w:r>
        <w:rPr>
          <w:b w:val="false"/>
        </w:rPr>
        <w:t>Trading in one block size (25MWh) enhances market liquidity (less contracts listed), reduces complexity and provides the ISO all of the purchase opportunities that larger block sizes do.</w:t>
      </w:r>
    </w:p>
    <w:p>
      <w:pPr>
        <w:pStyle w:val="Heading"/>
        <w:numPr>
          <w:ilvl w:val="0"/>
          <w:numId w:val="1"/>
        </w:numPr>
        <w:tabs>
          <w:tab w:val="left" w:pos="720" w:leader="none"/>
        </w:tabs>
        <w:ind w:hanging="360" w:start="720" w:end="0"/>
        <w:jc w:val="start"/>
        <w:rPr>
          <w:b w:val="false"/>
        </w:rPr>
      </w:pPr>
      <w:r>
        <w:rPr>
          <w:b w:val="false"/>
        </w:rPr>
        <w:t>We thus recommend that the accept a single block size of 25MWh</w:t>
      </w:r>
    </w:p>
    <w:p>
      <w:pPr>
        <w:pStyle w:val="Heading"/>
        <w:numPr>
          <w:ilvl w:val="0"/>
          <w:numId w:val="2"/>
        </w:numPr>
        <w:jc w:val="start"/>
        <w:rPr>
          <w:b w:val="false"/>
        </w:rPr>
      </w:pPr>
      <w:r>
        <w:rPr>
          <w:b w:val="false"/>
        </w:rPr>
        <w:t>To further enhance liquidity, the ISO should choose a selection of trading points rather than all ISO interchange points.</w:t>
      </w:r>
    </w:p>
    <w:p>
      <w:pPr>
        <w:pStyle w:val="Heading"/>
        <w:numPr>
          <w:ilvl w:val="0"/>
          <w:numId w:val="2"/>
        </w:numPr>
        <w:tabs>
          <w:tab w:val="left" w:pos="720" w:leader="none"/>
        </w:tabs>
        <w:ind w:hanging="360" w:start="720" w:end="0"/>
        <w:jc w:val="start"/>
        <w:rPr>
          <w:b w:val="false"/>
        </w:rPr>
      </w:pPr>
      <w:r>
        <w:rPr>
          <w:b w:val="false"/>
        </w:rPr>
        <w:t>In previous conversations the following points had been identified as sufficient for the ISO’s needs:</w:t>
      </w:r>
    </w:p>
    <w:p>
      <w:pPr>
        <w:pStyle w:val="Heading"/>
        <w:ind w:start="720" w:end="0"/>
        <w:jc w:val="start"/>
        <w:rPr>
          <w:b w:val="false"/>
        </w:rPr>
      </w:pPr>
      <w:r>
        <w:rPr>
          <w:b w:val="false"/>
        </w:rPr>
        <w:t>NP15 – SP15 – Mead – Cob – Palo Verde</w:t>
      </w:r>
    </w:p>
    <w:p>
      <w:pPr>
        <w:pStyle w:val="Heading"/>
        <w:numPr>
          <w:ilvl w:val="0"/>
          <w:numId w:val="4"/>
        </w:numPr>
        <w:tabs>
          <w:tab w:val="clear" w:pos="720"/>
          <w:tab w:val="left" w:pos="1080" w:leader="none"/>
        </w:tabs>
        <w:ind w:hanging="360" w:start="1080" w:end="0"/>
        <w:jc w:val="start"/>
        <w:rPr>
          <w:b w:val="false"/>
        </w:rPr>
      </w:pPr>
      <w:r>
        <w:rPr>
          <w:b w:val="false"/>
        </w:rPr>
        <w:t>Are these points sufficient, or are additional ones required?</w:t>
      </w:r>
    </w:p>
    <w:p>
      <w:pPr>
        <w:pStyle w:val="Heading"/>
        <w:numPr>
          <w:ilvl w:val="0"/>
          <w:numId w:val="4"/>
        </w:numPr>
        <w:jc w:val="start"/>
        <w:rPr>
          <w:b w:val="false"/>
        </w:rPr>
      </w:pPr>
      <w:r>
        <w:rPr>
          <w:b w:val="false"/>
        </w:rPr>
        <w:t>The scheduling process should be described, in writing, before trading commences.  Previous conversations were centered on the ISO treating its purchases as Real-Time energy.  Is this still the case?</w:t>
      </w:r>
    </w:p>
    <w:p>
      <w:pPr>
        <w:pStyle w:val="Heading"/>
        <w:numPr>
          <w:ilvl w:val="0"/>
          <w:numId w:val="4"/>
        </w:numPr>
        <w:jc w:val="start"/>
        <w:rPr>
          <w:b w:val="false"/>
        </w:rPr>
      </w:pPr>
      <w:r>
        <w:rPr>
          <w:b w:val="false"/>
        </w:rPr>
        <w:t>A procedure needs to be defined for how the ISO intends to notify participants that it intends to enter the market.  The PX software has the ability to send broadcast messages from our control center.  Thus, we could send a message to the entire market upon notification by the ISO.</w:t>
      </w:r>
    </w:p>
    <w:p>
      <w:pPr>
        <w:pStyle w:val="Heading"/>
        <w:numPr>
          <w:ilvl w:val="0"/>
          <w:numId w:val="4"/>
        </w:numPr>
        <w:jc w:val="start"/>
        <w:rPr>
          <w:b w:val="false"/>
        </w:rPr>
      </w:pPr>
      <w:r>
        <w:rPr>
          <w:b w:val="false"/>
        </w:rPr>
        <w:t>The following need to be fully detailed before trading commences.</w:t>
      </w:r>
    </w:p>
    <w:p>
      <w:pPr>
        <w:pStyle w:val="Heading"/>
        <w:numPr>
          <w:ilvl w:val="0"/>
          <w:numId w:val="4"/>
        </w:numPr>
        <w:tabs>
          <w:tab w:val="left" w:pos="720" w:leader="none"/>
        </w:tabs>
        <w:ind w:hanging="360" w:start="720" w:end="0"/>
        <w:jc w:val="start"/>
        <w:rPr>
          <w:b w:val="false"/>
        </w:rPr>
      </w:pPr>
      <w:r>
        <w:rPr>
          <w:b w:val="false"/>
        </w:rPr>
        <w:t>Credit policies</w:t>
      </w:r>
    </w:p>
    <w:p>
      <w:pPr>
        <w:pStyle w:val="Heading"/>
        <w:numPr>
          <w:ilvl w:val="0"/>
          <w:numId w:val="4"/>
        </w:numPr>
        <w:tabs>
          <w:tab w:val="left" w:pos="720" w:leader="none"/>
        </w:tabs>
        <w:ind w:hanging="360" w:start="720" w:end="0"/>
        <w:jc w:val="start"/>
        <w:rPr>
          <w:b w:val="false"/>
        </w:rPr>
      </w:pPr>
      <w:r>
        <w:rPr>
          <w:b w:val="false"/>
        </w:rPr>
        <w:t>Settlement processes</w:t>
      </w:r>
    </w:p>
    <w:p>
      <w:pPr>
        <w:pStyle w:val="Heading"/>
        <w:numPr>
          <w:ilvl w:val="0"/>
          <w:numId w:val="4"/>
        </w:numPr>
        <w:tabs>
          <w:tab w:val="left" w:pos="720" w:leader="none"/>
        </w:tabs>
        <w:ind w:hanging="360" w:start="720" w:end="0"/>
        <w:jc w:val="start"/>
        <w:rPr>
          <w:b w:val="false"/>
        </w:rPr>
      </w:pPr>
      <w:r>
        <w:rPr>
          <w:b w:val="false"/>
        </w:rPr>
        <w:t>Tick size.  Current PX forward marks trade in price increments of 5 cents.   We believe that this should be sufficient for this market</w:t>
      </w:r>
    </w:p>
    <w:p>
      <w:pPr>
        <w:pStyle w:val="Heading"/>
        <w:numPr>
          <w:ilvl w:val="0"/>
          <w:numId w:val="4"/>
        </w:numPr>
        <w:jc w:val="start"/>
        <w:rPr>
          <w:b w:val="false"/>
        </w:rPr>
      </w:pPr>
      <w:r>
        <w:rPr>
          <w:b w:val="false"/>
        </w:rPr>
        <w:t>While we support the ISO’s decision to make all purchases by 8 AM, we recommend that specific trading periods be defined in advance.  If trading hours are limited to standard trading periods, staffing requirements will be reduced and liquidity will be potentially increased.  This is because if normal trading timelines are adopted all involved will be able to utilize existing staff and current schedules.  Furthermore, the adoption of specific trading hours allows all bidders to concentrate attention to the market at the same time, ensuring that the greatest possible number of bids will be available.  If, instead the ISO requires round the clock trading, trades in non-standard hours will be with those sellers who are able to dedicate staff to 24-hour supervision of the market.  As this is a smaller section of the total market, off-hours trades will be in periods of less liquidity.</w:t>
      </w:r>
    </w:p>
    <w:p>
      <w:pPr>
        <w:pStyle w:val="Heading"/>
        <w:numPr>
          <w:ilvl w:val="0"/>
          <w:numId w:val="4"/>
        </w:numPr>
        <w:tabs>
          <w:tab w:val="left" w:pos="720" w:leader="none"/>
        </w:tabs>
        <w:ind w:hanging="360" w:start="720" w:end="0"/>
        <w:jc w:val="start"/>
        <w:rPr>
          <w:b w:val="false"/>
        </w:rPr>
      </w:pPr>
      <w:r>
        <w:rPr>
          <w:b w:val="false"/>
        </w:rPr>
        <w:t>We thus recommend that trading begin at 5am and close at 8 am, Monday to Friday</w:t>
      </w:r>
    </w:p>
    <w:p>
      <w:pPr>
        <w:pStyle w:val="Heading"/>
        <w:ind w:start="360" w:end="0"/>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 xml:space="preserve"> </w:t>
    </w:r>
    <w:r>
      <w:rPr/>
      <w:t>ISO draft definition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40"/>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2000-08-27T16:06:00Z</dcterms:created>
  <dc:creator>Jim McIntosh</dc:creator>
  <dc:description/>
  <dc:language>en-CA</dc:language>
  <cp:lastModifiedBy>MBulk</cp:lastModifiedBy>
  <cp:lastPrinted>2000-08-23T17:10:00Z</cp:lastPrinted>
  <dcterms:modified xsi:type="dcterms:W3CDTF">2000-08-27T16:06:00Z</dcterms:modified>
  <cp:revision>2</cp:revision>
  <dc:subject/>
  <dc:title>Delta Market</dc:title>
</cp:coreProperties>
</file>