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118745" distB="118745" distL="118745" distR="118745" simplePos="0" locked="0" layoutInCell="0" allowOverlap="1" relativeHeight="2">
                <wp:simplePos x="0" y="0"/>
                <wp:positionH relativeFrom="page">
                  <wp:posOffset>247015</wp:posOffset>
                </wp:positionH>
                <wp:positionV relativeFrom="page">
                  <wp:posOffset>193675</wp:posOffset>
                </wp:positionV>
                <wp:extent cx="2441575" cy="1188085"/>
                <wp:effectExtent l="0" t="0" r="0" b="0"/>
                <wp:wrapTopAndBottom/>
                <wp:docPr id="1" name="Frame1"/>
                <a:graphic xmlns:a="http://schemas.openxmlformats.org/drawingml/2006/main">
                  <a:graphicData uri="http://schemas.microsoft.com/office/word/2010/wordprocessingShape">
                    <wps:wsp>
                      <wps:cNvSpPr txBox="1"/>
                      <wps:spPr>
                        <a:xfrm>
                          <a:off x="0" y="0"/>
                          <a:ext cx="2441575" cy="1188085"/>
                        </a:xfrm>
                        <a:prstGeom prst="rect"/>
                        <a:solidFill>
                          <a:srgbClr val="FFFFFF">
                            <a:alpha val="0"/>
                          </a:srgbClr>
                        </a:solidFill>
                      </wps:spPr>
                      <wps:txbx>
                        <w:txbxContent>
                          <w:p>
                            <w:pPr>
                              <w:pStyle w:val="CompanyName"/>
                              <w:rPr/>
                            </w:pPr>
                            <w:r>
                              <w:rPr/>
                              <w:drawing>
                                <wp:inline distT="0" distB="0" distL="0" distR="0">
                                  <wp:extent cx="1188085" cy="1188085"/>
                                  <wp:effectExtent l="0" t="0" r="0" b="0"/>
                                  <wp:docPr id="2" name="Ene34cl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34clr" descr="" title=""/>
                                          <pic:cNvPicPr>
                                            <a:picLocks noChangeAspect="1" noChangeArrowheads="1"/>
                                          </pic:cNvPicPr>
                                        </pic:nvPicPr>
                                        <pic:blipFill>
                                          <a:blip r:embed="rId2"/>
                                          <a:srcRect l="-13" t="-13" r="-13" b="-13"/>
                                          <a:stretch>
                                            <a:fillRect/>
                                          </a:stretch>
                                        </pic:blipFill>
                                        <pic:spPr bwMode="auto">
                                          <a:xfrm>
                                            <a:off x="0" y="0"/>
                                            <a:ext cx="1188085" cy="118808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92.25pt;height:93.55pt;mso-wrap-distance-left:9.35pt;mso-wrap-distance-right:9.35pt;mso-wrap-distance-top:9.35pt;mso-wrap-distance-bottom:9.35pt;margin-top:15.25pt;mso-position-vertical-relative:page;margin-left:19.45pt;mso-position-horizontal-relative:page">
                <v:fill opacity="0f"/>
                <v:textbox inset="0in,0in,0in,0in">
                  <w:txbxContent>
                    <w:p>
                      <w:pPr>
                        <w:pStyle w:val="CompanyName"/>
                        <w:rPr/>
                      </w:pPr>
                      <w:r>
                        <w:rPr/>
                        <w:drawing>
                          <wp:inline distT="0" distB="0" distL="0" distR="0">
                            <wp:extent cx="1188085" cy="1188085"/>
                            <wp:effectExtent l="0" t="0" r="0" b="0"/>
                            <wp:docPr id="3" name="Ene34cl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e34clr" descr="" title=""/>
                                    <pic:cNvPicPr>
                                      <a:picLocks noChangeAspect="1" noChangeArrowheads="1"/>
                                    </pic:cNvPicPr>
                                  </pic:nvPicPr>
                                  <pic:blipFill>
                                    <a:blip r:embed="rId3"/>
                                    <a:srcRect l="-13" t="-13" r="-13" b="-13"/>
                                    <a:stretch>
                                      <a:fillRect/>
                                    </a:stretch>
                                  </pic:blipFill>
                                  <pic:spPr bwMode="auto">
                                    <a:xfrm>
                                      <a:off x="0" y="0"/>
                                      <a:ext cx="1188085" cy="1188085"/>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4">
                <wp:simplePos x="0" y="0"/>
                <wp:positionH relativeFrom="page">
                  <wp:posOffset>3928110</wp:posOffset>
                </wp:positionH>
                <wp:positionV relativeFrom="page">
                  <wp:posOffset>668655</wp:posOffset>
                </wp:positionV>
                <wp:extent cx="1308735" cy="476250"/>
                <wp:effectExtent l="0" t="0" r="0" b="0"/>
                <wp:wrapTopAndBottom/>
                <wp:docPr id="4" name="Frame2"/>
                <a:graphic xmlns:a="http://schemas.openxmlformats.org/drawingml/2006/main">
                  <a:graphicData uri="http://schemas.microsoft.com/office/word/2010/wordprocessingShape">
                    <wps:wsp>
                      <wps:cNvSpPr txBox="1"/>
                      <wps:spPr>
                        <a:xfrm>
                          <a:off x="0" y="0"/>
                          <a:ext cx="1308735" cy="476250"/>
                        </a:xfrm>
                        <a:prstGeom prst="rect"/>
                        <a:solidFill>
                          <a:srgbClr val="FFFFFF">
                            <a:alpha val="0"/>
                          </a:srgbClr>
                        </a:solidFill>
                      </wps:spPr>
                      <wps:txbx>
                        <w:txbxContent>
                          <w:p>
                            <w:pPr>
                              <w:pStyle w:val="ReturnAddress"/>
                              <w:rPr/>
                            </w:pPr>
                            <w:r>
                              <w:rPr/>
                              <w:t>Enron Power Marketing, Inc.</w:t>
                            </w:r>
                          </w:p>
                          <w:p>
                            <w:pPr>
                              <w:pStyle w:val="ReturnAddress"/>
                              <w:rPr/>
                            </w:pPr>
                            <w:r>
                              <w:rPr/>
                              <w:t>121 S.W. Salmon 3WTC0306</w:t>
                            </w:r>
                          </w:p>
                          <w:p>
                            <w:pPr>
                              <w:pStyle w:val="ReturnAddress"/>
                              <w:rPr/>
                            </w:pPr>
                            <w:r>
                              <w:rPr/>
                              <w:t>Portland, Oregon 97204</w:t>
                            </w:r>
                          </w:p>
                        </w:txbxContent>
                      </wps:txbx>
                      <wps:bodyPr anchor="t" lIns="0" tIns="0" rIns="0" bIns="0">
                        <a:noAutofit/>
                      </wps:bodyPr>
                    </wps:wsp>
                  </a:graphicData>
                </a:graphic>
              </wp:anchor>
            </w:drawing>
          </mc:Choice>
          <mc:Fallback>
            <w:pict>
              <v:rect fillcolor="#FFFFFF" style="position:absolute;rotation:-0;width:103.05pt;height:37.5pt;mso-wrap-distance-left:9.35pt;mso-wrap-distance-right:9.35pt;mso-wrap-distance-top:9.35pt;mso-wrap-distance-bottom:9.35pt;margin-top:52.65pt;mso-position-vertical-relative:page;margin-left:309.3pt;mso-position-horizontal-relative:page">
                <v:fill opacity="0f"/>
                <v:textbox inset="0in,0in,0in,0in">
                  <w:txbxContent>
                    <w:p>
                      <w:pPr>
                        <w:pStyle w:val="ReturnAddress"/>
                        <w:rPr/>
                      </w:pPr>
                      <w:r>
                        <w:rPr/>
                        <w:t>Enron Power Marketing, Inc.</w:t>
                      </w:r>
                    </w:p>
                    <w:p>
                      <w:pPr>
                        <w:pStyle w:val="ReturnAddress"/>
                        <w:rPr/>
                      </w:pPr>
                      <w:r>
                        <w:rPr/>
                        <w:t>121 S.W. Salmon 3WTC0306</w:t>
                      </w:r>
                    </w:p>
                    <w:p>
                      <w:pPr>
                        <w:pStyle w:val="ReturnAddress"/>
                        <w:rPr/>
                      </w:pPr>
                      <w:r>
                        <w:rPr/>
                        <w:t>Portland, Oregon 97204</w:t>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5">
                <wp:simplePos x="0" y="0"/>
                <wp:positionH relativeFrom="page">
                  <wp:posOffset>5353050</wp:posOffset>
                </wp:positionH>
                <wp:positionV relativeFrom="page">
                  <wp:posOffset>668655</wp:posOffset>
                </wp:positionV>
                <wp:extent cx="1548130" cy="476250"/>
                <wp:effectExtent l="0" t="0" r="0" b="0"/>
                <wp:wrapTopAndBottom/>
                <wp:docPr id="5" name="Frame3"/>
                <a:graphic xmlns:a="http://schemas.openxmlformats.org/drawingml/2006/main">
                  <a:graphicData uri="http://schemas.microsoft.com/office/word/2010/wordprocessingShape">
                    <wps:wsp>
                      <wps:cNvSpPr txBox="1"/>
                      <wps:spPr>
                        <a:xfrm>
                          <a:off x="0" y="0"/>
                          <a:ext cx="1548130" cy="476250"/>
                        </a:xfrm>
                        <a:prstGeom prst="rect"/>
                        <a:solidFill>
                          <a:srgbClr val="FFFFFF">
                            <a:alpha val="0"/>
                          </a:srgbClr>
                        </a:solidFill>
                      </wps:spPr>
                      <wps:txbx>
                        <w:txbxContent>
                          <w:p>
                            <w:pPr>
                              <w:pStyle w:val="ReturnAddress"/>
                              <w:rPr/>
                            </w:pPr>
                            <w:r>
                              <w:rPr/>
                              <w:t>Phone:    (503) 464-8817</w:t>
                            </w:r>
                          </w:p>
                          <w:p>
                            <w:pPr>
                              <w:pStyle w:val="ReturnAddress"/>
                              <w:rPr/>
                            </w:pPr>
                            <w:r>
                              <w:rPr/>
                              <w:t>Cell:        (503) 702-9846</w:t>
                            </w:r>
                          </w:p>
                          <w:p>
                            <w:pPr>
                              <w:pStyle w:val="ReturnAddress"/>
                              <w:rPr/>
                            </w:pPr>
                            <w:r>
                              <w:rPr/>
                              <w:t>Fax:        (503) 464-3740</w:t>
                            </w:r>
                          </w:p>
                          <w:p>
                            <w:pPr>
                              <w:pStyle w:val="ReturnAddress"/>
                              <w:rPr/>
                            </w:pPr>
                            <w:r>
                              <w:rPr/>
                              <w:t>Email:     murray.p.o’neil@enron.com</w:t>
                              <w:tab/>
                            </w:r>
                          </w:p>
                        </w:txbxContent>
                      </wps:txbx>
                      <wps:bodyPr anchor="t" lIns="0" tIns="0" rIns="0" bIns="0">
                        <a:noAutofit/>
                      </wps:bodyPr>
                    </wps:wsp>
                  </a:graphicData>
                </a:graphic>
              </wp:anchor>
            </w:drawing>
          </mc:Choice>
          <mc:Fallback>
            <w:pict>
              <v:rect fillcolor="#FFFFFF" style="position:absolute;rotation:-0;width:121.9pt;height:37.5pt;mso-wrap-distance-left:9.35pt;mso-wrap-distance-right:9.35pt;mso-wrap-distance-top:9.35pt;mso-wrap-distance-bottom:9.35pt;margin-top:52.65pt;mso-position-vertical-relative:page;margin-left:421.5pt;mso-position-horizontal-relative:page">
                <v:fill opacity="0f"/>
                <v:textbox inset="0in,0in,0in,0in">
                  <w:txbxContent>
                    <w:p>
                      <w:pPr>
                        <w:pStyle w:val="ReturnAddress"/>
                        <w:rPr/>
                      </w:pPr>
                      <w:r>
                        <w:rPr/>
                        <w:t>Phone:    (503) 464-8817</w:t>
                      </w:r>
                    </w:p>
                    <w:p>
                      <w:pPr>
                        <w:pStyle w:val="ReturnAddress"/>
                        <w:rPr/>
                      </w:pPr>
                      <w:r>
                        <w:rPr/>
                        <w:t>Cell:        (503) 702-9846</w:t>
                      </w:r>
                    </w:p>
                    <w:p>
                      <w:pPr>
                        <w:pStyle w:val="ReturnAddress"/>
                        <w:rPr/>
                      </w:pPr>
                      <w:r>
                        <w:rPr/>
                        <w:t>Fax:        (503) 464-3740</w:t>
                      </w:r>
                    </w:p>
                    <w:p>
                      <w:pPr>
                        <w:pStyle w:val="ReturnAddress"/>
                        <w:rPr/>
                      </w:pPr>
                      <w:r>
                        <w:rPr/>
                        <w:t>Email:     murray.p.o’neil@enron.com</w:t>
                        <w:tab/>
                      </w:r>
                    </w:p>
                  </w:txbxContent>
                </v:textbox>
                <w10:wrap type="topAndBottom"/>
              </v:rect>
            </w:pict>
          </mc:Fallback>
        </mc:AlternateContent>
      </w:r>
    </w:p>
    <w:p>
      <w:pPr>
        <w:pStyle w:val="ReferenceLine"/>
        <w:spacing w:lineRule="auto" w:line="240" w:before="0" w:after="0"/>
        <w:rPr>
          <w:rFonts w:cs="Arial"/>
        </w:rPr>
      </w:pPr>
      <w:r>
        <w:rPr>
          <w:rFonts w:cs="Arial"/>
        </w:rPr>
        <w:t>California ISO</w:t>
        <w:br/>
        <w:t>P.O.  Box 639014</w:t>
        <w:br/>
        <w:t>Folsom, CA 95630-9014</w:t>
      </w:r>
    </w:p>
    <w:p>
      <w:pPr>
        <w:pStyle w:val="InsideAddressName"/>
        <w:rPr>
          <w:rFonts w:cs="Arial"/>
        </w:rPr>
      </w:pPr>
      <w:r>
        <w:rPr>
          <w:rFonts w:cs="Arial"/>
        </w:rPr>
      </w:r>
    </w:p>
    <w:p>
      <w:pPr>
        <w:pStyle w:val="Salutation"/>
        <w:rPr/>
      </w:pPr>
      <w:r>
        <w:fldChar w:fldCharType="begin"/>
      </w:r>
      <w:r>
        <w:rPr/>
        <w:instrText xml:space="preserve"> AUTOTEXTLIST  </w:instrText>
      </w:r>
      <w:r>
        <w:rPr/>
      </w:r>
      <w:r>
        <w:rPr/>
        <w:fldChar w:fldCharType="separate"/>
      </w:r>
      <w:r>
        <w:rPr/>
        <w:t>Mr</w:t>
      </w:r>
      <w:r>
        <w:rPr>
          <w:color w:val="000000"/>
        </w:rPr>
        <w:t>. Almei</w:t>
      </w:r>
      <w:r>
        <w:rPr/>
        <w:t>da:</w:t>
      </w:r>
      <w:r/>
      <w:r>
        <w:rPr/>
        <w:fldChar w:fldCharType="end"/>
      </w:r>
      <w:r>
        <w:rPr/>
      </w:r>
    </w:p>
    <w:p>
      <w:pPr>
        <w:pStyle w:val="BodyText"/>
        <w:rPr/>
      </w:pPr>
      <w:r>
        <w:rPr/>
        <w:t>I am writing this letter as an attempt, to explain the mishaps in reporting March load meter data to the ISO and to information you of our actions to prevent situations like this from occurring in the future.</w:t>
      </w:r>
    </w:p>
    <w:p>
      <w:pPr>
        <w:pStyle w:val="BodyText"/>
        <w:rPr/>
      </w:pPr>
      <w:r>
        <w:rPr/>
        <w:t>During the calendar month of May 2001, there were a number of March trade days which Enron Power Marketing, Inc., (EPMI)  provided incomplete or inaccurate meter data prior to preliminary settlement processing by the ISO.   The primary causes for the incomplete or inaccurate meter data were the following:</w:t>
      </w:r>
    </w:p>
    <w:p>
      <w:pPr>
        <w:pStyle w:val="Normal"/>
        <w:rPr/>
      </w:pPr>
      <w:r>
        <w:rPr/>
        <w:t>Trade Days 3/4/2001 – 3/8/2001 Meter Data Issues:</w:t>
      </w:r>
    </w:p>
    <w:p>
      <w:pPr>
        <w:pStyle w:val="Normal"/>
        <w:rPr/>
      </w:pPr>
      <w:r>
        <w:rPr/>
      </w:r>
    </w:p>
    <w:p>
      <w:pPr>
        <w:pStyle w:val="Normal"/>
        <w:numPr>
          <w:ilvl w:val="0"/>
          <w:numId w:val="3"/>
        </w:numPr>
        <w:rPr/>
      </w:pPr>
      <w:r>
        <w:rPr/>
        <w:t>The first issue was a resource left the company who provides Enron with  usage data (CSC). The Manager of this person picked up the responsibility of the departing individual without knowledge of all the activities of that individual. (Capture of conversion factors, validation of customer meters included in process)</w:t>
      </w:r>
    </w:p>
    <w:p>
      <w:pPr>
        <w:pStyle w:val="Normal"/>
        <w:ind w:start="720" w:end="0"/>
        <w:rPr/>
      </w:pPr>
      <w:r>
        <w:rPr/>
      </w:r>
    </w:p>
    <w:p>
      <w:pPr>
        <w:pStyle w:val="Normal"/>
        <w:numPr>
          <w:ilvl w:val="0"/>
          <w:numId w:val="3"/>
        </w:numPr>
        <w:rPr/>
      </w:pPr>
      <w:r>
        <w:rPr/>
        <w:t>The second issue was related to a breakdown in checks and balances.  With the person leaving CSC the manager got behind on generating daily reports and providing them to Enron.  Therefore, Enron was unable to execute their checks and balancing process prior to meter data delivery deadlines to the ISO.</w:t>
      </w:r>
    </w:p>
    <w:p>
      <w:pPr>
        <w:pStyle w:val="Normal"/>
        <w:rPr/>
      </w:pPr>
      <w:r>
        <w:rPr/>
      </w:r>
    </w:p>
    <w:p>
      <w:pPr>
        <w:pStyle w:val="Normal"/>
        <w:rPr/>
      </w:pPr>
      <w:r>
        <w:rPr/>
        <w:t>Trade Days 3/10/2001, 3/14/2001 – 3/16/2001 Meter Data Issues:</w:t>
      </w:r>
    </w:p>
    <w:p>
      <w:pPr>
        <w:pStyle w:val="Normal"/>
        <w:rPr/>
      </w:pPr>
      <w:r>
        <w:rPr/>
      </w:r>
    </w:p>
    <w:p>
      <w:pPr>
        <w:pStyle w:val="Normal"/>
        <w:numPr>
          <w:ilvl w:val="0"/>
          <w:numId w:val="4"/>
        </w:numPr>
        <w:rPr/>
      </w:pPr>
      <w:r>
        <w:rPr/>
        <w:t>SDGE posted faulty numbers due to new software with bugs submitting wrong numbers.  These files were recalculated manually and the problem is being addressed.</w:t>
      </w:r>
    </w:p>
    <w:p>
      <w:pPr>
        <w:pStyle w:val="Normal"/>
        <w:ind w:start="720" w:end="0"/>
        <w:rPr/>
      </w:pPr>
      <w:r>
        <w:rPr/>
      </w:r>
    </w:p>
    <w:p>
      <w:pPr>
        <w:pStyle w:val="Normal"/>
        <w:numPr>
          <w:ilvl w:val="0"/>
          <w:numId w:val="4"/>
        </w:numPr>
        <w:rPr/>
      </w:pPr>
      <w:r>
        <w:rPr/>
        <w:t>Same issues which occurred 3/4/2001 – 3/8/2001</w:t>
      </w:r>
    </w:p>
    <w:p>
      <w:pPr>
        <w:pStyle w:val="Normal"/>
        <w:rPr/>
      </w:pPr>
      <w:r>
        <w:rPr/>
      </w:r>
    </w:p>
    <w:p>
      <w:pPr>
        <w:pStyle w:val="Normal"/>
        <w:rPr/>
      </w:pPr>
      <w:r>
        <w:rPr/>
        <w:t>Trade Days 3/17/2001 – 3/24/2001 and 3/26/2001</w:t>
      </w:r>
    </w:p>
    <w:p>
      <w:pPr>
        <w:pStyle w:val="Normal"/>
        <w:rPr/>
      </w:pPr>
      <w:r>
        <w:rPr/>
      </w:r>
    </w:p>
    <w:p>
      <w:pPr>
        <w:pStyle w:val="Normal"/>
        <w:numPr>
          <w:ilvl w:val="0"/>
          <w:numId w:val="5"/>
        </w:numPr>
        <w:rPr/>
      </w:pPr>
      <w:r>
        <w:rPr/>
        <w:t>MDMA Software at CSC failed because of invalid values being introduced to it making it impossible for CSC to provide information to Enron until data was clean-up and re-run.  (Customers who were returned back to the UDC from EES,  were showing up in EES meter data file from the UDC).</w:t>
      </w:r>
    </w:p>
    <w:p>
      <w:pPr>
        <w:pStyle w:val="BodyText"/>
        <w:rPr>
          <w:rFonts w:eastAsia="Arial"/>
        </w:rPr>
      </w:pPr>
      <w:r>
        <w:rPr>
          <w:rFonts w:eastAsia="Arial"/>
        </w:rPr>
        <w:t xml:space="preserve"> </w:t>
      </w:r>
    </w:p>
    <w:p>
      <w:pPr>
        <w:pStyle w:val="BodyText"/>
        <w:rPr/>
      </w:pPr>
      <w:r>
        <w:rPr/>
        <w:t>The following solutions have been implemented to prevent these issues from occurring in the future:</w:t>
      </w:r>
    </w:p>
    <w:p>
      <w:pPr>
        <w:pStyle w:val="BodyText"/>
        <w:numPr>
          <w:ilvl w:val="0"/>
          <w:numId w:val="5"/>
        </w:numPr>
        <w:rPr/>
      </w:pPr>
      <w:r>
        <w:rPr/>
        <w:t>CSC has implemented enhancements to their billing system interface to the MDMA which will flag accounts for non-settlement that have been returned to UDC bundled service.</w:t>
      </w:r>
    </w:p>
    <w:p>
      <w:pPr>
        <w:pStyle w:val="BodyText"/>
        <w:numPr>
          <w:ilvl w:val="0"/>
          <w:numId w:val="5"/>
        </w:numPr>
        <w:rPr/>
      </w:pPr>
      <w:r>
        <w:rPr/>
        <w:t>Previously, high loads were not detected by CSC until notified by EES or EPMI and this usually occurred after several files had already been produced and posted to EES by CSC.  CSC has hired a full-time settlement analyst that will be manually checking the files on a daily basis for irregularities.  Load deviations will be researched to the account level, which will identify new and closed accounts.</w:t>
      </w:r>
    </w:p>
    <w:p>
      <w:pPr>
        <w:pStyle w:val="BodyText"/>
        <w:numPr>
          <w:ilvl w:val="0"/>
          <w:numId w:val="5"/>
        </w:numPr>
        <w:rPr/>
      </w:pPr>
      <w:r>
        <w:rPr/>
        <w:t>The CSC billing system feed to the MDMA is now being monitored to identify erroneous account statuses that could create a problem with the MDMA’s selection of accounts for settlement</w:t>
      </w:r>
    </w:p>
    <w:p>
      <w:pPr>
        <w:pStyle w:val="BodyText"/>
        <w:numPr>
          <w:ilvl w:val="0"/>
          <w:numId w:val="5"/>
        </w:numPr>
        <w:rPr/>
      </w:pPr>
      <w:r>
        <w:rPr/>
        <w:t>CSC in monitoring each step from the billing system through posting of the settlement file to determine problems.  These checks will flag problems in the process such as UDC file error, billing system feed errors, and process logic flaws.  This process has already proven to be effective.  There have been a couple of errors which occurred in CSC’s processing since the excessive load reporting for March and were corrected before CSC posted the files to EES.</w:t>
      </w:r>
    </w:p>
    <w:p>
      <w:pPr>
        <w:pStyle w:val="BodyText"/>
        <w:numPr>
          <w:ilvl w:val="0"/>
          <w:numId w:val="5"/>
        </w:numPr>
        <w:rPr/>
      </w:pPr>
      <w:r>
        <w:rPr/>
        <w:t>CSC has implemented a process which will enable them to generate the settlement files manually using estimation algorithms when system problems occur.</w:t>
      </w:r>
    </w:p>
    <w:p>
      <w:pPr>
        <w:pStyle w:val="BodyText"/>
        <w:numPr>
          <w:ilvl w:val="0"/>
          <w:numId w:val="5"/>
        </w:numPr>
        <w:rPr/>
      </w:pPr>
      <w:r>
        <w:rPr/>
        <w:t>The EES Load Forecasting and Settlements group has been given access (Which they did not have previously) to the MDMA account level usage data.  This access is being used to perform audits on the settlement files prior to publishing them to EPMI for distribution to the ISO.</w:t>
      </w:r>
    </w:p>
    <w:p>
      <w:pPr>
        <w:pStyle w:val="BodyText"/>
        <w:numPr>
          <w:ilvl w:val="0"/>
          <w:numId w:val="5"/>
        </w:numPr>
        <w:rPr/>
      </w:pPr>
      <w:r>
        <w:rPr/>
        <w:t>EPMI has reinstated processes to validate the information being provided EES.  The following steps occur .</w:t>
      </w:r>
    </w:p>
    <w:p>
      <w:pPr>
        <w:pStyle w:val="BodyText"/>
        <w:numPr>
          <w:ilvl w:val="1"/>
          <w:numId w:val="5"/>
        </w:numPr>
        <w:rPr/>
      </w:pPr>
      <w:r>
        <w:rPr/>
        <w:t>Validate meter data passes 5% tolerance test.  (Ensure that total California usage data vs. total California Schedules for EES are within 5%).  If tolerance is exceeded, EPMI places a call to the EES Planning and Load Forecasting group to ensure they are comfortable with their number.</w:t>
      </w:r>
    </w:p>
    <w:p>
      <w:pPr>
        <w:pStyle w:val="BodyText"/>
        <w:numPr>
          <w:ilvl w:val="1"/>
          <w:numId w:val="5"/>
        </w:numPr>
        <w:rPr/>
      </w:pPr>
      <w:r>
        <w:rPr/>
        <w:t>Run trends validation report. (Compare up to 8 like days or consecutive days in the past to ensure that trends are explainable.)  If usage meter data looks abnormal EPMI will contact the EES Planning and Load Forecasting group for explanation and if that is not acceptable then addition research by EES and CSC will be requested.</w:t>
      </w:r>
    </w:p>
    <w:p>
      <w:pPr>
        <w:pStyle w:val="BodyText"/>
        <w:rPr/>
      </w:pPr>
      <w:r>
        <w:rPr/>
      </w:r>
    </w:p>
    <w:p>
      <w:pPr>
        <w:pStyle w:val="BodyText"/>
        <w:rPr/>
      </w:pPr>
      <w:r>
        <w:rPr/>
        <w:t>It is my belief, with these process and system improvement which have been implemented by CSC, EES and EPMI that we will drastically reduce the odds of distributing inaccurate or incomplete meter data to the ISO in the future.</w:t>
      </w:r>
    </w:p>
    <w:p>
      <w:pPr>
        <w:pStyle w:val="BodyText"/>
        <w:rPr/>
      </w:pPr>
      <w:r>
        <w:rPr/>
        <w:t>If for any reason this letter and our implemented changes do not satisfy your request, please feel free to contact me.</w:t>
      </w:r>
    </w:p>
    <w:p>
      <w:pPr>
        <w:pStyle w:val="BodyText"/>
        <w:rPr/>
      </w:pPr>
      <w:r>
        <w:rPr>
          <w:rFonts w:eastAsia="Arial"/>
        </w:rPr>
        <w:t xml:space="preserve"> </w:t>
      </w:r>
      <w:r>
        <w:fldChar w:fldCharType="begin"/>
      </w:r>
      <w:r>
        <w:rPr/>
        <w:instrText xml:space="preserve"> AUTOTEXTLIST  </w:instrText>
      </w:r>
      <w:r>
        <w:rPr/>
      </w:r>
      <w:r>
        <w:rPr/>
        <w:fldChar w:fldCharType="separate"/>
      </w:r>
      <w:r>
        <w:rPr/>
        <w:t>Sincerely,</w:t>
      </w:r>
      <w:r/>
      <w:r>
        <w:rPr/>
        <w:fldChar w:fldCharType="end"/>
      </w:r>
      <w:r>
        <w:rPr/>
      </w:r>
    </w:p>
    <w:p>
      <w:pPr>
        <w:pStyle w:val="Signature"/>
        <w:rPr/>
      </w:pPr>
      <w:r>
        <w:rPr/>
        <w:t>Murray O’Neil</w:t>
      </w:r>
    </w:p>
    <w:p>
      <w:pPr>
        <w:pStyle w:val="SignatureJobTitle"/>
        <w:rPr/>
      </w:pPr>
      <w:r>
        <w:rPr/>
        <w:t>Senior Director – Enron Power Marketing, Inc.</w:t>
      </w:r>
    </w:p>
    <w:sectPr>
      <w:headerReference w:type="default" r:id="rId4"/>
      <w:headerReference w:type="first" r:id="rId5"/>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2</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6"/>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Letter.dot</Template>
  <TotalTime>351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2001-05-29T15:00:00Z</dcterms:created>
  <dc:creator>moneil</dc:creator>
  <dc:description/>
  <dc:language>en-CA</dc:language>
  <cp:lastModifiedBy>moneil</cp:lastModifiedBy>
  <cp:lastPrinted>2001-06-08T09:23:00Z</cp:lastPrinted>
  <dcterms:modified xsi:type="dcterms:W3CDTF">2001-06-08T14:40:00Z</dcterms:modified>
  <cp:revision>14</cp:revision>
  <dc:subject/>
  <dc:title>Professional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