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25 July 2000</w:t>
      </w:r>
    </w:p>
    <w:p>
      <w:pPr>
        <w:pStyle w:val="Normal"/>
        <w:jc w:val="center"/>
        <w:rPr>
          <w:b/>
          <w:sz w:val="28"/>
        </w:rPr>
      </w:pPr>
      <w:r>
        <w:rPr>
          <w:b/>
          <w:sz w:val="28"/>
        </w:rPr>
        <w:t xml:space="preserve">International Swaps and Derivatives Association </w:t>
      </w:r>
    </w:p>
    <w:p>
      <w:pPr>
        <w:pStyle w:val="Normal"/>
        <w:jc w:val="center"/>
        <w:rPr>
          <w:b/>
        </w:rPr>
      </w:pPr>
      <w:r>
        <w:rPr>
          <w:b/>
        </w:rPr>
        <w:t>Proposed Commission Communication on the</w:t>
      </w:r>
    </w:p>
    <w:p>
      <w:pPr>
        <w:pStyle w:val="Normal"/>
        <w:jc w:val="center"/>
        <w:rPr>
          <w:b/>
        </w:rPr>
      </w:pPr>
      <w:r>
        <w:rPr>
          <w:b/>
        </w:rPr>
        <w:t>distinction between sophisticated and retail investors</w:t>
      </w:r>
    </w:p>
    <w:p>
      <w:pPr>
        <w:pStyle w:val="Normal"/>
        <w:rPr>
          <w:b/>
        </w:rPr>
      </w:pPr>
      <w:r>
        <w:rPr>
          <w:b/>
        </w:rPr>
      </w:r>
    </w:p>
    <w:p>
      <w:pPr>
        <w:pStyle w:val="Normal"/>
        <w:rPr/>
      </w:pPr>
      <w:r>
        <w:rPr/>
        <w:t>The International Swaps and Derivatives Association (ISDA) is an international organisation whose membership comprises over 450 of the world's largest commercial, merchant and investment banks and other corporations and institutions that conduct significant activities in swaps and other privately negotiated derivatives transactions. Additional information about ISDA can be obtained from our web site, www.isda.org.</w:t>
      </w:r>
    </w:p>
    <w:p>
      <w:pPr>
        <w:pStyle w:val="Normal"/>
        <w:rPr/>
      </w:pPr>
      <w:r>
        <w:rPr/>
        <w:t xml:space="preserve">ISDA welcomes the proposal that the Commission issue a Communication on the distinction between sophisticated and retail investors under the Investment Services Directive (ISD). The treatment of inter-professionals business is of key concern to ISDA's members. The current situation where Member States apply different definitions of professional investor and apply different conduct of business rules imposes significant costs and acts as a barrier to cross-border business. Well managed firms spend a lot of unnecessary effort on keeping up to date with changes in rules in this area, on verifying - often on a transaction by transaction basis - what different requirements apply in practice and on ensuring compliance across the firm with them.  </w:t>
      </w:r>
    </w:p>
    <w:p>
      <w:pPr>
        <w:pStyle w:val="Normal"/>
        <w:rPr/>
      </w:pPr>
      <w:r>
        <w:rPr/>
        <w:t>We see little economic or regulatory sense in the status quo. The Commission's proposals for a Communication are a welcome indication that the Commission supports the basic objectives that we, the industry have put forward.</w:t>
      </w:r>
    </w:p>
    <w:p>
      <w:pPr>
        <w:pStyle w:val="Normal"/>
        <w:rPr/>
      </w:pPr>
      <w:r>
        <w:rPr/>
        <w:t>We have argued that a European regulatory regime based on the following key principles would greatly facilitate the development of the more efficient, liquid European capital markets that our political leaders have repeatedly called for in recent European Councils:</w:t>
      </w:r>
    </w:p>
    <w:p>
      <w:pPr>
        <w:pStyle w:val="Normal"/>
        <w:numPr>
          <w:ilvl w:val="0"/>
          <w:numId w:val="2"/>
        </w:numPr>
        <w:rPr/>
      </w:pPr>
      <w:r>
        <w:rPr/>
        <w:t>Inter-professional business should be subject to a lighter regime than retail business.</w:t>
      </w:r>
    </w:p>
    <w:p>
      <w:pPr>
        <w:pStyle w:val="Normal"/>
        <w:numPr>
          <w:ilvl w:val="0"/>
          <w:numId w:val="2"/>
        </w:numPr>
        <w:rPr/>
      </w:pPr>
      <w:r>
        <w:rPr/>
        <w:t>All regulation of inter-professional business should be country of origin based, underpinned by the evolution of pan European regulatory standards.</w:t>
      </w:r>
    </w:p>
    <w:p>
      <w:pPr>
        <w:pStyle w:val="Normal"/>
        <w:rPr/>
      </w:pPr>
      <w:r>
        <w:rPr/>
        <w:t xml:space="preserve">This paper comments on the discussion papers outlining the structure of the proposed Communication. In doing so, we also reiterate, for ease of reference, many of the issues set out in the joint submission made on 17 April 2000 to John Mogg, the Director General for the Internal Market, by ISDA and the Future and Options Association, the International Primary Market Association and the International Securities Market Association. However, we agree that it is important that there be broad consultation on the proposed draft text of the Communication once this has been prepared. </w:t>
      </w:r>
      <w:r>
        <w:br w:type="page"/>
      </w:r>
    </w:p>
    <w:p>
      <w:pPr>
        <w:pStyle w:val="Normal"/>
        <w:jc w:val="center"/>
        <w:rPr>
          <w:b/>
          <w:sz w:val="28"/>
        </w:rPr>
      </w:pPr>
      <w:r>
        <w:rPr>
          <w:b/>
          <w:sz w:val="28"/>
        </w:rPr>
        <w:t>EXECUTIVE SUMMARY</w:t>
      </w:r>
    </w:p>
    <w:p>
      <w:pPr>
        <w:pStyle w:val="Normal"/>
        <w:rPr>
          <w:b/>
        </w:rPr>
      </w:pPr>
      <w:r>
        <w:rPr>
          <w:b/>
        </w:rPr>
        <w:t>Article 11(2) ISD - duplication of rules</w:t>
      </w:r>
    </w:p>
    <w:p>
      <w:pPr>
        <w:pStyle w:val="Normal"/>
        <w:rPr/>
      </w:pPr>
      <w:r>
        <w:rPr/>
        <w:t>ISDA agrees that a key concern under the ISD is the extent to which firms conducting cross-border business are subjected to multiple sets of conduct of business (and advertising and marketing) rules. We strongly support the Commission's proposal that the Communication should focus on how to allocate responsibility for applying conduct of business rules.</w:t>
      </w:r>
    </w:p>
    <w:p>
      <w:pPr>
        <w:pStyle w:val="Normal"/>
        <w:rPr/>
      </w:pPr>
      <w:r>
        <w:rPr>
          <w:b/>
          <w:i/>
        </w:rPr>
        <w:t xml:space="preserve">Country of origin vs. home state control: </w:t>
      </w:r>
      <w:r>
        <w:rPr/>
        <w:t>The Communication should make clear that the correct approach to resolving the issue of multiple overlapping and conflicting rules is to start from the principle of "country of origin" control for the allocation of jurisdictional authority with respect to conduct of business, and advertising and marketing, rules (the term "home state" control referred to in the discussion papers may be confusing where the firm is operating through a branch in another Member State). This recognises the practicalities of dealing with branches and would be consistent with the e-commerce directive and the ISD.</w:t>
      </w:r>
    </w:p>
    <w:p>
      <w:pPr>
        <w:pStyle w:val="Normal"/>
        <w:rPr/>
      </w:pPr>
      <w:r>
        <w:rPr>
          <w:b/>
          <w:i/>
        </w:rPr>
        <w:t>Characteristic performance:</w:t>
      </w:r>
      <w:r>
        <w:rPr/>
        <w:t xml:space="preserve"> The discussion papers on the proposed Communication do not address the issue that, under the ISD, a Member State is only entitled to apply its rules where the services are provided within its territory. The Communication should reflect the analysis contained in the earlier Communication on the Second Banking Directive that the place where the characteristic performance takes place is the place where the services are provided. In essence, the characteristic performance test yields results which are largely consistent with, if not identical to, the country of origin approach. The Communication should make this clear.</w:t>
      </w:r>
    </w:p>
    <w:p>
      <w:pPr>
        <w:pStyle w:val="Normal"/>
        <w:rPr/>
      </w:pPr>
      <w:r>
        <w:rPr>
          <w:b/>
          <w:i/>
        </w:rPr>
        <w:t>"General good" restrictions on the host state:</w:t>
      </w:r>
      <w:r>
        <w:rPr/>
        <w:t xml:space="preserve"> Many Member States have, however, rejected the characteristic performance test or apply it in ways that produce very different results from the country of origin approach. Thus, the Communication must address the question of the extent to which a Member State could, even if it could establish that it is the "host state", impose its own rules in relation to cross-border services from another Member State. Those rules would still have to comply with the requirements of the "general good" test. It would be disproportionate and unduly burdensome to impose those rules without regard to the nature of the investors to whom the services are provided. </w:t>
      </w:r>
    </w:p>
    <w:p>
      <w:pPr>
        <w:pStyle w:val="Normal"/>
        <w:rPr/>
      </w:pPr>
      <w:r>
        <w:rPr/>
        <w:t>The Communication should approach this issue by seeking to identify those cases where such a Member State might have a sufficiently strong interest to justify duplicative regulation (rather than, as is proposed in the discussion papers, attempting to enumerate the categories of sophisticated or professional investor as regards whom host states cannot impose their own rules). The Communication should make clear the maximum extent that such a Member State can possibly go in seeking to impose its own rules to protect investors. This should not extend beyond the limited class of individual consumers and, possibly, small (unlisted) businesses (other than those assessed as expert and who waived the protection of the rules). This class aligns with the residual class in FESCO's paper of those investors who are not capable of qualifying as fully "professional" (excluding any expert investors who have waived the protections of those rules).</w:t>
      </w:r>
    </w:p>
    <w:p>
      <w:pPr>
        <w:pStyle w:val="Normal"/>
        <w:rPr/>
      </w:pPr>
      <w:r>
        <w:rPr>
          <w:b/>
          <w:i/>
        </w:rPr>
        <w:t>Which rules?</w:t>
      </w:r>
      <w:r>
        <w:rPr/>
        <w:t xml:space="preserve"> We agree that the Communication should apply to advertising and marketing rules covered by Article 13 as well as conduct of business rules covered by Article 11. There should, however, be further elaboration of the issues regarding conduct of business rules relating to market integrity referred to in the discussion papers on the proposed Communication. There are only limited circumstances in which a Member State is entitled to apply its market integrity rules to a firm operating in another Member State. The Communication should make clear that the implementation of conduct of business rules adopted under Article 11 with respect to market integrity should also be the responsibility of the country of origin.</w:t>
      </w:r>
    </w:p>
    <w:p>
      <w:pPr>
        <w:pStyle w:val="Normal"/>
        <w:rPr/>
      </w:pPr>
      <w:r>
        <w:rPr>
          <w:b/>
          <w:i/>
        </w:rPr>
        <w:t xml:space="preserve">ISD reform: </w:t>
      </w:r>
      <w:r>
        <w:rPr/>
        <w:t>However, the only lasting method of eliminating the burden to firms of multiple rules is to amend the ISD to enshrine the country of origin approach. This reflects the core principle of mutual recognition underpinned by the basic standards set out in Article 11 itself and the regulatory oversight to which all regulated firms are subject and is consistent with the e-commerce directive.</w:t>
      </w:r>
    </w:p>
    <w:p>
      <w:pPr>
        <w:pStyle w:val="Normal"/>
        <w:rPr/>
      </w:pPr>
      <w:r>
        <w:rPr>
          <w:b/>
        </w:rPr>
        <w:t>Article 11(1) ISD - inter-relationship with FESCO proposals</w:t>
      </w:r>
      <w:r>
        <w:rPr/>
        <w:t xml:space="preserve"> </w:t>
      </w:r>
    </w:p>
    <w:p>
      <w:pPr>
        <w:pStyle w:val="Normal"/>
        <w:rPr/>
      </w:pPr>
      <w:r>
        <w:rPr/>
        <w:t xml:space="preserve">The Communication should also address the nature and extent of the constraints imposed by the ISD and the Treaty on the country of origin when adopting and implementing conduct of business rules. The Communication should make clear that these rules must adequately take into account the professional nature of the person to whom the services are provided. The FESCO proposals go some way to providing an outline of how Member States may comply with this requirement. </w:t>
      </w:r>
    </w:p>
    <w:p>
      <w:pPr>
        <w:pStyle w:val="Normal"/>
        <w:rPr/>
      </w:pPr>
      <w:r>
        <w:rPr/>
        <w:t>However, the Communication should emphasise that, in the case of sophisticated investors, only a few general principles, rather than detailed rules, should apply. In addition, the Communication should also address the issue that there is at least some class of larger corporations that should be presumed to be fully professional and that Member States should not impose the full range of rules designed to protect retail investors on business conducted with larger corporations and institutional investors who do not elect to be treated as professional in the sense described in FESCO's proposals. A more complex, three tier classification is required for the purpose of determining which conduct of business rules apply in the country of origin of the services, while a simpler "binary" classification is appropriate for determining which country's rules apply.</w:t>
      </w:r>
    </w:p>
    <w:p>
      <w:pPr>
        <w:pStyle w:val="Normal"/>
        <w:rPr/>
      </w:pPr>
      <w:r>
        <w:rPr>
          <w:b/>
        </w:rPr>
        <w:t>Implementation and enforcement</w:t>
      </w:r>
      <w:r>
        <w:rPr/>
        <w:t xml:space="preserve"> </w:t>
      </w:r>
    </w:p>
    <w:p>
      <w:pPr>
        <w:pStyle w:val="Normal"/>
        <w:rPr/>
      </w:pPr>
      <w:r>
        <w:rPr/>
        <w:t>A Communication must be backed up by rigorous enforcement action by the Commission. The Communication should commit the Commission to taking action against Member States acting contrary to their Treaty obligations and make it clear that the single market is not dependent on full harmonisation of rules.</w:t>
      </w:r>
    </w:p>
    <w:p>
      <w:pPr>
        <w:pStyle w:val="Normal"/>
        <w:rPr>
          <w:b/>
        </w:rPr>
      </w:pPr>
      <w:r>
        <w:rPr/>
        <w:t>In addition, the Communication should emphasise that broad, public consultation on national (or indeed further FESCO) proposals for implementation is one of the best ways of ensuring that regulation remains proportionate to the objectives intended to be achieved and thus consistent with Treaty obligations.</w:t>
      </w:r>
      <w:r>
        <w:br w:type="page"/>
      </w:r>
    </w:p>
    <w:p>
      <w:pPr>
        <w:pStyle w:val="Normal"/>
        <w:jc w:val="center"/>
        <w:rPr>
          <w:b/>
          <w:sz w:val="28"/>
        </w:rPr>
      </w:pPr>
      <w:r>
        <w:rPr>
          <w:b/>
          <w:sz w:val="28"/>
        </w:rPr>
        <w:t>DISCUSSION</w:t>
      </w:r>
    </w:p>
    <w:p>
      <w:pPr>
        <w:pStyle w:val="Normal"/>
        <w:rPr>
          <w:b/>
        </w:rPr>
      </w:pPr>
      <w:r>
        <w:rPr>
          <w:b/>
        </w:rPr>
        <w:t xml:space="preserve">1. </w:t>
        <w:tab/>
        <w:t>Article 11(2) ISD - duplication of rules</w:t>
      </w:r>
    </w:p>
    <w:p>
      <w:pPr>
        <w:pStyle w:val="Normal"/>
        <w:rPr/>
      </w:pPr>
      <w:r>
        <w:rPr/>
        <w:t>ISDA agrees that a key concern under the ISD is the extent to which firms conducting cross-border business are subjected to multiple sets of conduct of business (and advertising and marketing) rules. We strongly support the Commission's proposal that the Communication should focus on how to allocate responsibility for applying conduct of business rules. It is critical that the Commission uses the Communication to resolve, to the extent it is able to do so, the question of whose rules apply to cross-border business i.e. the question of the allocation of jurisdictional authority with respect to conduct of business rules to avoid duplication of rules. A common definition of which investors are "professional" and agreement on broad principles for wholesale business will not resolve the problems of different Member States' overlapping and conflicting rules affecting cross-border business.</w:t>
      </w:r>
    </w:p>
    <w:p>
      <w:pPr>
        <w:pStyle w:val="Normal"/>
        <w:rPr/>
      </w:pPr>
      <w:r>
        <w:rPr/>
        <w:t>A Communication would be of significant assistance in this regard. However, it is critical that Member States accept the conclusions set out in the Communication on the need to avoid duplication of rules, at least in relation to cross-border business conducted with professional investors. A number of Member States have been reluctant to accept the conclusions set out in the Commission's earlier Communication on the Second Banking Directive. This has significantly affected the extent to which that Communication has been of benefit to the industry.</w:t>
      </w:r>
    </w:p>
    <w:p>
      <w:pPr>
        <w:pStyle w:val="Normal"/>
        <w:rPr>
          <w:b/>
          <w:i/>
          <w:i/>
        </w:rPr>
      </w:pPr>
      <w:r>
        <w:rPr>
          <w:b/>
          <w:i/>
        </w:rPr>
        <w:t>Country of origin vs. home state control</w:t>
      </w:r>
    </w:p>
    <w:p>
      <w:pPr>
        <w:pStyle w:val="Normal"/>
        <w:rPr/>
      </w:pPr>
      <w:r>
        <w:rPr/>
        <w:t xml:space="preserve">ISDA believes that the correct approach to resolving the issue of overlapping and conflicting rules is to start from the principle of "country of origin" control for the allocation jurisdictional authority with respect to conduct of business (and advertising and marketing) rules. The Communication should make clear that the authorities of the country from which the services are provided (the country of origin of the services), rather than those in the country in which the service provider is authorised (the home state), should be the competent authorities to apply conduct of business rules, at least where the services are provided from an establishment in another Member State. </w:t>
      </w:r>
    </w:p>
    <w:p>
      <w:pPr>
        <w:pStyle w:val="Normal"/>
        <w:rPr/>
      </w:pPr>
      <w:r>
        <w:rPr/>
        <w:t>We believe that the "country of origin" approach (rather than an approach based on "home state" control) should be followed when dealing with branches:</w:t>
      </w:r>
    </w:p>
    <w:p>
      <w:pPr>
        <w:pStyle w:val="Normal"/>
        <w:numPr>
          <w:ilvl w:val="0"/>
          <w:numId w:val="6"/>
        </w:numPr>
        <w:rPr/>
      </w:pPr>
      <w:r>
        <w:rPr/>
        <w:t xml:space="preserve">It reflects the practicalities of the position of branches. When, for example, French investors are dealing with the French branch of a German bank, it is natural for them to expect that French rules apply (as France would be the country of origin of the services). Also, the passport regime may only cover some but not all of the activities of the same French branch (e.g. as regards commodities business carried on from the French branch). Requiring the application of home state (i.e. German) rules could lead to two sets of conduct of business rules being applied in the same establishment. In addition, there may be practical difficulties in the French branch's hiring of local staff that is adequately conversant with German rules. Applying French (rather than German) rules also minimises competitive distortions as regards institutions operating out of the same location and ensures that the authorities closest to the firm's personnel engaged in the business are responsible for supervising the implementation of the rules. </w:t>
      </w:r>
    </w:p>
    <w:p>
      <w:pPr>
        <w:pStyle w:val="Normal"/>
        <w:numPr>
          <w:ilvl w:val="0"/>
          <w:numId w:val="6"/>
        </w:numPr>
        <w:rPr/>
      </w:pPr>
      <w:r>
        <w:rPr/>
        <w:t>It is consistent with the approach taken in the e-commerce directive. This will maximise the chances of achieving technological neutrality between different delivery media.</w:t>
      </w:r>
    </w:p>
    <w:p>
      <w:pPr>
        <w:pStyle w:val="Normal"/>
        <w:numPr>
          <w:ilvl w:val="0"/>
          <w:numId w:val="6"/>
        </w:numPr>
        <w:rPr/>
      </w:pPr>
      <w:r>
        <w:rPr/>
        <w:t>It is consistent with the wording of the ISD itself. In the example given above, the services are clearly rendered in France (not Germany) and thus, under Article 11(2) of the ISD, France is the state responsible for applying conduct of business rules. It is difficult to argue that it is disproportionate for France to impose its rules on the operations of the branch.</w:t>
      </w:r>
    </w:p>
    <w:p>
      <w:pPr>
        <w:pStyle w:val="Normal"/>
        <w:rPr/>
      </w:pPr>
      <w:r>
        <w:rPr/>
        <w:t>However, in those cases where the services are provided from the country in which the firm is authorised, the home country and country of origin will, of course, be one and the same.</w:t>
      </w:r>
    </w:p>
    <w:p>
      <w:pPr>
        <w:pStyle w:val="Normal"/>
        <w:rPr/>
      </w:pPr>
      <w:r>
        <w:rPr/>
        <w:t>We accept that, in some cases, it may be difficult to identify which Member State should be regarded as the country of origin of the services. For example, there will be cases such as where a Finnish firm acts through a branch in Denmark to deal with an investor in Germany but the transactions are booked (and the German investor's account is held) at the firm's head office in Finland. In these cases, it may be possible to distinguish the different roles that are played by the branch and the head office for the purposes of applying the rules (in much the same way as where the marketing is carried out by a separate subsidiary in Denmark). However, the fact that there may be difficulty in some cases does not undermine the principle. The appropriate starting point is the country of origin approach.</w:t>
      </w:r>
    </w:p>
    <w:p>
      <w:pPr>
        <w:pStyle w:val="Normal"/>
        <w:rPr>
          <w:b/>
          <w:i/>
          <w:i/>
        </w:rPr>
      </w:pPr>
      <w:r>
        <w:rPr>
          <w:b/>
          <w:i/>
        </w:rPr>
        <w:t>Characteristic performance</w:t>
      </w:r>
    </w:p>
    <w:p>
      <w:pPr>
        <w:pStyle w:val="Normal"/>
        <w:rPr/>
      </w:pPr>
      <w:r>
        <w:rPr/>
        <w:t xml:space="preserve">The discussion papers fail to take into account the analysis contained in the Commission's earlier Communication on the Second Banking Directive with respect to the issue of where services are provided. Under the ISD, the mere fact that an investor is located in a particular Member State is not, in itself, a sufficient ground for that Member State to apply its conduct of business (or marketing or solicitation) rules to business conducted with that investor. It is also necessary that the services actually be provided in that Member State. </w:t>
      </w:r>
    </w:p>
    <w:p>
      <w:pPr>
        <w:pStyle w:val="Normal"/>
        <w:rPr/>
      </w:pPr>
      <w:r>
        <w:rPr/>
        <w:t>This is clearly the case under Article 11(2). However, it is also the case under Article 13, by virtue of the definition of the "host state" which determines the scope of a Member State's jurisdictional authority under that Article. In each case, it is irrelevant whether or not the investor concerned is a "professional".</w:t>
      </w:r>
    </w:p>
    <w:p>
      <w:pPr>
        <w:pStyle w:val="Normal"/>
        <w:rPr/>
      </w:pPr>
      <w:r>
        <w:rPr/>
        <w:t>The Commission's earlier Communication focused on the question of whether activities are carried on "within the territory of another Member State" in relation to the notification obligations contained in the Second Banking Directive. There is, in substance, no difference between the wording of the relevant provisions of that Directive and the corresponding provisions of Article 11(2) of the ISD or the definition of "host state" applicable in relation to Article 13 of the ISD. All these provisions make it necessary to "locate" the place of supply of the services.</w:t>
      </w:r>
    </w:p>
    <w:p>
      <w:pPr>
        <w:pStyle w:val="Normal"/>
        <w:rPr/>
      </w:pPr>
      <w:r>
        <w:rPr/>
        <w:t>The Commission set out, in the earlier Communication, a simple and flexible interpretation of this requirement based on the place of provision of the "characteristic performance" of the service. The Commission also made it clear that temporary visits for preparatory activities and the provision of distance banking services should not be regarded as the provision of services "within" the territory of another Member State. In essence, the characteristic performance test yields results which are largely consistent with, if not identical to, the country of origin approach. The proposed Communication should make this clear.</w:t>
      </w:r>
    </w:p>
    <w:p>
      <w:pPr>
        <w:pStyle w:val="Normal"/>
        <w:rPr>
          <w:b/>
          <w:i/>
          <w:i/>
        </w:rPr>
      </w:pPr>
      <w:r>
        <w:rPr>
          <w:b/>
          <w:i/>
        </w:rPr>
        <w:t>"General good" restrictions on the host state</w:t>
      </w:r>
    </w:p>
    <w:p>
      <w:pPr>
        <w:pStyle w:val="Normal"/>
        <w:rPr/>
      </w:pPr>
      <w:r>
        <w:rPr/>
        <w:t>However, we are aware that many Member States take differing approaches to this question of where the services are provided for the purposes of Article 11(2) of the ISD (and the scope of their competence under Article 13):</w:t>
      </w:r>
    </w:p>
    <w:p>
      <w:pPr>
        <w:pStyle w:val="Normal"/>
        <w:numPr>
          <w:ilvl w:val="0"/>
          <w:numId w:val="3"/>
        </w:numPr>
        <w:tabs>
          <w:tab w:val="clear" w:pos="720"/>
          <w:tab w:val="left" w:pos="420" w:leader="none"/>
        </w:tabs>
        <w:ind w:hanging="360" w:start="420" w:end="0"/>
        <w:rPr/>
      </w:pPr>
      <w:r>
        <w:rPr/>
        <w:t xml:space="preserve">Some Member States have rejected the characteristic performance test and apply a test based on solicitation (or on whether the investment firm initiated the relationship) to determine whether they are competent to apply their conduct of business, advertising and marketing rules. </w:t>
      </w:r>
    </w:p>
    <w:p>
      <w:pPr>
        <w:pStyle w:val="Normal"/>
        <w:numPr>
          <w:ilvl w:val="0"/>
          <w:numId w:val="3"/>
        </w:numPr>
        <w:tabs>
          <w:tab w:val="clear" w:pos="720"/>
          <w:tab w:val="left" w:pos="420" w:leader="none"/>
        </w:tabs>
        <w:ind w:hanging="360" w:start="420" w:end="0"/>
        <w:rPr/>
      </w:pPr>
      <w:r>
        <w:rPr/>
        <w:t xml:space="preserve">Other Member States accept the characteristic performance test but apply it in a way which produces results very different from the country of origin approach. </w:t>
      </w:r>
    </w:p>
    <w:p>
      <w:pPr>
        <w:pStyle w:val="Normal"/>
        <w:numPr>
          <w:ilvl w:val="0"/>
          <w:numId w:val="3"/>
        </w:numPr>
        <w:tabs>
          <w:tab w:val="clear" w:pos="720"/>
          <w:tab w:val="left" w:pos="420" w:leader="none"/>
        </w:tabs>
        <w:ind w:hanging="360" w:start="420" w:end="0"/>
        <w:rPr/>
      </w:pPr>
      <w:r>
        <w:rPr/>
        <w:t>Few, if any, Member States recognise any limitations on their competence to apply their advertising and marketing rules where the advertising and marketing is directed at investors located within their territory.</w:t>
      </w:r>
    </w:p>
    <w:p>
      <w:pPr>
        <w:pStyle w:val="Normal"/>
        <w:rPr/>
      </w:pPr>
      <w:r>
        <w:rPr/>
        <w:t>On the other hand, so far as we are aware, all Member States insist on applying their own conduct of business rules to business conducted from an establishment in their territory regardless of whether the services are provided to a local investor or an investor in another Member State (indeed, there are serious practical difficulties in taking any other approach). As a result, as the Commission points out, firms conducting cross-border business from a single establishment face the need to comply with multiple overlapping, and possibly conflicting, rules.</w:t>
      </w:r>
    </w:p>
    <w:p>
      <w:pPr>
        <w:pStyle w:val="Normal"/>
        <w:rPr/>
      </w:pPr>
      <w:r>
        <w:rPr/>
        <w:t>Thus, it is necessary, as the Commission suggests in its discussion papers, to address the question of the extent to which a Member State would be entitled, even if it could establish that it is the "host state" in relation to cross-border services supplied from another Member State, to apply its rules to those services under the ISD as it stands today. Even if such a Member State were the "host state", this is not enough, in itself, to justify that Member State's application of its rules in all circumstances. Those rules must still comply with the requirements of the "general good" test under the Treaty.</w:t>
      </w:r>
    </w:p>
    <w:p>
      <w:pPr>
        <w:pStyle w:val="Normal"/>
        <w:rPr/>
      </w:pPr>
      <w:r>
        <w:rPr/>
        <w:t>The ISD cannot remove Treaty freedoms. The ISD itself makes clear that any conduct of business and advertising and marketing rules must still meet the requirements of the "general good" test (see the references to these requirements in recitals 33 and 41 and Articles 13, 18(2) and 19(6)).</w:t>
      </w:r>
    </w:p>
    <w:p>
      <w:pPr>
        <w:pStyle w:val="Normal"/>
        <w:rPr/>
      </w:pPr>
      <w:r>
        <w:rPr/>
        <w:t xml:space="preserve">Even under the ISD as it stands and even if a Member State were able to establish that is the "host state" in relation to a firm conducting cross-border business from another Member State, it would be disproportionate and unduly burdensome if that Member State imposes its conduct of business and advertising and marketing rules on that firm without regard to the nature of the investors to whom that firm is providing its services. As the Commission emphasised in its earlier Communication on the Second Banking Directive a "lightweight" legal framework should apply to suppliers operating cross-border. </w:t>
      </w:r>
    </w:p>
    <w:p>
      <w:pPr>
        <w:pStyle w:val="Normal"/>
        <w:rPr/>
      </w:pPr>
      <w:r>
        <w:rPr/>
        <w:t>In addition, the legal landscape is changing as a result of the adoption of the e-commerce directive. That directive clearly enshrines a country of origin of approach to cross-border business (albeit with some limited derogations). It would clearly be disproportionate if a "host" Member State were to assert that it had the right to apply its own rules to cross-border services when, if the identical services were provided as information society services, it would have no power to impose its own rules.</w:t>
      </w:r>
    </w:p>
    <w:p>
      <w:pPr>
        <w:pStyle w:val="Normal"/>
        <w:rPr/>
      </w:pPr>
      <w:r>
        <w:rPr/>
        <w:t xml:space="preserve">However, the discussion papers on the draft Communication could cause some confusion by suggesting that this issue can be addressed by enumerating categories of persons who should be regarded as acting in a professional capacity (e.g. regulated financial services firms, listed companies, etc.). That is to say, it seems to be envisaged that the Communication will approach the issue by attempting to define the categories of investor as regards whom a host Member State </w:t>
      </w:r>
      <w:r>
        <w:rPr>
          <w:b/>
          <w:i/>
        </w:rPr>
        <w:t>cannot</w:t>
      </w:r>
      <w:r>
        <w:rPr/>
        <w:t xml:space="preserve"> impose its own rules.</w:t>
      </w:r>
    </w:p>
    <w:p>
      <w:pPr>
        <w:pStyle w:val="Normal"/>
        <w:rPr/>
      </w:pPr>
      <w:r>
        <w:rPr/>
        <w:t>ISDA believes that it would be preferable to define those cases where a "host" Member State might possibly have a sufficiently strong interest to justify imposing duplicative regulation on cross-border activity. That is to say, the Communication should approach the issue by defining the categories of investor as regards whom a host Member State might be able to impose its own rules i.e. the areas where the Treaty potentially allows host Member States to derogate from the principle of country of origin control (assuming always that those rules are themselves otherwise consistent with the Treaty). This approach has the advantage of clarity (and brevity) and is also more consistent with the approach taken in the e-commerce directive.</w:t>
      </w:r>
    </w:p>
    <w:p>
      <w:pPr>
        <w:pStyle w:val="Normal"/>
        <w:rPr/>
      </w:pPr>
      <w:r>
        <w:rPr/>
        <w:t xml:space="preserve">Many Member States would assert that they have a strong interest in protecting their unsophisticated consumers and, therefore, that they are allowed to impose their consumer protection laws (and related conduct of business and marketing rules) on firms conducting cross-border business with individual consumers located in their territory. The Commission's earlier Communication on the Second Banking Directive recognised that a host state might have a special concern in applying its own rules in these cases. Similarly, some Member States would assimilate the treatment of smaller businesses to that of retail customers. </w:t>
      </w:r>
    </w:p>
    <w:p>
      <w:pPr>
        <w:pStyle w:val="Normal"/>
        <w:rPr/>
      </w:pPr>
      <w:r>
        <w:rPr/>
        <w:t xml:space="preserve">Thus, a "host" Member State may argue that it is consistent with the general good test for it to impose its rules on firms conducting cross-border business with individual consumers and, possibly, small (unlisted) businesses located in its territory. However, the Communication should make clear that this is as far as a Member State can possibly go in seeking to impose its own conduct of business and advertising and marketing regulation on cross-border business - even assuming that it can establish that it is the "host state". In addition, the Communication should make clear that even a "host" State cannot impose its conduct of business rules as regards an investor that the firm assesses to have the relevant experience and expertise and who has waived the protection of those rules. </w:t>
      </w:r>
    </w:p>
    <w:p>
      <w:pPr>
        <w:pStyle w:val="Normal"/>
        <w:rPr/>
      </w:pPr>
      <w:r>
        <w:rPr/>
        <w:t>This structure also has the attraction of aligning the maximum potential extent of a "host" state's competence with the residual category of those "other investors" referred to in section II.1(b) of the paper prepared by the Forum of European Securities Commissions (FESCO) on the implementation of Article 11(1) of the ISD. That is to say, the potential extent of the "host" state's competence to impose its rules should extend no further than those investors who are not capable of qualifying to be treated as fully "professional" under the other categories set out in that paper (excluding those have qualified as "professional" as a result of an assessment of their expertise and who have waived the protection of those rules).</w:t>
      </w:r>
    </w:p>
    <w:p>
      <w:pPr>
        <w:pStyle w:val="Normal"/>
        <w:rPr/>
      </w:pPr>
      <w:r>
        <w:rPr/>
        <w:t>In any event, the discussion papers on the current Communication are confusing as to the categories of investor that should be treated as "sophisticated/professional" investors (as regards whom a host state is not entitled to impose its own conduct of business rules) or "retail investors" (as regards whom a host state may be entitled to impose its own rules):</w:t>
      </w:r>
    </w:p>
    <w:p>
      <w:pPr>
        <w:pStyle w:val="Normal"/>
        <w:numPr>
          <w:ilvl w:val="0"/>
          <w:numId w:val="8"/>
        </w:numPr>
        <w:tabs>
          <w:tab w:val="clear" w:pos="720"/>
          <w:tab w:val="left" w:pos="420" w:leader="none"/>
        </w:tabs>
        <w:ind w:hanging="360" w:start="420" w:end="0"/>
        <w:rPr/>
      </w:pPr>
      <w:r>
        <w:rPr/>
        <w:t xml:space="preserve">On the one hand, these papers appear to suggest that only regulated firms and listed companies should be treated as "sophisticated/professional" (which would ignore, for example, the classification of governmental entities and larger unlisted companies). </w:t>
      </w:r>
    </w:p>
    <w:p>
      <w:pPr>
        <w:pStyle w:val="Normal"/>
        <w:numPr>
          <w:ilvl w:val="0"/>
          <w:numId w:val="8"/>
        </w:numPr>
        <w:tabs>
          <w:tab w:val="clear" w:pos="720"/>
          <w:tab w:val="left" w:pos="420" w:leader="none"/>
        </w:tabs>
        <w:ind w:hanging="360" w:start="420" w:end="0"/>
        <w:rPr/>
      </w:pPr>
      <w:r>
        <w:rPr/>
        <w:t xml:space="preserve">On the other hand, the discussion papers appear to suggest that guidance can be drawn from the Investor Compensation Scheme Directive (which contains a much more detailed and extensive enumeration) and that smaller (unlisted) companies should be treated as "retail" (suggesting that larger, unlisted, companies are indeed to be treated as "sophisticated/professional"). </w:t>
      </w:r>
    </w:p>
    <w:p>
      <w:pPr>
        <w:pStyle w:val="Normal"/>
        <w:numPr>
          <w:ilvl w:val="0"/>
          <w:numId w:val="8"/>
        </w:numPr>
        <w:tabs>
          <w:tab w:val="clear" w:pos="720"/>
          <w:tab w:val="left" w:pos="420" w:leader="none"/>
        </w:tabs>
        <w:ind w:hanging="360" w:start="420" w:end="0"/>
        <w:rPr/>
      </w:pPr>
      <w:r>
        <w:rPr/>
        <w:t>In addition, the discussion papers suggest that Member States can adopt rules allowing firms to classify certain retail investors as sophisticated (provided that they are made fully aware of the consequences). However, it is unclear how this should be applied in a cross-border context. The better route would be for host states to accept that a firm conducting cross-border business with local retail investors is nevertheless not required to comply with local conduct of business (and advertising and marketing) rules where the firm classifies the local investor as sophisticated (in accordance with the rules applying in the country of origin of the services).</w:t>
      </w:r>
    </w:p>
    <w:p>
      <w:pPr>
        <w:pStyle w:val="Normal"/>
        <w:rPr>
          <w:b/>
          <w:i/>
          <w:i/>
        </w:rPr>
      </w:pPr>
      <w:r>
        <w:rPr>
          <w:b/>
          <w:i/>
        </w:rPr>
        <w:t>Which rules?</w:t>
      </w:r>
    </w:p>
    <w:p>
      <w:pPr>
        <w:pStyle w:val="Normal"/>
        <w:rPr/>
      </w:pPr>
      <w:r>
        <w:rPr/>
        <w:t>We welcome the proposal, in the discussion papers on the proposed Communication, that the Communication will also apply to restrictions on advertising and marketing covered by Article 13 of the ISD. These restrictions very often represent material restrictions on cross-border business. It is clear that similar considerations should apply when determining the extent of the jurisdictional competence of Member States in applying advertising and marketing rules to cross-border business. Like Article 11(2), Article 13 applies to "host states", i.e. those where the services are provided, and Article 13 limits the extent to which the host state can apply its rules by reference to the "interests of the general good".</w:t>
      </w:r>
    </w:p>
    <w:p>
      <w:pPr>
        <w:pStyle w:val="Normal"/>
        <w:rPr/>
      </w:pPr>
      <w:r>
        <w:rPr/>
        <w:t xml:space="preserve">On the other hand, we are concerned by the suggestion that the Communication will not apply to "conduct of business requirements relating to market integrity". This requires further careful elaboration. </w:t>
      </w:r>
    </w:p>
    <w:p>
      <w:pPr>
        <w:pStyle w:val="Normal"/>
        <w:rPr/>
      </w:pPr>
      <w:r>
        <w:rPr/>
        <w:t xml:space="preserve">It is clear that the allocation of jurisdictional competence under Article 11 does not affect the question of whether a Member State is entitled to apply, for example, its general law rules on insider dealing, market manipulation or fraud. Thus, for example, if a Belgian investment firm trades with a professional investor in Spain, Spanish conduct of business rules ought not to apply to the Belgian firm. However, the Spanish authorities might still be able to prosecute the Belgian firm under the Spanish laws relating to insider dealing, market manipulation or fraud if the transaction constituted an offence under those laws. </w:t>
      </w:r>
    </w:p>
    <w:p>
      <w:pPr>
        <w:pStyle w:val="Normal"/>
        <w:rPr/>
      </w:pPr>
      <w:r>
        <w:rPr/>
        <w:t>Also, if the same Belgian firm executes a transaction on a Spanish stock exchange as a remote member of that exchange, then it would be legitimate for the stock exchange authorities or the Spanish authorities to require it to comply with specific rules designed to protect the integrity of that market. Again, if the same Belgian firm participates (as adviser to the bidder) in a takeover offer for a Spanish company regulated by takeover rules in Spain, it would be legitimate for Spain to require the Belgian firm to comply with its takeover rules. However, these rules are very different from the conduct of business rules contemplated by Article 11 of the ISD.</w:t>
      </w:r>
    </w:p>
    <w:p>
      <w:pPr>
        <w:pStyle w:val="Normal"/>
        <w:rPr/>
      </w:pPr>
      <w:r>
        <w:rPr/>
        <w:t>Member States should not be able to extrapolate from these specific examples a general principle that they are entitled to apply their rules relating to market integrity to any firm conducting its business in another Member State merely on the grounds that the firm's conduct might have an impact on a market organised in their jurisdiction. To do so would be to fail to recognise that the imposition of such rules would be duplicative of requirements that apply in the Member State in which the firm is conducting its business.</w:t>
      </w:r>
    </w:p>
    <w:p>
      <w:pPr>
        <w:pStyle w:val="Normal"/>
        <w:rPr/>
      </w:pPr>
      <w:r>
        <w:rPr/>
        <w:t>The country of origin is the appropriate jurisdiction to apply and supervise the implementation of conduct of business rules designed to protect market integrity more generally (e.g. those rules that require a firm to uphold general standards of market conduct). If other Member States seek also to impose their conduct of business rules, they will be duplicating the rules applying in the country of origin. Thus, the imposition of their rules would not be consistent with the general good test. It would not, in any event, be consistent with the ISD for a Member State to seek its apply its rules adopted under Article 11 of the ISD, even those related to market integrity, in a case where the services are not provided in that Member State.</w:t>
      </w:r>
    </w:p>
    <w:p>
      <w:pPr>
        <w:pStyle w:val="Normal"/>
        <w:rPr>
          <w:b/>
          <w:i/>
          <w:i/>
        </w:rPr>
      </w:pPr>
      <w:r>
        <w:rPr>
          <w:b/>
          <w:i/>
        </w:rPr>
        <w:t>ISD reform</w:t>
      </w:r>
    </w:p>
    <w:p>
      <w:pPr>
        <w:pStyle w:val="Normal"/>
        <w:rPr/>
      </w:pPr>
      <w:r>
        <w:rPr/>
        <w:t xml:space="preserve">However, whatever is said in the Communication on the interpretation of Article 11(2) and Article 13, the only lasting method of eliminating the burden of multiple overlapping rules is to amend those articles to enshrine the country of origin approach. This reflects the core principle of mutual recognition underpinned by the basic standards set out in Article 11 itself and the regulatory oversight to which all regulated firms are subject. </w:t>
      </w:r>
    </w:p>
    <w:p>
      <w:pPr>
        <w:pStyle w:val="Normal"/>
        <w:rPr/>
      </w:pPr>
      <w:r>
        <w:rPr/>
        <w:t>It would also be consistent with the approach set out in the e-commerce directive. Any derogation in respect of individual consumers should be no more extensive than that set out in the e-commerce directive, even assuming that such a derogation is necessary in the context of investment services given the underpinning of agreed basic principles of regulation.</w:t>
      </w:r>
    </w:p>
    <w:p>
      <w:pPr>
        <w:pStyle w:val="Normal"/>
        <w:keepNext w:val="true"/>
        <w:rPr>
          <w:b/>
        </w:rPr>
      </w:pPr>
      <w:r>
        <w:rPr>
          <w:b/>
        </w:rPr>
        <w:t>2.</w:t>
        <w:tab/>
        <w:t>Inter-relationship with FESCO proposals</w:t>
      </w:r>
    </w:p>
    <w:p>
      <w:pPr>
        <w:pStyle w:val="Normal"/>
        <w:rPr/>
      </w:pPr>
      <w:r>
        <w:rPr/>
        <w:t>As already indicated, we believe that the Commission is right to focus on the issue as to the duplicative application of conduct of business rules (i.e. on the allocation of jurisdictional authority). However, we consider that the discussion papers pay insufficient attention to the need for each Member State to which jurisdictional authority is allocated (under the country of origin principle) to formulate and apply conduct of business rules that appropriately take into account the professional nature of the person to whom the services are provided.</w:t>
      </w:r>
    </w:p>
    <w:p>
      <w:pPr>
        <w:pStyle w:val="Normal"/>
        <w:rPr/>
      </w:pPr>
      <w:r>
        <w:rPr/>
        <w:t>The discussion set out above focuses on the question "whose rules apply?" However, once it has been decided which Member State is entitled to apply its rules, those rules must themselves be proportionate. The ISD and the Treaty imposes constraints on the nature of the rules that may be imposed by that Member State and the Communication should address the nature and extent of these constraints.</w:t>
      </w:r>
    </w:p>
    <w:p>
      <w:pPr>
        <w:pStyle w:val="Normal"/>
        <w:rPr/>
      </w:pPr>
      <w:r>
        <w:rPr/>
        <w:t xml:space="preserve">For example, where a Luxembourg branch of a Swedish investment firm deals cross-border with a large Italian corporate investor, the discussion above indicates that it is Luxembourg, as the country of origin of the services, not Italy (or Sweden), that should be responsible for applying conduct of business rules to that business. It would be disproportionate for Italy to apply its conduct of business rules in these circumstances, as the investor is not an unsophisticated retail investor. </w:t>
      </w:r>
    </w:p>
    <w:p>
      <w:pPr>
        <w:pStyle w:val="Normal"/>
        <w:rPr/>
      </w:pPr>
      <w:r>
        <w:rPr/>
        <w:t>However, that does not answer the question as to the nature of the rules that Luxembourg is entitled to apply in these circumstances. Under Article 11(1) of the ISD, the rules applied in Luxembourg must take into account the professional nature of the person to whom the services are provided. Thus, those rules must reflect the fact the Italian company does not require the full protection of conduct of business rules designed for the protection of unsophisticated retail investors.</w:t>
      </w:r>
    </w:p>
    <w:p>
      <w:pPr>
        <w:pStyle w:val="Normal"/>
        <w:rPr/>
      </w:pPr>
      <w:r>
        <w:rPr/>
        <w:t xml:space="preserve">Clearly, the existing provisions of the ISD allow Member States to whom jurisdictional authority is allocated a margin of appreciation as to how their rules should reflect the professional nature of the person to whom the services are provided. Nevertheless, it is also clear that it would not be consistent with the ISD if those rules fail to differentiate </w:t>
      </w:r>
      <w:r>
        <w:rPr>
          <w:b/>
          <w:i/>
        </w:rPr>
        <w:t xml:space="preserve">at all </w:t>
      </w:r>
      <w:r>
        <w:rPr/>
        <w:t>between the treatment of business with professional and retail investors. The Communication should at least make this clear.</w:t>
      </w:r>
    </w:p>
    <w:p>
      <w:pPr>
        <w:pStyle w:val="Normal"/>
        <w:rPr/>
      </w:pPr>
      <w:r>
        <w:rPr/>
        <w:t>FESCO suggest that regulated firms, large corporations and institutional investors who elect to be treated as professional and certain individuals and smaller investors who are assessed as having appropriate expertise should all be treated as professional. The FESCO proposals envisage that usually only a few general principles would apply to business conducted with this class of investor. The Communication should make clear that this is the right approach i.e. that it is inappropriate to apply detailed rules to inter-professionals business.</w:t>
      </w:r>
    </w:p>
    <w:p>
      <w:pPr>
        <w:pStyle w:val="Normal"/>
        <w:rPr/>
      </w:pPr>
      <w:r>
        <w:rPr/>
        <w:t>However, FESCO's proposals create a presumption that large corporations and institutional investors require the full protection of conduct of business rules. The presumption should surely be that a sophisticated investor, such as the treasury department of a large corporation dealing regularly in interest rate swap, should be treated as professional unless they agree otherwise with the service provider. Under FESCO's proposals, the presumption is reversed. The Communication should address this issue.</w:t>
      </w:r>
    </w:p>
    <w:p>
      <w:pPr>
        <w:pStyle w:val="Normal"/>
        <w:rPr/>
      </w:pPr>
      <w:r>
        <w:rPr/>
        <w:t>In addition, the FESCO proposals suggest that investment firms must comply with the full set of conduct of business rules designed for retail investors when dealing with large and institutional investors who do not opt to be treated as professionals. We believe that it would be disproportionate and unduly burdensome to apply the full protection of retail conduct of business rules to, for example, business conducted with a large multinational corporation merely because that company does not elect to be treated as fully professional in the sense described by FESCO. The Communication should make clear that, in practice, conduct of business rules need to recognise that there is a third, intermediate category of sophisticated counterparty falling between professional investors and retail investors who also require a lower level of protection than retail investors.</w:t>
      </w:r>
    </w:p>
    <w:p>
      <w:pPr>
        <w:pStyle w:val="Normal"/>
        <w:rPr/>
      </w:pPr>
      <w:r>
        <w:rPr/>
        <w:t xml:space="preserve">We believe that the concept of a three tier system, that explicitly or implicitly distinguishes between the rules applicable to dealings with professional investors, the intermediate category and retail investors, would be more politically acceptable to those States who are nervous about a simple ‘all or nothing’ option.  It is also consistent with the Commission's statements in its Communication on the Second Banking Directive. In that Communication, the Commission indicated that Member States should recognise that there is a category of "circumspect investors" who "are of a nature or size to recognise the risks they are incurring and to commit themselves in full knowledge of the facts". </w:t>
      </w:r>
    </w:p>
    <w:p>
      <w:pPr>
        <w:pStyle w:val="Normal"/>
        <w:rPr/>
      </w:pPr>
      <w:r>
        <w:rPr/>
        <w:t xml:space="preserve">That Communication also suggested that there should be special treatment of "professionals in the financial sector" - transactions between professionals of this kind should not be subject to particular general-good rules. Furthermore, it did not suggest that membership of the category of "circumspect investors" should depend on whether or not the particular investor had opted for that treatment. In fact, a number of Member States (such as Italy, the Netherlands and the UK) already allow a firm to treat large or listed companies as professionals or as having some other special status for conduct of business rules purposes without requiring those companies to "opt in" (or allowing them to "opt out") of that categorisation. Indeed, it would be inconsistent with the basic thrust of the Commission's remarks in that Communication if the question of whether or not an investor was to be treated as "circumspect" depended on the investor's own initiative to waive the protection of general-good rules. That said, investors should be given the opportunity to object to a firm’s categorisation of them. </w:t>
      </w:r>
    </w:p>
    <w:p>
      <w:pPr>
        <w:pStyle w:val="Normal"/>
        <w:rPr/>
      </w:pPr>
      <w:r>
        <w:rPr/>
        <w:t xml:space="preserve">In addition, it should be noted that it would be illogical to require firms to treat sophisticated individual investors (and smaller companies) as either professional or retail rather than in an intermediate category. This would result in the imposition of unjustifiable, disproportionately burdensome requirements. Accordingly, the Commission Communication should emphasise that firms should be allowed to treat sophisticated individual investors (and smaller companies) as part of the intermediate category of investors where an assessment of their expertise indicates that this is appropriate. </w:t>
      </w:r>
    </w:p>
    <w:p>
      <w:pPr>
        <w:pStyle w:val="Normal"/>
        <w:rPr/>
      </w:pPr>
      <w:r>
        <w:rPr/>
        <w:t>As a general principle, it is surely right to encourage investors to take responsibility for their investment decisions. Imposing investor protection requirements designed to protect inexpert investors, such as those on suitability and ongoing information provision, on expert investors makes little economic sense.  It increases the risk of moral hazard and creates economic inefficiencies.</w:t>
      </w:r>
    </w:p>
    <w:p>
      <w:pPr>
        <w:pStyle w:val="Normal"/>
        <w:rPr/>
      </w:pPr>
      <w:r>
        <w:rPr/>
        <w:t xml:space="preserve">Further, more detailed comments on the FESCO categorisation are listed in the Annex to this paper. </w:t>
      </w:r>
    </w:p>
    <w:p>
      <w:pPr>
        <w:pStyle w:val="Normal"/>
        <w:rPr/>
      </w:pPr>
      <w:r>
        <w:rPr/>
        <w:t>The Communication should make clear that:</w:t>
      </w:r>
    </w:p>
    <w:p>
      <w:pPr>
        <w:pStyle w:val="Normal"/>
        <w:numPr>
          <w:ilvl w:val="0"/>
          <w:numId w:val="13"/>
        </w:numPr>
        <w:rPr/>
      </w:pPr>
      <w:r>
        <w:rPr/>
        <w:t>Member States should allow investment firms to presume that sophisticated investors (at least some “large and institutional investors”) are fully "professional investors" to whom the inter-professional regime applies; and</w:t>
      </w:r>
    </w:p>
    <w:p>
      <w:pPr>
        <w:pStyle w:val="Normal"/>
        <w:numPr>
          <w:ilvl w:val="0"/>
          <w:numId w:val="13"/>
        </w:numPr>
        <w:rPr/>
      </w:pPr>
      <w:r>
        <w:rPr/>
        <w:t xml:space="preserve">Member States should not require investment firms to comply with the full set of retail conduct of business rules when dealing with large and institutional investors merely because the investor has failed to opt to waive the protection of those rules.  Firms should also be able to apply an intermediate regime to sophisticated investors who do not meet the requirements of a “large” or “institutional” investor or who bilaterally agree that they should be treated as an intermediate rather than professional counterparty. </w:t>
      </w:r>
    </w:p>
    <w:p>
      <w:pPr>
        <w:pStyle w:val="Normal"/>
        <w:rPr/>
      </w:pPr>
      <w:r>
        <w:rPr/>
        <w:t>A more complex, three tier classification is required for the purpose of determining which conduct of business rules apply in the country of origin of the services, while a simpler "binary" classification is appropriate for determining which country's rules apply. However, in effect, the result of the "binary" classification is to treat both the two top tiers (i.e. the "fully" professional and intermediate category of investor) as "professional" for the purposes of deciding whose rules apply.</w:t>
      </w:r>
    </w:p>
    <w:p>
      <w:pPr>
        <w:pStyle w:val="Normal"/>
        <w:rPr>
          <w:b/>
        </w:rPr>
      </w:pPr>
      <w:r>
        <w:rPr>
          <w:b/>
        </w:rPr>
        <w:t>3.</w:t>
        <w:tab/>
        <w:t>Implementation and enforcement</w:t>
      </w:r>
    </w:p>
    <w:p>
      <w:pPr>
        <w:pStyle w:val="BodyText"/>
        <w:ind w:start="0" w:end="0"/>
        <w:rPr>
          <w:rFonts w:ascii="Times New Roman" w:hAnsi="Times New Roman" w:cs="Times New Roman"/>
        </w:rPr>
      </w:pPr>
      <w:r>
        <w:rPr>
          <w:rFonts w:cs="Times New Roman" w:ascii="Times New Roman" w:hAnsi="Times New Roman"/>
        </w:rPr>
        <w:t>The ISD was adopted in 1993 and required Member States to implement its requirements by 1 January 1996. However, more than four years after the implementation date, some Member States are still considering the exact method by which they should implement the ISD's requirements. Indeed, the FESCO paper suggests that little progress will be made actually implementing its proposals until FESCO members have agreed on the approximation or harmonisation of the conduct of business rules themselves.</w:t>
      </w:r>
    </w:p>
    <w:p>
      <w:pPr>
        <w:pStyle w:val="BodyText"/>
        <w:ind w:start="0" w:end="0"/>
        <w:rPr>
          <w:rFonts w:ascii="Times New Roman" w:hAnsi="Times New Roman" w:cs="Times New Roman"/>
        </w:rPr>
      </w:pPr>
      <w:r>
        <w:rPr>
          <w:rFonts w:cs="Times New Roman" w:ascii="Times New Roman" w:hAnsi="Times New Roman"/>
        </w:rPr>
        <w:t>This is disappointing. Firms conducting cross-border business within the Community continue to face inappropriate, overlapping and conflicting requirements, even when they are conducting business with sophisticated investors. The proposed Communication should state that the Commission will take immediate enforcement action if Member States now fail fully to reflect the requirements of the ISD in their conduct of business rules, in particular by adequately differentiating between the different categories of investor and the treatment of cross-border business.</w:t>
      </w:r>
    </w:p>
    <w:p>
      <w:pPr>
        <w:pStyle w:val="BodyText"/>
        <w:ind w:start="0" w:end="0"/>
        <w:rPr>
          <w:rFonts w:ascii="Times New Roman" w:hAnsi="Times New Roman" w:cs="Times New Roman"/>
          <w:b/>
          <w:i/>
          <w:i/>
        </w:rPr>
      </w:pPr>
      <w:r>
        <w:rPr>
          <w:rFonts w:cs="Times New Roman" w:ascii="Times New Roman" w:hAnsi="Times New Roman"/>
        </w:rPr>
        <w:t xml:space="preserve">Implementation should also be transparent. The Commission should encourage Member States to make plain how any new rules on inter-professional business inter-relate to existing rules. Uncertainty as to which rules apply is itself a significant barrier to cross-border business.  Indeed, we would go further and argue that the sweeping application of often inappropriate conduct of business rules to wholesale business combined with a degree of opacity as to precisely which rules do in fact apply serves as a significant barrier to new entrants in these markets. Opacity of regulation, for example as applied to transitional or grandfathering arrangements, undermines the efficacy of investor protection and increases the likelihood of inadvertent rule breaches.  </w:t>
      </w:r>
    </w:p>
    <w:p>
      <w:pPr>
        <w:pStyle w:val="BodyText"/>
        <w:ind w:start="0" w:end="0"/>
        <w:rPr/>
      </w:pPr>
      <w:r>
        <w:rPr/>
        <w:t>The Communication should commit the Commission to taking action against member states acting contrary to their Treaty obligations and make it clear that the single market is not dependent on full harmonisation of rules.</w:t>
      </w:r>
    </w:p>
    <w:p>
      <w:pPr>
        <w:pStyle w:val="BodyText"/>
        <w:ind w:start="0" w:end="0"/>
        <w:rPr>
          <w:rFonts w:ascii="Times New Roman" w:hAnsi="Times New Roman" w:cs="Times New Roman"/>
        </w:rPr>
      </w:pPr>
      <w:r>
        <w:rPr>
          <w:rFonts w:cs="Times New Roman" w:ascii="Times New Roman" w:hAnsi="Times New Roman"/>
        </w:rPr>
        <w:t>We also believe that broad, public consultation is an essential part of the regulatory process. Consultation provides regulators and other policy makers with feedback from the industry, users of financial services and other interested parties on the practical implications of the proposals. It also allows interested parties to suggest alternative means of achieving the desired objectives. This is critical if the burden of regulation is to remain proportionate to the benefits it achieves. It is also particularly important in the context of regulation that impinges on cross-border business for consultation to solicit the broadest possible input and not just be limited to selected national market participants or trade associations.</w:t>
      </w:r>
    </w:p>
    <w:p>
      <w:pPr>
        <w:pStyle w:val="BodyText"/>
        <w:ind w:start="0" w:end="0"/>
        <w:rPr>
          <w:b/>
        </w:rPr>
      </w:pPr>
      <w:r>
        <w:rPr/>
        <w:t>The Communication should emphasise that broad, public consultation on national (or further FESCO) proposals for implementation is one of the best ways of ensuring that regulation remains proportionate to the objectives intended to be achieved and thus consistent with Treaty obligations.</w:t>
      </w:r>
    </w:p>
    <w:p>
      <w:pPr>
        <w:pStyle w:val="Normal"/>
        <w:rPr>
          <w:b/>
        </w:rPr>
      </w:pPr>
      <w:r>
        <w:rPr>
          <w:b/>
        </w:rPr>
        <w:t>4.</w:t>
        <w:tab/>
        <w:t>Conclusions</w:t>
      </w:r>
    </w:p>
    <w:p>
      <w:pPr>
        <w:pStyle w:val="Normal"/>
        <w:rPr/>
      </w:pPr>
      <w:r>
        <w:rPr/>
        <w:t>Overlapping, duplicative and disproportionate conduct of business (and advertising and marketing) rules represent a real barrier to the realisation of the single market in financial services. The proposed Communication represents a real opportunity to identify the constraints that the ISD and the Treaty impose on Member States. However, the Communication will be of little value unless it is backed up by rigorous enforcement action by the Commission against Member States that fail to respect those constraints. The Communication is only a first step towards the elimination of the barriers that exist to cross-border business within the Community.</w:t>
      </w:r>
      <w:r>
        <w:br w:type="page"/>
      </w:r>
    </w:p>
    <w:p>
      <w:pPr>
        <w:pStyle w:val="BodyText"/>
        <w:ind w:start="0" w:end="0"/>
        <w:jc w:val="center"/>
        <w:rPr>
          <w:rFonts w:ascii="Times New Roman" w:hAnsi="Times New Roman" w:cs="Times New Roman"/>
          <w:b/>
          <w:sz w:val="28"/>
        </w:rPr>
      </w:pPr>
      <w:r>
        <w:rPr>
          <w:rFonts w:cs="Times New Roman" w:ascii="Times New Roman" w:hAnsi="Times New Roman"/>
          <w:b/>
          <w:sz w:val="28"/>
        </w:rPr>
        <w:t>Annex</w:t>
      </w:r>
    </w:p>
    <w:p>
      <w:pPr>
        <w:pStyle w:val="Heading1"/>
        <w:numPr>
          <w:ilvl w:val="0"/>
          <w:numId w:val="0"/>
        </w:numPr>
        <w:ind w:hanging="0" w:start="0"/>
        <w:jc w:val="center"/>
        <w:rPr>
          <w:rFonts w:ascii="Times New Roman" w:hAnsi="Times New Roman" w:cs="Times New Roman"/>
          <w:caps w:val="false"/>
          <w:smallCaps w:val="false"/>
          <w:sz w:val="22"/>
        </w:rPr>
      </w:pPr>
      <w:r>
        <w:rPr>
          <w:rFonts w:cs="Times New Roman" w:ascii="Times New Roman" w:hAnsi="Times New Roman"/>
          <w:caps w:val="false"/>
          <w:smallCaps w:val="false"/>
          <w:sz w:val="22"/>
        </w:rPr>
        <w:t>Detailed Issues on FESCO's Proposals</w:t>
      </w:r>
    </w:p>
    <w:p>
      <w:pPr>
        <w:pStyle w:val="BodyText"/>
        <w:rPr>
          <w:rFonts w:ascii="Times New Roman" w:hAnsi="Times New Roman" w:cs="Times New Roman"/>
          <w:caps/>
          <w:sz w:val="22"/>
        </w:rPr>
      </w:pPr>
      <w:r>
        <w:rPr>
          <w:rFonts w:cs="Times New Roman" w:ascii="Times New Roman" w:hAnsi="Times New Roman"/>
          <w:caps/>
          <w:sz w:val="22"/>
        </w:rPr>
      </w:r>
    </w:p>
    <w:p>
      <w:pPr>
        <w:pStyle w:val="BodyText"/>
        <w:ind w:start="0" w:end="0"/>
        <w:rPr>
          <w:rFonts w:ascii="Times New Roman" w:hAnsi="Times New Roman" w:cs="Times New Roman"/>
        </w:rPr>
      </w:pPr>
      <w:r>
        <w:rPr>
          <w:rFonts w:cs="Times New Roman" w:ascii="Times New Roman" w:hAnsi="Times New Roman"/>
        </w:rPr>
        <w:t xml:space="preserve">The FESCO paper fails to take account of the position of subsidiaries within a group. For example, it would clearly be inappropriate to treat a specialised financing subsidiary of a major multinational group of companies as a non-professional merely because the subsidiary does not itself meet the size tests on its own. </w:t>
      </w:r>
    </w:p>
    <w:p>
      <w:pPr>
        <w:pStyle w:val="BodyText"/>
        <w:ind w:start="0" w:end="0"/>
        <w:rPr>
          <w:rFonts w:ascii="Times New Roman" w:hAnsi="Times New Roman" w:cs="Times New Roman"/>
        </w:rPr>
      </w:pPr>
      <w:r>
        <w:rPr>
          <w:rFonts w:cs="Times New Roman" w:ascii="Times New Roman" w:hAnsi="Times New Roman"/>
        </w:rPr>
        <w:t xml:space="preserve">The proposed Communication should emphasise that it would be disproportionate if Member States' rules did not take into account the reality of the position of groups of companies. For example, the category of "large and institutional investors" should be extended to include subsidiaries of entities authorised or regulated to operate in the financial sector and other large or institutional investors (e.g. subsidiaries of listed issuers). In addition, firms should be entitled to treat entities as meeting the size tests where they are members of a group of companies meeting those size tests on a consolidated basis. </w:t>
      </w:r>
    </w:p>
    <w:p>
      <w:pPr>
        <w:pStyle w:val="BodyText"/>
        <w:ind w:start="0" w:end="0"/>
        <w:rPr>
          <w:rFonts w:ascii="Times New Roman" w:hAnsi="Times New Roman" w:cs="Times New Roman"/>
        </w:rPr>
      </w:pPr>
      <w:r>
        <w:rPr>
          <w:rFonts w:cs="Times New Roman" w:ascii="Times New Roman" w:hAnsi="Times New Roman"/>
        </w:rPr>
        <w:t>In this respect, it is notable that FESCO's proposed size tests (based on Article 27 of Directive 78/660/EEC, as amended - see paragraph 13 of the FESCO paper) are more restrictive than those proposed in the Commission's earlier Communication on the Second Banking Directive (based on Article 11 of Directive 78/660/EEC, as amended). This suggests that the lower threshold size tests should be taken as the entry point to the third, intermediate category of sophisticated investors referred to in our paper.</w:t>
      </w:r>
    </w:p>
    <w:p>
      <w:pPr>
        <w:pStyle w:val="BodyText"/>
        <w:ind w:start="0" w:end="0"/>
        <w:rPr>
          <w:rFonts w:ascii="Times New Roman" w:hAnsi="Times New Roman" w:cs="Times New Roman"/>
        </w:rPr>
      </w:pPr>
      <w:r>
        <w:rPr/>
        <w:t>Also, it is inappropriate to require firms to discriminate between entities whose securities are listed on EU, as opposed to other, regulated markets (see paragraph 12(f) of the FESCO paper). The proposed Communication should emphasise the importance of using objective, justifiable standards where differentiating between investors based on the listing of their securities.</w:t>
      </w:r>
    </w:p>
    <w:p>
      <w:pPr>
        <w:pStyle w:val="BodyText"/>
        <w:spacing w:before="0" w:after="200"/>
        <w:ind w:start="0" w:end="0"/>
        <w:rPr/>
      </w:pPr>
      <w:r>
        <w:rPr/>
        <w:t>The minimum criteria specified in FESCO's paper for the categorisation of individuals and small companies as professional (paragraph 16 of the FESCO paper) are unduly restrictive, particularly now that investors must meet two of the minimum criteria. However, the practical burden that this would entail would be reduced if it were clearly recognised that Member States are required to allow individuals to be categorised in the intermediate class of sophisticated investor if they are sufficiently expert. In this regard, it would be inappropriate to insist that the investor meets these minimum criteria since this intermediate class may still benefit from the protection of some, albeit more limited conduct of business rules.</w:t>
      </w:r>
    </w:p>
    <w:sectPr>
      <w:footerReference w:type="default" r:id="rId2"/>
      <w:footerReference w:type="first" r:id="rId3"/>
      <w:type w:val="nextPage"/>
      <w:pgSz w:w="11906" w:h="16838"/>
      <w:pgMar w:left="1701" w:right="1701" w:gutter="0" w:header="0" w:top="1440" w:footer="28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London-2/692257/03</w:t>
          </w:r>
        </w:p>
      </w:tc>
      <w:tc>
        <w:tcPr>
          <w:tcW w:w="2900" w:type="dxa"/>
          <w:tcBorders/>
          <w:vAlign w:val="bottom"/>
        </w:tcPr>
        <w:p>
          <w:pPr>
            <w:pStyle w:val="Footer"/>
            <w:jc w:val="center"/>
            <w:rPr>
              <w:sz w:val="22"/>
            </w:rPr>
          </w:pPr>
          <w:r>
            <w:rPr>
              <w:sz w:val="22"/>
              <w:lang w:val="en-CA"/>
            </w:rPr>
            <w:fldChar w:fldCharType="begin"/>
          </w:r>
          <w:r>
            <w:rPr>
              <w:sz w:val="22"/>
              <w:lang w:val="en-CA"/>
            </w:rPr>
            <w:instrText xml:space="preserve"> IF  "" ""</w:instrText>
          </w:r>
          <w:r>
            <w:rPr>
              <w:sz w:val="22"/>
              <w:lang w:val="en-CA"/>
            </w:rPr>
            <w:fldChar w:fldCharType="separate"/>
          </w:r>
          <w:r>
            <w:rPr>
              <w:sz w:val="22"/>
              <w:lang w:val="en-CA"/>
            </w:rPr>
          </w:r>
          <w:r>
            <w:rPr>
              <w:sz w:val="22"/>
              <w:lang w:val="en-CA"/>
            </w:rPr>
            <w:fldChar w:fldCharType="end"/>
          </w:r>
        </w:p>
      </w:tc>
      <w:tc>
        <w:tcPr>
          <w:tcW w:w="2900" w:type="dxa"/>
          <w:tcBorders/>
          <w:vAlign w:val="bottom"/>
        </w:tcPr>
        <w:p>
          <w:pPr>
            <w:pStyle w:val="Footer"/>
            <w:jc w:val="end"/>
            <w:rPr/>
          </w:pPr>
          <w:r>
            <w:rPr/>
            <w:t>I1212/00048</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London-2/692257/03</w:t>
          </w:r>
        </w:p>
      </w:tc>
      <w:tc>
        <w:tcPr>
          <w:tcW w:w="2900" w:type="dxa"/>
          <w:tcBorders/>
          <w:vAlign w:val="bottom"/>
        </w:tcPr>
        <w:p>
          <w:pPr>
            <w:pStyle w:val="Footer"/>
            <w:jc w:val="center"/>
            <w:rPr>
              <w:sz w:val="22"/>
            </w:rPr>
          </w:pPr>
          <w:r>
            <w:rPr>
              <w:sz w:val="22"/>
            </w:rPr>
            <w:fldChar w:fldCharType="begin"/>
          </w:r>
          <w:r>
            <w:rPr>
              <w:sz w:val="22"/>
            </w:rPr>
            <w:instrText xml:space="preserve"> IF  "" ""</w:instrText>
          </w:r>
          <w:r>
            <w:rPr>
              <w:sz w:val="22"/>
            </w:rPr>
            <w:fldChar w:fldCharType="separate"/>
          </w:r>
          <w:r>
            <w:rPr>
              <w:sz w:val="22"/>
            </w:rPr>
          </w:r>
          <w:r>
            <w:rPr>
              <w:sz w:val="22"/>
            </w:rPr>
            <w:fldChar w:fldCharType="end"/>
          </w:r>
        </w:p>
      </w:tc>
      <w:tc>
        <w:tcPr>
          <w:tcW w:w="2900" w:type="dxa"/>
          <w:tcBorders/>
          <w:vAlign w:val="bottom"/>
        </w:tcPr>
        <w:p>
          <w:pPr>
            <w:pStyle w:val="Footer"/>
            <w:jc w:val="end"/>
            <w:rPr/>
          </w:pPr>
          <w:r>
            <w:rPr/>
            <w:t>I1212/00048</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0">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1">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2">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CG Times" w:hAnsi="CG Times" w:cs="CG Times"/>
      <w:b w:val="false"/>
      <w:i w:val="false"/>
      <w:sz w:val="20"/>
    </w:rPr>
  </w:style>
  <w:style w:type="character" w:styleId="WW8Num5z1">
    <w:name w:val="WW8Num5z1"/>
    <w:qFormat/>
    <w:rPr>
      <w:b w:val="false"/>
      <w:i w:val="false"/>
      <w:sz w:val="20"/>
    </w:rPr>
  </w:style>
  <w:style w:type="character" w:styleId="WW8Num5z4">
    <w:name w:val="WW8Num5z4"/>
    <w:qFormat/>
    <w:rPr>
      <w:b w:val="false"/>
      <w:i w:val="false"/>
      <w:sz w:val="18"/>
    </w:rPr>
  </w:style>
  <w:style w:type="character" w:styleId="WW8Num5z8">
    <w:name w:val="WW8Num5z8"/>
    <w:qFormat/>
    <w:rPr>
      <w:b/>
      <w:i w:val="false"/>
      <w:caps/>
      <w:sz w:val="22"/>
    </w:rPr>
  </w:style>
  <w:style w:type="character" w:styleId="WW8Num6z0">
    <w:name w:val="WW8Num6z0"/>
    <w:qFormat/>
    <w:rPr>
      <w:rFonts w:ascii="CG Times" w:hAnsi="CG Times" w:cs="CG Times"/>
      <w:b w:val="false"/>
      <w:i w:val="false"/>
      <w:sz w:val="20"/>
    </w:rPr>
  </w:style>
  <w:style w:type="character" w:styleId="WW8Num6z1">
    <w:name w:val="WW8Num6z1"/>
    <w:qFormat/>
    <w:rPr>
      <w:b w:val="false"/>
      <w:i w:val="false"/>
      <w:sz w:val="20"/>
    </w:rPr>
  </w:style>
  <w:style w:type="character" w:styleId="WW8Num6z4">
    <w:name w:val="WW8Num6z4"/>
    <w:qFormat/>
    <w:rPr>
      <w:b w:val="false"/>
      <w:i w:val="false"/>
      <w:sz w:val="18"/>
    </w:rPr>
  </w:style>
  <w:style w:type="character" w:styleId="WW8Num6z8">
    <w:name w:val="WW8Num6z8"/>
    <w:qFormat/>
    <w:rPr>
      <w:b/>
      <w:i w:val="false"/>
      <w:caps/>
      <w:sz w:val="22"/>
    </w:rPr>
  </w:style>
  <w:style w:type="character" w:styleId="WW8Num7z0">
    <w:name w:val="WW8Num7z0"/>
    <w:qFormat/>
    <w:rPr>
      <w:rFonts w:ascii="Symbol" w:hAnsi="Symbol" w:cs="Symbol"/>
    </w:rPr>
  </w:style>
  <w:style w:type="character" w:styleId="WW8Num8z0">
    <w:name w:val="WW8Num8z0"/>
    <w:qFormat/>
    <w:rPr>
      <w:rFonts w:ascii="CG Times" w:hAnsi="CG Times" w:cs="CG Times"/>
      <w:b w:val="false"/>
      <w:i w:val="false"/>
      <w:sz w:val="20"/>
    </w:rPr>
  </w:style>
  <w:style w:type="character" w:styleId="WW8Num8z1">
    <w:name w:val="WW8Num8z1"/>
    <w:qFormat/>
    <w:rPr>
      <w:b w:val="false"/>
      <w:i w:val="false"/>
      <w:sz w:val="20"/>
    </w:rPr>
  </w:style>
  <w:style w:type="character" w:styleId="WW8Num8z2">
    <w:name w:val="WW8Num8z2"/>
    <w:qFormat/>
    <w:rPr>
      <w:b w:val="false"/>
      <w:i w:val="false"/>
      <w:sz w:val="18"/>
    </w:rPr>
  </w:style>
  <w:style w:type="character" w:styleId="WW8Num8z8">
    <w:name w:val="WW8Num8z8"/>
    <w:qFormat/>
    <w:rPr>
      <w:b/>
      <w:i w:val="false"/>
      <w:caps/>
      <w:sz w:val="22"/>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CG Times" w:hAnsi="CG Times" w:cs="CG Times"/>
      <w:b w:val="false"/>
      <w:i w:val="false"/>
      <w:sz w:val="18"/>
    </w:rPr>
  </w:style>
  <w:style w:type="character" w:styleId="WW8Num11z1">
    <w:name w:val="WW8Num11z1"/>
    <w:qFormat/>
    <w:rPr>
      <w:b w:val="false"/>
      <w:i w:val="false"/>
      <w:sz w:val="18"/>
    </w:rPr>
  </w:style>
  <w:style w:type="character" w:styleId="WW8Num11z3">
    <w:name w:val="WW8Num11z3"/>
    <w:qFormat/>
    <w:rPr>
      <w:b w:val="false"/>
      <w:i w:val="false"/>
      <w:sz w:val="20"/>
    </w:rPr>
  </w:style>
  <w:style w:type="character" w:styleId="WW8Num11z8">
    <w:name w:val="WW8Num11z8"/>
    <w:qFormat/>
    <w:rPr>
      <w:b/>
      <w:i w:val="false"/>
      <w:caps/>
      <w:sz w:val="22"/>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CG Times" w:hAnsi="CG Times" w:cs="CG Times"/>
      <w:b w:val="false"/>
      <w:i w:val="false"/>
      <w:sz w:val="20"/>
    </w:rPr>
  </w:style>
  <w:style w:type="character" w:styleId="WW8Num15z1">
    <w:name w:val="WW8Num15z1"/>
    <w:qFormat/>
    <w:rPr>
      <w:b w:val="false"/>
      <w:i w:val="false"/>
      <w:sz w:val="20"/>
    </w:rPr>
  </w:style>
  <w:style w:type="character" w:styleId="WW8Num15z2">
    <w:name w:val="WW8Num15z2"/>
    <w:qFormat/>
    <w:rPr>
      <w:b w:val="false"/>
      <w:i w:val="false"/>
      <w:sz w:val="18"/>
    </w:rPr>
  </w:style>
  <w:style w:type="character" w:styleId="WW8Num15z8">
    <w:name w:val="WW8Num15z8"/>
    <w:qFormat/>
    <w:rPr>
      <w:b/>
      <w:i w:val="false"/>
      <w:caps/>
      <w:sz w:val="22"/>
    </w:rPr>
  </w:style>
  <w:style w:type="character" w:styleId="WW8Num16z0">
    <w:name w:val="WW8Num16z0"/>
    <w:qFormat/>
    <w:rPr>
      <w:rFonts w:ascii="Symbol" w:hAnsi="Symbol" w:cs="Symbol"/>
    </w:rPr>
  </w:style>
  <w:style w:type="character" w:styleId="WW8Num17z0">
    <w:name w:val="WW8Num17z0"/>
    <w:qFormat/>
    <w:rPr>
      <w:rFonts w:ascii="CG Times" w:hAnsi="CG Times" w:cs="CG Times"/>
      <w:b w:val="false"/>
      <w:i w:val="false"/>
      <w:sz w:val="20"/>
    </w:rPr>
  </w:style>
  <w:style w:type="character" w:styleId="WW8Num17z1">
    <w:name w:val="WW8Num17z1"/>
    <w:qFormat/>
    <w:rPr>
      <w:b w:val="false"/>
      <w:i w:val="false"/>
      <w:sz w:val="20"/>
    </w:rPr>
  </w:style>
  <w:style w:type="character" w:styleId="WW8Num17z4">
    <w:name w:val="WW8Num17z4"/>
    <w:qFormat/>
    <w:rPr>
      <w:b w:val="false"/>
      <w:i w:val="false"/>
      <w:sz w:val="18"/>
    </w:rPr>
  </w:style>
  <w:style w:type="character" w:styleId="WW8Num17z8">
    <w:name w:val="WW8Num17z8"/>
    <w:qFormat/>
    <w:rPr>
      <w:b/>
      <w:i w:val="false"/>
      <w:caps/>
      <w:sz w:val="22"/>
    </w:rPr>
  </w:style>
  <w:style w:type="character" w:styleId="WW8Num19z0">
    <w:name w:val="WW8Num19z0"/>
    <w:qFormat/>
    <w:rPr>
      <w:rFonts w:ascii="CG Times" w:hAnsi="CG Times" w:cs="CG Times"/>
      <w:b/>
      <w:sz w:val="21"/>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10"/>
      </w:numPr>
      <w:tabs>
        <w:tab w:val="clear" w:pos="720"/>
        <w:tab w:val="left" w:pos="22" w:leader="none"/>
      </w:tabs>
    </w:pPr>
    <w:rPr/>
  </w:style>
  <w:style w:type="paragraph" w:styleId="ListAlpha2">
    <w:name w:val="List Alpha 2"/>
    <w:basedOn w:val="Normal"/>
    <w:next w:val="BodyText2"/>
    <w:qFormat/>
    <w:pPr>
      <w:numPr>
        <w:ilvl w:val="0"/>
        <w:numId w:val="10"/>
      </w:numPr>
      <w:tabs>
        <w:tab w:val="clear" w:pos="720"/>
        <w:tab w:val="left" w:pos="50" w:leader="none"/>
      </w:tabs>
    </w:pPr>
    <w:rPr/>
  </w:style>
  <w:style w:type="paragraph" w:styleId="ListAlpha3">
    <w:name w:val="List Alpha 3"/>
    <w:basedOn w:val="Normal"/>
    <w:next w:val="BodyText3"/>
    <w:qFormat/>
    <w:pPr>
      <w:numPr>
        <w:ilvl w:val="0"/>
        <w:numId w:val="10"/>
      </w:numPr>
      <w:tabs>
        <w:tab w:val="clear" w:pos="720"/>
        <w:tab w:val="left" w:pos="68" w:leader="none"/>
      </w:tabs>
    </w:pPr>
    <w:rPr/>
  </w:style>
  <w:style w:type="paragraph" w:styleId="ListALPHACAPS1">
    <w:name w:val="List ALPHA CAPS 1"/>
    <w:basedOn w:val="Normal"/>
    <w:next w:val="BodyText"/>
    <w:qFormat/>
    <w:pPr>
      <w:numPr>
        <w:ilvl w:val="0"/>
        <w:numId w:val="5"/>
      </w:numPr>
      <w:tabs>
        <w:tab w:val="clear" w:pos="720"/>
        <w:tab w:val="left" w:pos="22" w:leader="none"/>
      </w:tabs>
    </w:pPr>
    <w:rPr/>
  </w:style>
  <w:style w:type="paragraph" w:styleId="LISTALPHACAPS2">
    <w:name w:val="LIST ALPHA CAPS 2"/>
    <w:basedOn w:val="Normal"/>
    <w:next w:val="BodyText2"/>
    <w:qFormat/>
    <w:pPr>
      <w:numPr>
        <w:ilvl w:val="0"/>
        <w:numId w:val="5"/>
      </w:numPr>
      <w:tabs>
        <w:tab w:val="clear" w:pos="720"/>
        <w:tab w:val="left" w:pos="50" w:leader="none"/>
      </w:tabs>
    </w:pPr>
    <w:rPr/>
  </w:style>
  <w:style w:type="paragraph" w:styleId="LISTALPHACAPS3">
    <w:name w:val="LIST ALPHA CAPS 3"/>
    <w:basedOn w:val="Normal"/>
    <w:next w:val="BodyText3"/>
    <w:qFormat/>
    <w:pPr>
      <w:numPr>
        <w:ilvl w:val="0"/>
        <w:numId w:val="5"/>
      </w:numPr>
      <w:tabs>
        <w:tab w:val="clear" w:pos="720"/>
        <w:tab w:val="left" w:pos="68" w:leader="none"/>
      </w:tabs>
    </w:pPr>
    <w:rPr/>
  </w:style>
  <w:style w:type="paragraph" w:styleId="ListArabic1">
    <w:name w:val="List Arabic 1"/>
    <w:basedOn w:val="Normal"/>
    <w:next w:val="BodyText"/>
    <w:qFormat/>
    <w:pPr>
      <w:numPr>
        <w:ilvl w:val="0"/>
        <w:numId w:val="4"/>
      </w:numPr>
      <w:tabs>
        <w:tab w:val="clear" w:pos="720"/>
        <w:tab w:val="left" w:pos="22" w:leader="none"/>
      </w:tabs>
    </w:pPr>
    <w:rPr/>
  </w:style>
  <w:style w:type="paragraph" w:styleId="ListArabic2">
    <w:name w:val="List Arabic 2"/>
    <w:basedOn w:val="Normal"/>
    <w:next w:val="BodyText2"/>
    <w:qFormat/>
    <w:pPr>
      <w:numPr>
        <w:ilvl w:val="0"/>
        <w:numId w:val="4"/>
      </w:numPr>
      <w:tabs>
        <w:tab w:val="clear" w:pos="720"/>
        <w:tab w:val="left" w:pos="50" w:leader="none"/>
      </w:tabs>
    </w:pPr>
    <w:rPr/>
  </w:style>
  <w:style w:type="paragraph" w:styleId="ListArabic3">
    <w:name w:val="List Arabic 3"/>
    <w:basedOn w:val="Normal"/>
    <w:next w:val="BodyText3"/>
    <w:qFormat/>
    <w:pPr>
      <w:numPr>
        <w:ilvl w:val="0"/>
        <w:numId w:val="4"/>
      </w:numPr>
      <w:tabs>
        <w:tab w:val="clear" w:pos="720"/>
        <w:tab w:val="left" w:pos="68" w:leader="none"/>
      </w:tabs>
    </w:pPr>
    <w:rPr/>
  </w:style>
  <w:style w:type="paragraph" w:styleId="ListArabic4">
    <w:name w:val="List Arabic 4"/>
    <w:basedOn w:val="Normal"/>
    <w:next w:val="BodyText4"/>
    <w:qFormat/>
    <w:pPr>
      <w:numPr>
        <w:ilvl w:val="0"/>
        <w:numId w:val="9"/>
      </w:numPr>
      <w:tabs>
        <w:tab w:val="clear" w:pos="720"/>
        <w:tab w:val="left" w:pos="86" w:leader="none"/>
      </w:tabs>
    </w:pPr>
    <w:rPr/>
  </w:style>
  <w:style w:type="paragraph" w:styleId="ListLegal1">
    <w:name w:val="List Legal 1"/>
    <w:basedOn w:val="Normal"/>
    <w:next w:val="BodyText"/>
    <w:qFormat/>
    <w:pPr>
      <w:numPr>
        <w:ilvl w:val="0"/>
        <w:numId w:val="9"/>
      </w:numPr>
      <w:tabs>
        <w:tab w:val="clear" w:pos="720"/>
        <w:tab w:val="left" w:pos="22" w:leader="none"/>
      </w:tabs>
    </w:pPr>
    <w:rPr/>
  </w:style>
  <w:style w:type="paragraph" w:styleId="ListLegal2">
    <w:name w:val="List Legal 2"/>
    <w:basedOn w:val="Normal"/>
    <w:next w:val="BodyText"/>
    <w:qFormat/>
    <w:pPr>
      <w:numPr>
        <w:ilvl w:val="0"/>
        <w:numId w:val="9"/>
      </w:numPr>
      <w:tabs>
        <w:tab w:val="clear" w:pos="720"/>
        <w:tab w:val="left" w:pos="22" w:leader="none"/>
      </w:tabs>
    </w:pPr>
    <w:rPr/>
  </w:style>
  <w:style w:type="paragraph" w:styleId="ListLegal3">
    <w:name w:val="List Legal 3"/>
    <w:basedOn w:val="Normal"/>
    <w:next w:val="BodyText2"/>
    <w:qFormat/>
    <w:pPr>
      <w:numPr>
        <w:ilvl w:val="0"/>
        <w:numId w:val="9"/>
      </w:numPr>
      <w:tabs>
        <w:tab w:val="clear" w:pos="720"/>
        <w:tab w:val="left" w:pos="50" w:leader="none"/>
      </w:tabs>
    </w:pPr>
    <w:rPr/>
  </w:style>
  <w:style w:type="paragraph" w:styleId="ListRoman1">
    <w:name w:val="List Roman 1"/>
    <w:basedOn w:val="Normal"/>
    <w:next w:val="BodyText"/>
    <w:qFormat/>
    <w:pPr>
      <w:numPr>
        <w:ilvl w:val="0"/>
        <w:numId w:val="7"/>
      </w:numPr>
      <w:tabs>
        <w:tab w:val="clear" w:pos="720"/>
        <w:tab w:val="left" w:pos="22" w:leader="none"/>
      </w:tabs>
    </w:pPr>
    <w:rPr/>
  </w:style>
  <w:style w:type="paragraph" w:styleId="ListRoman2">
    <w:name w:val="List Roman 2"/>
    <w:basedOn w:val="Normal"/>
    <w:next w:val="BodyText2"/>
    <w:qFormat/>
    <w:pPr>
      <w:numPr>
        <w:ilvl w:val="0"/>
        <w:numId w:val="7"/>
      </w:numPr>
      <w:tabs>
        <w:tab w:val="clear" w:pos="720"/>
        <w:tab w:val="left" w:pos="50" w:leader="none"/>
      </w:tabs>
    </w:pPr>
    <w:rPr/>
  </w:style>
  <w:style w:type="paragraph" w:styleId="ListRoman3">
    <w:name w:val="List Roman 3"/>
    <w:basedOn w:val="Normal"/>
    <w:next w:val="BodyText3"/>
    <w:qFormat/>
    <w:pPr>
      <w:numPr>
        <w:ilvl w:val="0"/>
        <w:numId w:val="7"/>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11"/>
      </w:numPr>
      <w:spacing w:before="0" w:after="100"/>
    </w:pPr>
    <w:rPr/>
  </w:style>
  <w:style w:type="paragraph" w:styleId="NotesArabic">
    <w:name w:val="Notes Arabic"/>
    <w:basedOn w:val="Normal"/>
    <w:qFormat/>
    <w:pPr>
      <w:numPr>
        <w:ilvl w:val="0"/>
        <w:numId w:val="11"/>
      </w:numPr>
      <w:spacing w:before="0" w:after="100"/>
    </w:pPr>
    <w:rPr/>
  </w:style>
  <w:style w:type="paragraph" w:styleId="NotesRoman">
    <w:name w:val="Notes Roman"/>
    <w:basedOn w:val="Normal"/>
    <w:qFormat/>
    <w:pPr>
      <w:numPr>
        <w:ilvl w:val="0"/>
        <w:numId w:val="11"/>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PartHeadings">
    <w:name w:val="Part Headings"/>
    <w:basedOn w:val="Normal"/>
    <w:next w:val="Normal"/>
    <w:qFormat/>
    <w:pPr>
      <w:numPr>
        <w:ilvl w:val="0"/>
        <w:numId w:val="12"/>
      </w:numPr>
      <w:suppressAutoHyphens w:val="true"/>
      <w:spacing w:lineRule="auto" w:line="312" w:before="0" w:after="300"/>
      <w:jc w:val="center"/>
      <w:outlineLvl w:val="2"/>
    </w:pPr>
    <w:rPr>
      <w:b/>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2000-09-05T13:49:00Z</dcterms:created>
  <dc:creator>Chris Bates</dc:creator>
  <dc:description/>
  <dc:language>en-CA</dc:language>
  <cp:lastModifiedBy>Corrinne Greasley</cp:lastModifiedBy>
  <cp:lastPrinted>2000-07-26T02:18:00Z</cp:lastPrinted>
  <dcterms:modified xsi:type="dcterms:W3CDTF">2000-09-05T13:49:00Z</dcterms:modified>
  <cp:revision>2</cp:revision>
  <dc:subject/>
  <dc:title>Clifford Chance</dc:title>
</cp:coreProperties>
</file>