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DRAFT OF 06/07/00</w:t>
      </w:r>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200__</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BROADBAND SERVICES, L.P., a limited partnership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_____________________________________, a _____________ organized under the law of the ____________ of ________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$____________ (or its equivalent in another currency); </w:t>
      </w:r>
      <w:r>
        <w:rPr>
          <w:color w:val="FF0000"/>
          <w:sz w:val="22"/>
        </w:rPr>
        <w:t>[</w:t>
      </w:r>
      <w:r>
        <w:rPr>
          <w:sz w:val="22"/>
        </w:rPr>
        <w:t>with respect to Party A’s Credit Support Provider, U.S. $____________ (or its equivalent in another currency)</w:t>
      </w:r>
      <w:r>
        <w:rPr>
          <w:color w:val="FF0000"/>
          <w:sz w:val="22"/>
        </w:rPr>
        <w:t>][</w:t>
      </w:r>
      <w:r>
        <w:rPr>
          <w:sz w:val="22"/>
        </w:rPr>
        <w:t xml:space="preserve">; and with respect to Party B, U.S. </w:t>
      </w:r>
      <w:r>
        <w:rPr>
          <w:color w:val="FF0000"/>
          <w:sz w:val="22"/>
        </w:rPr>
        <w:t>[</w:t>
      </w:r>
      <w:r>
        <w:rPr>
          <w:sz w:val="22"/>
        </w:rPr>
        <w:t>C</w:t>
      </w:r>
      <w:r>
        <w:rPr>
          <w:color w:val="FF0000"/>
          <w:sz w:val="22"/>
        </w:rPr>
        <w:t>]</w:t>
      </w:r>
      <w:r>
        <w:rPr>
          <w:sz w:val="22"/>
        </w:rPr>
        <w:t>$____________ (or its equivalent in another currency)</w:t>
      </w:r>
      <w:r>
        <w:rPr>
          <w:color w:val="FF0000"/>
          <w:sz w:val="22"/>
        </w:rPr>
        <w:t>][</w:t>
      </w:r>
      <w:r>
        <w:rPr>
          <w:sz w:val="22"/>
        </w:rPr>
        <w:t xml:space="preserve">; and with respect to Party B’s Credit Support Provider, U.S. </w:t>
      </w:r>
      <w:r>
        <w:rPr>
          <w:color w:val="FF0000"/>
          <w:sz w:val="22"/>
        </w:rPr>
        <w:t>[</w:t>
      </w:r>
      <w:r>
        <w:rPr>
          <w:sz w:val="22"/>
        </w:rPr>
        <w:t>C</w:t>
      </w:r>
      <w:r>
        <w:rPr>
          <w:color w:val="FF0000"/>
          <w:sz w:val="22"/>
        </w:rPr>
        <w:t>]</w:t>
      </w:r>
      <w:r>
        <w:rPr>
          <w:sz w:val="22"/>
        </w:rPr>
        <w:t>$__________ (or its equivalent in another currency)</w:t>
      </w:r>
      <w:r>
        <w:rPr>
          <w:color w:val="FF0000"/>
          <w:sz w:val="22"/>
        </w:rPr>
        <w:t>]</w:t>
      </w:r>
      <w:r>
        <w:rPr>
          <w:color w:val="000000"/>
          <w:sz w:val="22"/>
        </w:rPr>
        <w:t xml:space="preserve">; </w:t>
      </w:r>
      <w:r>
        <w:rPr>
          <w:color w:val="FF0000"/>
          <w:sz w:val="22"/>
        </w:rPr>
        <w:t>[</w:t>
      </w:r>
      <w:r>
        <w:rPr>
          <w:color w:val="FF0000"/>
          <w:sz w:val="22"/>
          <w:u w:val="single"/>
        </w:rPr>
        <w:t>provided</w:t>
      </w:r>
      <w:r>
        <w:rPr>
          <w:color w:val="FF0000"/>
          <w:sz w:val="22"/>
        </w:rPr>
        <w:t xml:space="preserve">, </w:t>
      </w:r>
      <w:r>
        <w:rPr>
          <w:color w:val="FF0000"/>
          <w:sz w:val="22"/>
          <w:u w:val="single"/>
        </w:rPr>
        <w:t>that</w:t>
      </w:r>
      <w:r>
        <w:rPr>
          <w:color w:val="FF0000"/>
          <w:sz w:val="22"/>
        </w:rPr>
        <w:t>, such Threshold Amount shall apply individually and not collectively with respect to each entity set forth above notwithstanding anything to the contrary set forth in Section 5(a)(vi) of the Master Agreement]</w:t>
      </w:r>
      <w:r>
        <w:rPr>
          <w:rStyle w:val="FootnoteCharacters"/>
          <w:rStyle w:val="FootnoteReference"/>
          <w:color w:val="FF0000"/>
          <w:sz w:val="22"/>
        </w:rPr>
        <w:footnoteReference w:id="2"/>
      </w:r>
      <w:r>
        <w:rPr>
          <w:color w:val="000000"/>
          <w:sz w:val="22"/>
        </w:rPr>
        <w: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w:t>
      </w:r>
      <w:r>
        <w:rPr>
          <w:color w:val="FF0000"/>
          <w:sz w:val="22"/>
        </w:rPr>
        <w:t>[</w:t>
      </w:r>
      <w:r>
        <w:rPr>
          <w:sz w:val="22"/>
        </w:rPr>
        <w:t>as to Party A,</w:t>
      </w:r>
      <w:r>
        <w:rPr>
          <w:rStyle w:val="FootnoteCharacters"/>
          <w:rStyle w:val="FootnoteReference"/>
          <w:color w:val="FF0000"/>
          <w:sz w:val="22"/>
        </w:rPr>
        <w:footnoteReference w:id="3"/>
      </w:r>
      <w:r>
        <w:rPr>
          <w:color w:val="FF0000"/>
          <w:sz w:val="22"/>
        </w:rPr>
        <w:t>]</w:t>
      </w:r>
      <w:r>
        <w:rPr>
          <w:sz w:val="22"/>
        </w:rPr>
        <w:t xml:space="preserve"> if after such action or event such resulting, surviving, or transferee entity (which entity is the successor-in-interest to </w:t>
      </w:r>
      <w:r>
        <w:rPr>
          <w:color w:val="FF0000"/>
          <w:sz w:val="22"/>
        </w:rPr>
        <w:t>[</w:t>
      </w:r>
      <w:r>
        <w:rPr>
          <w:sz w:val="22"/>
        </w:rPr>
        <w:t>such party</w:t>
      </w:r>
      <w:r>
        <w:rPr>
          <w:color w:val="FF0000"/>
          <w:sz w:val="22"/>
        </w:rPr>
        <w:t>][</w:t>
      </w:r>
      <w:r>
        <w:rPr>
          <w:sz w:val="22"/>
        </w:rPr>
        <w:t>Party A</w:t>
      </w:r>
      <w:r>
        <w:rPr>
          <w:rStyle w:val="FootnoteCharacters"/>
          <w:rStyle w:val="FootnoteReference"/>
          <w:color w:val="FF0000"/>
          <w:sz w:val="22"/>
        </w:rPr>
        <w:footnoteReference w:id="4"/>
      </w:r>
      <w:r>
        <w:rPr>
          <w:color w:val="FF0000"/>
          <w:sz w:val="22"/>
        </w:rPr>
        <w:t>]</w:t>
      </w:r>
      <w:r>
        <w:rPr>
          <w:sz w:val="22"/>
        </w:rPr>
        <w:t xml:space="preserve">) is directly or indirectly owned or controlled by </w:t>
      </w:r>
      <w:r>
        <w:rPr>
          <w:color w:val="FF0000"/>
          <w:sz w:val="22"/>
        </w:rPr>
        <w:t>[</w:t>
      </w:r>
      <w:r>
        <w:rPr>
          <w:sz w:val="22"/>
        </w:rPr>
        <w:t>such party’s Credit Support Provider, if any,</w:t>
      </w:r>
      <w:r>
        <w:rPr>
          <w:color w:val="FF0000"/>
          <w:sz w:val="22"/>
        </w:rPr>
        <w:t>][</w:t>
      </w:r>
      <w:r>
        <w:rPr>
          <w:sz w:val="22"/>
        </w:rPr>
        <w:t>Enron Corp.</w:t>
      </w:r>
      <w:r>
        <w:rPr>
          <w:rStyle w:val="FootnoteCharacters"/>
          <w:rStyle w:val="FootnoteReference"/>
          <w:color w:val="FF0000"/>
          <w:sz w:val="22"/>
        </w:rPr>
        <w:footnoteReference w:id="5"/>
      </w:r>
      <w:r>
        <w:rPr>
          <w:color w:val="FF0000"/>
          <w:sz w:val="22"/>
        </w:rPr>
        <w:t>]</w:t>
      </w:r>
      <w:r>
        <w:rPr>
          <w:sz w:val="22"/>
        </w:rPr>
        <w:t xml:space="preserve"> and the Credit Support Documents supporting </w:t>
      </w:r>
      <w:r>
        <w:rPr>
          <w:color w:val="FF0000"/>
          <w:sz w:val="22"/>
        </w:rPr>
        <w:t>[</w:t>
      </w:r>
      <w:r>
        <w:rPr>
          <w:sz w:val="22"/>
        </w:rPr>
        <w:t>such party’s</w:t>
      </w:r>
      <w:r>
        <w:rPr>
          <w:color w:val="FF0000"/>
          <w:sz w:val="22"/>
        </w:rPr>
        <w:t>]</w:t>
      </w:r>
      <w:r>
        <w:rPr>
          <w:sz w:val="22"/>
        </w:rPr>
        <w:t xml:space="preserve"> </w:t>
      </w:r>
      <w:r>
        <w:rPr>
          <w:color w:val="FF0000"/>
          <w:sz w:val="22"/>
        </w:rPr>
        <w:t>[</w:t>
      </w:r>
      <w:r>
        <w:rPr>
          <w:sz w:val="22"/>
        </w:rPr>
        <w:t>Party A’s</w:t>
      </w:r>
      <w:r>
        <w:rPr>
          <w:rStyle w:val="FootnoteCharacters"/>
          <w:rStyle w:val="FootnoteReference"/>
          <w:color w:val="FF0000"/>
          <w:sz w:val="22"/>
        </w:rPr>
        <w:footnoteReference w:id="6"/>
      </w:r>
      <w:r>
        <w:rPr>
          <w:color w:val="FF0000"/>
          <w:sz w:val="22"/>
        </w:rPr>
        <w:t>]</w:t>
      </w:r>
      <w:r>
        <w:rPr>
          <w:sz w:val="22"/>
        </w:rPr>
        <w:t xml:space="preserve">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w:t>
      </w:r>
      <w:r>
        <w:rPr>
          <w:color w:val="FF0000"/>
          <w:sz w:val="22"/>
        </w:rPr>
        <w:t>[</w:t>
      </w:r>
      <w:r>
        <w:rPr>
          <w:sz w:val="22"/>
        </w:rPr>
        <w:t>collateral</w:t>
      </w:r>
      <w:r>
        <w:rPr>
          <w:rStyle w:val="FootnoteCharacters"/>
          <w:rStyle w:val="FootnoteReference"/>
          <w:color w:val="FF0000"/>
          <w:sz w:val="22"/>
        </w:rPr>
        <w:footnoteReference w:id="7"/>
      </w:r>
      <w:r>
        <w:rPr>
          <w:color w:val="FF0000"/>
          <w:sz w:val="22"/>
        </w:rPr>
        <w:t>]</w:t>
      </w:r>
      <w:r>
        <w:rPr>
          <w:sz w:val="22"/>
        </w:rPr>
        <w:t xml:space="preserve">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pPr>
      <w:r>
        <w:rPr>
          <w:color w:val="FF0000"/>
          <w:sz w:val="22"/>
        </w:rPr>
        <w:t>[</w:t>
      </w:r>
      <w:r>
        <w:rPr>
          <w:sz w:val="22"/>
        </w:rPr>
        <w:t>(h)</w:t>
      </w:r>
      <w:r>
        <w:rPr>
          <w:b/>
          <w:sz w:val="22"/>
        </w:rPr>
        <w:tab/>
        <w:t>Additional Event of Default.</w:t>
      </w:r>
      <w:r>
        <w:rPr>
          <w:sz w:val="22"/>
        </w:rPr>
        <w:t xml:space="preserve">  The following will constitute an additional Event of Default for purposes of Section 5(a):</w:t>
      </w:r>
      <w:r>
        <w:rPr>
          <w:color w:val="FF0000"/>
          <w:sz w:val="22"/>
        </w:rPr>
        <w:t>]</w:t>
      </w:r>
    </w:p>
    <w:p>
      <w:pPr>
        <w:pStyle w:val="Normal"/>
        <w:tabs>
          <w:tab w:val="clear" w:pos="720"/>
          <w:tab w:val="left" w:pos="1440" w:leader="none"/>
        </w:tabs>
        <w:spacing w:lineRule="atLeast" w:line="240" w:before="240" w:after="0"/>
        <w:ind w:hanging="720" w:start="1440" w:end="0"/>
        <w:jc w:val="both"/>
        <w:rPr>
          <w:color w:val="FF0000"/>
          <w:sz w:val="22"/>
        </w:rPr>
      </w:pPr>
      <w:r>
        <w:rPr>
          <w:color w:val="FF0000"/>
          <w:sz w:val="22"/>
        </w:rPr>
        <w:t>[(ix)</w:t>
        <w:tab/>
        <w:t>The occurrence of a Material Adverse Change (as hereinafter defined) with respect to Party A or Party B.  "Material Adverse Change" means, (a) with respect to Party A, [Enron Corp’s] [its Credit Support Provider’s] Credit Rating is rated below "BBB-" by S&amp;P [or [Enron Corp.] [its Credit Support Provider] has no Credit Rating from S&amp;P]</w:t>
      </w:r>
      <w:r>
        <w:rPr>
          <w:rStyle w:val="FootnoteCharacters"/>
          <w:rStyle w:val="FootnoteReference"/>
          <w:color w:val="FF0000"/>
          <w:sz w:val="22"/>
        </w:rPr>
        <w:footnoteReference w:id="8"/>
      </w:r>
      <w:r>
        <w:rPr>
          <w:color w:val="FF0000"/>
          <w:sz w:val="22"/>
        </w:rPr>
        <w:t>; or (b) with respect to Party B, [</w:t>
      </w:r>
      <w:r>
        <w:rPr>
          <w:i/>
          <w:color w:val="FF0000"/>
          <w:sz w:val="22"/>
        </w:rPr>
        <w:t>insert as appropriate</w:t>
      </w:r>
      <w:r>
        <w:rPr>
          <w:color w:val="FF0000"/>
          <w:sz w:val="22"/>
        </w:rPr>
        <w:t xml:space="preserve">], </w:t>
      </w:r>
      <w:r>
        <w:rPr>
          <w:color w:val="FF0000"/>
          <w:sz w:val="22"/>
          <w:u w:val="single"/>
        </w:rPr>
        <w:t>provided</w:t>
      </w:r>
      <w:r>
        <w:rPr>
          <w:color w:val="FF0000"/>
          <w:sz w:val="22"/>
        </w:rPr>
        <w:t xml:space="preserve">, </w:t>
      </w:r>
      <w:r>
        <w:rPr>
          <w:color w:val="FF0000"/>
          <w:sz w:val="22"/>
          <w:u w:val="single"/>
        </w:rPr>
        <w:t>however</w:t>
      </w:r>
      <w:r>
        <w:rPr>
          <w:color w:val="FF0000"/>
          <w:sz w:val="22"/>
        </w:rPr>
        <w:t>, that the foregoing occurrence shall not constitute an Event of Default so long as in connection with or after such action or event, the party experiencing the Material Adverse Change (“X”) provides (or causes to be provided) to the other party (“Y”) within two Local Business Days of Y's written demand therefor collateral in an amount satisfactory to Y in its sole discretion.]</w:t>
      </w:r>
      <w:r>
        <w:rPr>
          <w:rStyle w:val="FootnoteCharacters"/>
          <w:rStyle w:val="FootnoteReference"/>
          <w:color w:val="FF0000"/>
          <w:sz w:val="22"/>
        </w:rPr>
        <w:footnoteReference w:id="9"/>
      </w:r>
    </w:p>
    <w:p>
      <w:pPr>
        <w:pStyle w:val="Normal"/>
        <w:spacing w:lineRule="exact" w:line="240" w:before="480" w:after="0"/>
        <w:jc w:val="both"/>
        <w:rPr>
          <w:b/>
          <w:sz w:val="22"/>
        </w:rPr>
      </w:pPr>
      <w:r>
        <w:rPr>
          <w:b/>
          <w:sz w:val="22"/>
        </w:rPr>
        <w:t>Part 2.  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pPr>
      <w:r>
        <w:rPr>
          <w:sz w:val="22"/>
        </w:rPr>
        <w:t xml:space="preserve">Party A is a </w:t>
      </w:r>
      <w:r>
        <w:rPr>
          <w:color w:val="FF0000"/>
          <w:sz w:val="22"/>
        </w:rPr>
        <w:t>[</w:t>
      </w:r>
      <w:r>
        <w:rPr>
          <w:sz w:val="22"/>
        </w:rPr>
        <w:t>limited partnership</w:t>
      </w:r>
      <w:r>
        <w:rPr>
          <w:color w:val="FF0000"/>
          <w:sz w:val="22"/>
        </w:rPr>
        <w:t>]</w:t>
      </w:r>
      <w:r>
        <w:rPr>
          <w:sz w:val="22"/>
        </w:rPr>
        <w:t xml:space="preserve"> organized under the laws of the State of Delaware.</w:t>
      </w:r>
    </w:p>
    <w:p>
      <w:pPr>
        <w:pStyle w:val="Normal"/>
        <w:spacing w:lineRule="exact" w:line="240" w:before="240" w:after="0"/>
        <w:ind w:hanging="720" w:start="900" w:end="0"/>
        <w:jc w:val="both"/>
        <w:rPr>
          <w:sz w:val="22"/>
        </w:rPr>
      </w:pPr>
      <w:r>
        <w:rPr>
          <w:sz w:val="22"/>
        </w:rPr>
        <w:t>(ii)</w:t>
        <w:tab/>
        <w:t>The following representation applies to Party B:</w:t>
      </w:r>
    </w:p>
    <w:p>
      <w:pPr>
        <w:pStyle w:val="Normal"/>
        <w:spacing w:lineRule="exact" w:line="240" w:before="240" w:after="0"/>
        <w:ind w:start="900" w:end="0"/>
        <w:jc w:val="both"/>
        <w:rPr>
          <w:sz w:val="22"/>
        </w:rPr>
      </w:pPr>
      <w:r>
        <w:rPr>
          <w:sz w:val="22"/>
        </w:rPr>
        <w:t>Party B is a [corporation/partnership/limited liability company (that is treated as a partnership for federal income tax purposes)] organized under the laws of the State of __________________.</w:t>
      </w:r>
    </w:p>
    <w:p>
      <w:pPr>
        <w:pStyle w:val="Normal"/>
        <w:spacing w:lineRule="exact" w:line="240" w:before="480" w:after="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ind w:firstLine="720" w:end="0"/>
        <w:jc w:val="both"/>
        <w:rPr>
          <w:sz w:val="22"/>
        </w:rPr>
      </w:pPr>
      <w:r>
        <w:rPr>
          <w:sz w:val="22"/>
        </w:rPr>
        <w:t>(a)</w:t>
        <w:tab/>
        <w:t>Tax forms, documents, or certificates to be delivered are:  None.</w:t>
      </w:r>
    </w:p>
    <w:p>
      <w:pPr>
        <w:pStyle w:val="Norma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color w:val="FF0000"/>
                <w:sz w:val="22"/>
              </w:rPr>
              <w:t>[</w:t>
            </w:r>
            <w:r>
              <w:rPr>
                <w:sz w:val="22"/>
              </w:rPr>
              <w:t>Party A</w:t>
            </w:r>
            <w:r>
              <w:rPr>
                <w:color w:val="FF0000"/>
                <w:sz w:val="22"/>
              </w:rPr>
              <w:t>]</w:t>
            </w:r>
            <w:r>
              <w:rPr>
                <w:sz w:val="22"/>
              </w:rPr>
              <w:t xml:space="preserve"> </w:t>
            </w:r>
            <w:r>
              <w:rPr>
                <w:color w:val="FF0000"/>
                <w:sz w:val="22"/>
              </w:rPr>
              <w:t>[</w:t>
            </w:r>
            <w:r>
              <w:rPr>
                <w:sz w:val="22"/>
              </w:rPr>
              <w:t>and Party B</w:t>
            </w:r>
            <w:r>
              <w:rPr>
                <w:color w:val="FF0000"/>
                <w:sz w:val="22"/>
              </w:rPr>
              <w:t>]</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w:t>
            </w:r>
            <w:r>
              <w:rPr>
                <w:rFonts w:cs="Times New Roman" w:ascii="Times New Roman" w:hAnsi="Times New Roman"/>
                <w:color w:val="FF0000"/>
              </w:rPr>
              <w:t>[</w:t>
            </w:r>
            <w:r>
              <w:rPr>
                <w:rFonts w:cs="Times New Roman" w:ascii="Times New Roman" w:hAnsi="Times New Roman"/>
              </w:rPr>
              <w:t>s</w:t>
            </w:r>
            <w:r>
              <w:rPr>
                <w:rFonts w:cs="Times New Roman" w:ascii="Times New Roman" w:hAnsi="Times New Roman"/>
                <w:color w:val="FF0000"/>
              </w:rPr>
              <w:t>]</w:t>
            </w:r>
            <w:r>
              <w:rPr>
                <w:rFonts w:cs="Times New Roman" w:ascii="Times New Roman" w:hAnsi="Times New Roman"/>
              </w:rPr>
              <w:t xml:space="preserve">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 xml:space="preserve">Annual Audited Consolidated Financial Statement of </w:t>
            </w:r>
            <w:r>
              <w:rPr>
                <w:color w:val="FF0000"/>
                <w:sz w:val="22"/>
              </w:rPr>
              <w:t>[</w:t>
            </w:r>
            <w:r>
              <w:rPr>
                <w:sz w:val="22"/>
              </w:rPr>
              <w:t>Enron Corp.</w:t>
            </w:r>
            <w:r>
              <w:rPr>
                <w:color w:val="FF0000"/>
                <w:sz w:val="22"/>
              </w:rPr>
              <w:t>]</w:t>
            </w:r>
            <w:r>
              <w:rPr>
                <w:sz w:val="22"/>
              </w:rPr>
              <w:t xml:space="preserve"> </w:t>
            </w:r>
            <w:r>
              <w:rPr>
                <w:color w:val="FF0000"/>
                <w:sz w:val="22"/>
              </w:rPr>
              <w:t>[</w:t>
            </w:r>
            <w:r>
              <w:rPr>
                <w:sz w:val="22"/>
              </w:rPr>
              <w:t>Party A’s Credit Support Provider</w:t>
            </w:r>
            <w:r>
              <w:rPr>
                <w:color w:val="FF0000"/>
                <w:sz w:val="22"/>
              </w:rPr>
              <w:t>]</w:t>
            </w:r>
            <w:r>
              <w:rPr>
                <w:sz w:val="22"/>
              </w:rPr>
              <w:t xml:space="preserve">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 xml:space="preserve">Quarterly Unaudited Consolidated Financial Statement of </w:t>
            </w:r>
            <w:r>
              <w:rPr>
                <w:color w:val="FF0000"/>
                <w:sz w:val="22"/>
              </w:rPr>
              <w:t>[</w:t>
            </w:r>
            <w:r>
              <w:rPr>
                <w:sz w:val="22"/>
              </w:rPr>
              <w:t>Enron Corp.</w:t>
            </w:r>
            <w:r>
              <w:rPr>
                <w:color w:val="FF0000"/>
                <w:sz w:val="22"/>
              </w:rPr>
              <w:t>]</w:t>
            </w:r>
            <w:r>
              <w:rPr>
                <w:sz w:val="22"/>
              </w:rPr>
              <w:t xml:space="preserve"> </w:t>
            </w:r>
            <w:r>
              <w:rPr>
                <w:color w:val="FF0000"/>
                <w:sz w:val="22"/>
              </w:rPr>
              <w:t>[</w:t>
            </w:r>
            <w:r>
              <w:rPr>
                <w:sz w:val="22"/>
              </w:rPr>
              <w:t>Party A’s Credit Support Provider</w:t>
            </w:r>
            <w:r>
              <w:rPr>
                <w:color w:val="FF0000"/>
                <w:sz w:val="22"/>
              </w:rPr>
              <w:t>]</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pPr>
            <w:r>
              <w:rPr>
                <w:sz w:val="22"/>
              </w:rPr>
              <w:t xml:space="preserve">Annual Audited Consolidated Financial Statement of </w:t>
            </w:r>
            <w:r>
              <w:rPr>
                <w:color w:val="FF0000"/>
                <w:sz w:val="22"/>
              </w:rPr>
              <w:t>[</w:t>
            </w:r>
            <w:r>
              <w:rPr>
                <w:sz w:val="22"/>
              </w:rPr>
              <w:t>Party B</w:t>
            </w:r>
            <w:r>
              <w:rPr>
                <w:color w:val="FF0000"/>
                <w:sz w:val="22"/>
              </w:rPr>
              <w:t>]</w:t>
            </w:r>
            <w:r>
              <w:rPr>
                <w:sz w:val="22"/>
              </w:rPr>
              <w:t xml:space="preserve"> </w:t>
            </w:r>
            <w:r>
              <w:rPr>
                <w:color w:val="FF0000"/>
                <w:sz w:val="22"/>
              </w:rPr>
              <w:t>[</w:t>
            </w:r>
            <w:r>
              <w:rPr>
                <w:sz w:val="22"/>
              </w:rPr>
              <w:t>and</w:t>
            </w:r>
            <w:r>
              <w:rPr>
                <w:color w:val="FF0000"/>
                <w:sz w:val="22"/>
              </w:rPr>
              <w:t>]</w:t>
            </w:r>
            <w:r>
              <w:rPr>
                <w:sz w:val="22"/>
              </w:rPr>
              <w:t xml:space="preserve"> </w:t>
            </w:r>
            <w:r>
              <w:rPr>
                <w:color w:val="FF0000"/>
                <w:sz w:val="22"/>
              </w:rPr>
              <w:t>[</w:t>
            </w:r>
            <w:r>
              <w:rPr>
                <w:sz w:val="22"/>
              </w:rPr>
              <w:t>Party B’s Credit Support Provider</w:t>
            </w:r>
            <w:r>
              <w:rPr>
                <w:color w:val="FF0000"/>
                <w:sz w:val="22"/>
              </w:rPr>
              <w:t>]</w:t>
            </w:r>
            <w:r>
              <w:rPr>
                <w:sz w:val="22"/>
              </w:rPr>
              <w:t xml:space="preserve">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 xml:space="preserve">Quarterly Unaudited Consolidated Financial Statement of </w:t>
            </w:r>
            <w:r>
              <w:rPr>
                <w:color w:val="FF0000"/>
                <w:sz w:val="22"/>
              </w:rPr>
              <w:t>[</w:t>
            </w:r>
            <w:r>
              <w:rPr>
                <w:sz w:val="22"/>
              </w:rPr>
              <w:t>Party B</w:t>
            </w:r>
            <w:r>
              <w:rPr>
                <w:color w:val="FF0000"/>
                <w:sz w:val="22"/>
              </w:rPr>
              <w:t>]</w:t>
            </w:r>
            <w:r>
              <w:rPr>
                <w:sz w:val="22"/>
              </w:rPr>
              <w:t xml:space="preserve"> </w:t>
            </w:r>
            <w:r>
              <w:rPr>
                <w:color w:val="FF0000"/>
                <w:sz w:val="22"/>
              </w:rPr>
              <w:t>[</w:t>
            </w:r>
            <w:r>
              <w:rPr>
                <w:sz w:val="22"/>
              </w:rPr>
              <w:t>and</w:t>
            </w:r>
            <w:r>
              <w:rPr>
                <w:color w:val="FF0000"/>
                <w:sz w:val="22"/>
              </w:rPr>
              <w:t>]</w:t>
            </w:r>
            <w:r>
              <w:rPr>
                <w:sz w:val="22"/>
              </w:rPr>
              <w:t xml:space="preserve"> </w:t>
            </w:r>
            <w:r>
              <w:rPr>
                <w:color w:val="FF0000"/>
                <w:sz w:val="22"/>
              </w:rPr>
              <w:t>[</w:t>
            </w:r>
            <w:r>
              <w:rPr>
                <w:sz w:val="22"/>
              </w:rPr>
              <w:t>Party B’s Credit Support Provider</w:t>
            </w:r>
            <w:r>
              <w:rPr>
                <w:color w:val="FF0000"/>
                <w:sz w:val="22"/>
              </w:rPr>
              <w:t>]</w:t>
            </w:r>
          </w:p>
        </w:tc>
        <w:tc>
          <w:tcPr>
            <w:tcW w:w="2340"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sz w:val="22"/>
              </w:rPr>
            </w:pPr>
            <w:r>
              <w:rPr>
                <w:sz w:val="22"/>
              </w:rPr>
              <w:t>Yes</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Broadband Services, L.P.</w:t>
            </w:r>
          </w:p>
          <w:p>
            <w:pPr>
              <w:pStyle w:val="Normal"/>
              <w:tabs>
                <w:tab w:val="clear" w:pos="720"/>
                <w:tab w:val="left" w:pos="4230" w:leader="none"/>
                <w:tab w:val="left" w:pos="9360" w:leader="none"/>
              </w:tabs>
              <w:spacing w:lineRule="exact" w:line="240"/>
              <w:jc w:val="both"/>
              <w:rPr>
                <w:sz w:val="22"/>
              </w:rPr>
            </w:pPr>
            <w:r>
              <w:rPr>
                <w:sz w:val="22"/>
              </w:rPr>
              <w:t>1400 Smith Street, Suite 4400</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Bandwidth Trading Contract</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Documentation Manager</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_________</w:t>
            </w:r>
          </w:p>
          <w:p>
            <w:pPr>
              <w:pStyle w:val="Normal"/>
              <w:tabs>
                <w:tab w:val="clear" w:pos="720"/>
                <w:tab w:val="left" w:pos="4230" w:leader="none"/>
                <w:tab w:val="left" w:pos="9360" w:leader="none"/>
              </w:tabs>
              <w:spacing w:lineRule="exact" w:line="240"/>
              <w:ind w:start="72" w:end="0"/>
              <w:jc w:val="both"/>
              <w:rPr>
                <w:sz w:val="22"/>
              </w:rPr>
            </w:pPr>
            <w:r>
              <w:rPr>
                <w:sz w:val="22"/>
              </w:rPr>
              <w:t>Telephone No.:  (713) _________</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Broadband Communications, Inc.., Attention:  General Counsel, Trading Group at the above address and facsimile no. (713) 646-8537.</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r>
              <w:rPr>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r>
              <w:rPr>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color w:val="FF0000"/>
          <w:sz w:val="22"/>
        </w:rPr>
        <w:t>[</w:t>
      </w:r>
      <w:r>
        <w:rPr>
          <w:sz w:val="22"/>
        </w:rPr>
        <w:t xml:space="preserve">(i) Guaranty dated as of the date hereof by Enron Corp. in favor of Party B as beneficiary thereof in the form attached hereto as </w:t>
      </w:r>
      <w:r>
        <w:rPr>
          <w:sz w:val="22"/>
          <w:u w:val="single"/>
        </w:rPr>
        <w:t>Exhibit A</w:t>
      </w:r>
      <w:r>
        <w:rPr>
          <w:sz w:val="22"/>
        </w:rPr>
        <w:t>,</w:t>
      </w:r>
      <w:r>
        <w:rPr>
          <w:color w:val="FF0000"/>
          <w:sz w:val="22"/>
        </w:rPr>
        <w:t>]</w:t>
      </w:r>
      <w:r>
        <w:rPr>
          <w:sz w:val="22"/>
        </w:rPr>
        <w:t xml:space="preserve"> </w:t>
      </w:r>
      <w:r>
        <w:rPr>
          <w:color w:val="FF0000"/>
          <w:sz w:val="22"/>
        </w:rPr>
        <w:t>[</w:t>
      </w:r>
      <w:r>
        <w:rPr>
          <w:sz w:val="22"/>
        </w:rPr>
        <w:t xml:space="preserve">(ii) Guaranty dated as of the date hereof by ____________________ in favor of Party A as beneficiary thereof in the form attached hereto as </w:t>
      </w:r>
      <w:r>
        <w:rPr>
          <w:sz w:val="22"/>
          <w:u w:val="single"/>
        </w:rPr>
        <w:t xml:space="preserve">Exhibit </w:t>
      </w:r>
      <w:r>
        <w:rPr>
          <w:color w:val="FF0000"/>
          <w:sz w:val="22"/>
          <w:u w:val="single"/>
        </w:rPr>
        <w:t>[</w:t>
      </w:r>
      <w:r>
        <w:rPr>
          <w:sz w:val="22"/>
          <w:u w:val="single"/>
        </w:rPr>
        <w:t>A</w:t>
      </w:r>
      <w:r>
        <w:rPr>
          <w:color w:val="FF0000"/>
          <w:sz w:val="22"/>
          <w:u w:val="single"/>
        </w:rPr>
        <w:t>][</w:t>
      </w:r>
      <w:r>
        <w:rPr>
          <w:sz w:val="22"/>
          <w:u w:val="single"/>
        </w:rPr>
        <w:t>B</w:t>
      </w:r>
      <w:r>
        <w:rPr>
          <w:color w:val="FF0000"/>
          <w:sz w:val="22"/>
          <w:u w:val="single"/>
        </w:rPr>
        <w:t>]</w:t>
      </w:r>
      <w:r>
        <w:rPr>
          <w:sz w:val="22"/>
        </w:rPr>
        <w:t>,</w:t>
      </w:r>
      <w:r>
        <w:rPr>
          <w:color w:val="FF0000"/>
          <w:sz w:val="22"/>
        </w:rPr>
        <w:t>]</w:t>
      </w:r>
      <w:r>
        <w:rPr>
          <w:sz w:val="22"/>
        </w:rPr>
        <w:t xml:space="preserve"> </w:t>
      </w:r>
      <w:r>
        <w:rPr>
          <w:color w:val="FF0000"/>
          <w:sz w:val="22"/>
        </w:rPr>
        <w:t>[</w:t>
      </w:r>
      <w:r>
        <w:rPr>
          <w:sz w:val="22"/>
        </w:rPr>
        <w:t xml:space="preserve">and (iii)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w:t>
      </w:r>
      <w:r>
        <w:rPr>
          <w:color w:val="FF0000"/>
          <w:sz w:val="22"/>
        </w:rPr>
        <w:t>[</w:t>
      </w:r>
      <w:r>
        <w:rPr>
          <w:sz w:val="22"/>
        </w:rPr>
        <w:t>none,</w:t>
      </w:r>
      <w:r>
        <w:rPr>
          <w:color w:val="FF0000"/>
          <w:sz w:val="22"/>
        </w:rPr>
        <w:t>]</w:t>
      </w:r>
      <w:r>
        <w:rPr>
          <w:sz w:val="22"/>
        </w:rPr>
        <w:t xml:space="preserve"> </w:t>
      </w:r>
      <w:r>
        <w:rPr>
          <w:color w:val="FF0000"/>
          <w:sz w:val="22"/>
        </w:rPr>
        <w:t>[</w:t>
      </w:r>
      <w:r>
        <w:rPr>
          <w:sz w:val="22"/>
        </w:rPr>
        <w:t>Enron Corp.,</w:t>
      </w:r>
      <w:r>
        <w:rPr>
          <w:color w:val="FF0000"/>
          <w:sz w:val="22"/>
        </w:rPr>
        <w:t>]</w:t>
      </w:r>
      <w:r>
        <w:rPr>
          <w:sz w:val="22"/>
        </w:rPr>
        <w:t xml:space="preserve"> and (ii) Credit Support Provider means in relation to Party B, </w:t>
      </w:r>
      <w:r>
        <w:rPr>
          <w:color w:val="FF0000"/>
          <w:sz w:val="22"/>
        </w:rPr>
        <w:t>[</w:t>
      </w:r>
      <w:r>
        <w:rPr>
          <w:sz w:val="22"/>
        </w:rPr>
        <w:t>none</w:t>
      </w:r>
      <w:r>
        <w:rPr>
          <w:color w:val="FF0000"/>
          <w:sz w:val="22"/>
        </w:rPr>
        <w:t>][</w:t>
      </w:r>
      <w:r>
        <w:rPr>
          <w:sz w:val="22"/>
        </w:rPr>
        <w:t>_______</w:t>
      </w:r>
      <w:r>
        <w:rPr>
          <w:color w:val="FF0000"/>
          <w:sz w:val="22"/>
        </w:rPr>
        <w:t>]</w:t>
      </w:r>
      <w:r>
        <w:rPr>
          <w:sz w:val="22"/>
        </w:rPr>
        <w:t>.</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 xml:space="preserve">Governing Law.  This Agreement and each Confirmation will be governed by, and construed, interpreted, and enforced in accordance with, the substantive law of the State of </w:t>
      </w:r>
      <w:r>
        <w:rPr>
          <w:b/>
          <w:color w:val="FF0000"/>
          <w:sz w:val="22"/>
        </w:rPr>
        <w:t>[</w:t>
      </w:r>
      <w:r>
        <w:rPr>
          <w:b/>
          <w:sz w:val="22"/>
        </w:rPr>
        <w:t>New York</w:t>
      </w:r>
      <w:r>
        <w:rPr>
          <w:b/>
          <w:color w:val="FF0000"/>
          <w:sz w:val="22"/>
        </w:rPr>
        <w:t>]</w:t>
      </w:r>
      <w:r>
        <w:rPr>
          <w:b/>
          <w:sz w:val="22"/>
        </w:rPr>
        <w:t xml:space="preserve"> </w:t>
      </w:r>
      <w:r>
        <w:rPr>
          <w:b/>
          <w:color w:val="FF0000"/>
          <w:sz w:val="22"/>
        </w:rPr>
        <w:t>[</w:t>
      </w:r>
      <w:r>
        <w:rPr>
          <w:b/>
          <w:sz w:val="22"/>
        </w:rPr>
        <w:t>Texas</w:t>
      </w:r>
      <w:r>
        <w:rPr>
          <w:b/>
          <w:color w:val="FF0000"/>
          <w:sz w:val="22"/>
        </w:rPr>
        <w:t>]</w:t>
      </w:r>
      <w:r>
        <w:rPr>
          <w:b/>
          <w:sz w:val="22"/>
        </w:rPr>
        <w:t xml:space="preserve">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w:t>
      </w:r>
      <w:r>
        <w:rPr>
          <w:color w:val="FF0000"/>
          <w:sz w:val="22"/>
        </w:rPr>
        <w:t>[</w:t>
      </w:r>
      <w:r>
        <w:rPr>
          <w:sz w:val="22"/>
        </w:rPr>
        <w:t>New York, New York</w:t>
      </w:r>
      <w:r>
        <w:rPr>
          <w:color w:val="FF0000"/>
          <w:sz w:val="22"/>
        </w:rPr>
        <w:t>][</w:t>
      </w:r>
      <w:r>
        <w:rPr>
          <w:sz w:val="22"/>
        </w:rPr>
        <w:t>Houston, Texas</w:t>
      </w:r>
      <w:r>
        <w:rPr>
          <w:color w:val="FF0000"/>
          <w:sz w:val="22"/>
        </w:rPr>
        <w:t>]</w:t>
      </w:r>
      <w:r>
        <w:rPr>
          <w:sz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color w:val="FF0000"/>
          <w:sz w:val="22"/>
        </w:rPr>
      </w:pPr>
      <w:r>
        <w:rPr>
          <w:b/>
          <w:color w:val="FF0000"/>
          <w:sz w:val="22"/>
        </w:rPr>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(j)</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 xml:space="preserve">(c)  Party A may transfer its rights and obligations under this Agreement, in whole but not in part, to any Affiliate </w:t>
      </w:r>
      <w:r>
        <w:rPr>
          <w:color w:val="FF0000"/>
          <w:sz w:val="22"/>
        </w:rPr>
        <w:t>[</w:t>
      </w:r>
      <w:r>
        <w:rPr>
          <w:sz w:val="22"/>
        </w:rPr>
        <w:t>so long as the obligations of such Affiliate are guaranteed by Enron Corp. pursuant to a guaranty substantially similar to the one provided on behalf of Party A,</w:t>
      </w:r>
      <w:r>
        <w:rPr>
          <w:rStyle w:val="FootnoteCharacters"/>
          <w:rStyle w:val="FootnoteReference"/>
          <w:color w:val="FF0000"/>
          <w:sz w:val="22"/>
        </w:rPr>
        <w:footnoteReference w:id="10"/>
      </w:r>
      <w:r>
        <w:rPr>
          <w:color w:val="FF0000"/>
          <w:sz w:val="22"/>
        </w:rPr>
        <w:t>]</w:t>
      </w:r>
      <w:r>
        <w:rPr>
          <w:sz w:val="22"/>
        </w:rPr>
        <w:t xml:space="preserve"> provided that such transfer will not give rise to a Termination Event or an Event of Default.”</w:t>
      </w:r>
      <w:r>
        <w:rPr>
          <w:color w:val="FF0000"/>
          <w:sz w:val="22"/>
        </w:rPr>
        <w:t>]</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sz w:val="22"/>
        </w:rPr>
      </w:pPr>
      <w:r>
        <w:rPr>
          <w:color w:val="FF0000"/>
          <w:sz w:val="22"/>
        </w:rPr>
        <w:t>[</w:t>
      </w: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r>
        <w:rPr>
          <w:color w:val="FF0000"/>
          <w:sz w:val="22"/>
        </w:rPr>
        <w:t>]</w:t>
      </w:r>
      <w:r>
        <w:rPr>
          <w:sz w:val="22"/>
        </w:rPr>
        <w:t xml:space="preserve"> </w:t>
      </w:r>
      <w:r>
        <w:rPr>
          <w:rStyle w:val="FootnoteCharacters"/>
          <w:rStyle w:val="FootnoteReference"/>
          <w:color w:val="FF0000"/>
          <w:sz w:val="22"/>
        </w:rPr>
        <w:footnoteReference w:id="11"/>
      </w:r>
    </w:p>
    <w:p>
      <w:pPr>
        <w:pStyle w:val="Normal"/>
        <w:spacing w:lineRule="exact" w:line="240"/>
        <w:ind w:firstLine="720" w:end="0"/>
        <w:jc w:val="both"/>
        <w:rPr>
          <w:b/>
          <w:sz w:val="22"/>
        </w:rPr>
      </w:pPr>
      <w:r>
        <w:rPr>
          <w:b/>
          <w:sz w:val="22"/>
        </w:rPr>
      </w:r>
    </w:p>
    <w:p>
      <w:pPr>
        <w:pStyle w:val="Normal"/>
        <w:spacing w:lineRule="exact" w:line="240"/>
        <w:ind w:firstLine="720" w:end="0"/>
        <w:jc w:val="both"/>
        <w:rPr>
          <w:b/>
          <w:sz w:val="22"/>
        </w:rPr>
      </w:pPr>
      <w:r>
        <w:rPr>
          <w:b/>
          <w:sz w:val="22"/>
        </w:rPr>
      </w:r>
    </w:p>
    <w:p>
      <w:pPr>
        <w:pStyle w:val="Normal"/>
        <w:spacing w:lineRule="exact" w:line="240"/>
        <w:ind w:firstLine="720" w:end="0"/>
        <w:jc w:val="both"/>
        <w:rPr>
          <w:b/>
          <w:sz w:val="22"/>
        </w:rPr>
      </w:pPr>
      <w:r>
        <w:rPr>
          <w:b/>
          <w:sz w:val="22"/>
        </w:rPr>
      </w:r>
    </w:p>
    <w:p>
      <w:pPr>
        <w:pStyle w:val="Normal"/>
        <w:spacing w:lineRule="exact" w:line="240"/>
        <w:ind w:firstLine="720" w:end="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(c)(iv) and (c)(v)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(d)</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(e)</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sz w:val="22"/>
        </w:rPr>
      </w:pPr>
      <w:r>
        <w:rPr>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five (5) leading dealers in the relevant market, disregard the highest and lowest of such quotes and the price for that Pricing Date will be the average of the Specified Prices.</w:t>
      </w:r>
    </w:p>
    <w:p>
      <w:pPr>
        <w:pStyle w:val="Normal"/>
        <w:jc w:val="both"/>
        <w:rPr>
          <w:sz w:val="22"/>
        </w:rPr>
      </w:pPr>
      <w:r>
        <w:rPr>
          <w:sz w:val="22"/>
        </w:rPr>
      </w:r>
    </w:p>
    <w:p>
      <w:pPr>
        <w:pStyle w:val="Header"/>
        <w:widowControl/>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r>
      <w:r>
        <w:br w:type="page"/>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rPr>
            </w:pPr>
            <w:r>
              <w:rPr>
                <w:b/>
                <w:sz w:val="22"/>
              </w:rPr>
              <w:t>ENRON BROADBAND SERVICES, L.P.</w:t>
            </w:r>
          </w:p>
          <w:p>
            <w:pPr>
              <w:pStyle w:val="Normal"/>
              <w:keepNext w:val="true"/>
              <w:spacing w:lineRule="exact" w:line="240"/>
              <w:jc w:val="both"/>
              <w:rPr>
                <w:color w:val="FF0000"/>
                <w:sz w:val="22"/>
              </w:rPr>
            </w:pPr>
            <w:r>
              <w:rPr>
                <w:color w:val="FF0000"/>
                <w:sz w:val="22"/>
              </w:rPr>
            </w:r>
          </w:p>
          <w:p>
            <w:pPr>
              <w:pStyle w:val="Normal"/>
              <w:keepNext w:val="true"/>
              <w:spacing w:lineRule="exact" w:line="240"/>
              <w:jc w:val="both"/>
              <w:rPr>
                <w:sz w:val="22"/>
              </w:rPr>
            </w:pPr>
            <w:r>
              <w:rPr>
                <w:sz w:val="22"/>
              </w:rPr>
              <w:t>By:</w:t>
              <w:tab/>
              <w:t>Enron Bandwidth, Inc.,</w:t>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ab/>
              <w:t>By:</w:t>
            </w:r>
            <w:r>
              <w:rPr>
                <w:sz w:val="22"/>
                <w:u w:val="single"/>
              </w:rPr>
              <w:tab/>
              <w:tab/>
              <w:tab/>
              <w:tab/>
              <w:tab/>
            </w:r>
          </w:p>
          <w:p>
            <w:pPr>
              <w:pStyle w:val="Normal"/>
              <w:keepNext w:val="true"/>
              <w:spacing w:lineRule="exact" w:line="240"/>
              <w:jc w:val="both"/>
              <w:rPr>
                <w:sz w:val="22"/>
              </w:rPr>
            </w:pPr>
            <w:r>
              <w:rPr>
                <w:sz w:val="22"/>
              </w:rPr>
              <w:tab/>
              <w:t>Name:</w:t>
            </w:r>
            <w:r>
              <w:rPr>
                <w:sz w:val="22"/>
                <w:u w:val="single"/>
              </w:rPr>
              <w:tab/>
              <w:tab/>
              <w:tab/>
              <w:tab/>
              <w:tab/>
            </w:r>
          </w:p>
          <w:p>
            <w:pPr>
              <w:pStyle w:val="Normal"/>
              <w:keepNext w:val="true"/>
              <w:spacing w:lineRule="exact" w:line="240"/>
              <w:jc w:val="both"/>
              <w:rPr>
                <w:sz w:val="22"/>
              </w:rPr>
            </w:pPr>
            <w:r>
              <w:rPr>
                <w:sz w:val="22"/>
              </w:rPr>
              <w:tab/>
              <w:t>Title:</w:t>
            </w:r>
            <w:r>
              <w:rPr>
                <w:sz w:val="22"/>
                <w:u w:val="single"/>
              </w:rPr>
              <w:tab/>
              <w:tab/>
              <w:tab/>
              <w:tab/>
              <w:tab/>
            </w:r>
          </w:p>
          <w:p>
            <w:pPr>
              <w:pStyle w:val="Normal"/>
              <w:keepNext w:val="true"/>
              <w:spacing w:lineRule="exact" w:line="240"/>
              <w:jc w:val="both"/>
              <w:rPr>
                <w:sz w:val="22"/>
              </w:rPr>
            </w:pPr>
            <w:r>
              <w:rPr>
                <w:sz w:val="22"/>
              </w:rPr>
              <w:tab/>
              <w:t>Date:</w:t>
            </w:r>
            <w:r>
              <w:rPr>
                <w:sz w:val="22"/>
                <w:u w:val="single"/>
              </w:rPr>
              <w:tab/>
              <w:tab/>
              <w:tab/>
              <w:tab/>
              <w:tab/>
            </w:r>
          </w:p>
        </w:tc>
        <w:tc>
          <w:tcPr>
            <w:tcW w:w="4788" w:type="dxa"/>
            <w:tcBorders/>
          </w:tcPr>
          <w:p>
            <w:pPr>
              <w:pStyle w:val="Normal"/>
              <w:keepNext w:val="true"/>
              <w:spacing w:lineRule="exact" w:line="240"/>
              <w:jc w:val="both"/>
              <w:rPr>
                <w:sz w:val="22"/>
              </w:rPr>
            </w:pPr>
            <w:r>
              <w:rPr>
                <w:b/>
                <w:color w:val="FF0000"/>
                <w:sz w:val="22"/>
              </w:rPr>
              <w:t>[</w:t>
            </w:r>
            <w:r>
              <w:rPr>
                <w:b/>
                <w:sz w:val="22"/>
              </w:rPr>
              <w:t>COUNTERPARTY</w:t>
            </w:r>
            <w:r>
              <w:rPr>
                <w:b/>
                <w:color w:val="FF0000"/>
                <w:sz w:val="22"/>
              </w:rPr>
              <w:t>]</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Normal"/>
        <w:tabs>
          <w:tab w:val="clear" w:pos="720"/>
          <w:tab w:val="left" w:pos="2700" w:leader="none"/>
        </w:tabs>
        <w:spacing w:lineRule="exact" w:line="240"/>
        <w:ind w:hanging="3060" w:start="3060" w:end="0"/>
        <w:jc w:val="both"/>
        <w:rPr/>
      </w:pPr>
      <w:r>
        <w:rPr>
          <w:sz w:val="22"/>
        </w:rPr>
        <w:t xml:space="preserve">EXHIBIT </w:t>
      </w:r>
      <w:r>
        <w:rPr>
          <w:color w:val="FF0000"/>
          <w:sz w:val="22"/>
        </w:rPr>
        <w:t>[</w:t>
      </w:r>
      <w:r>
        <w:rPr>
          <w:sz w:val="22"/>
        </w:rPr>
        <w:t>A</w:t>
      </w:r>
      <w:r>
        <w:rPr>
          <w:color w:val="FF0000"/>
          <w:sz w:val="22"/>
        </w:rPr>
        <w:t>][</w:t>
      </w:r>
      <w:r>
        <w:rPr>
          <w:sz w:val="22"/>
        </w:rPr>
        <w:t>B</w:t>
      </w:r>
      <w:r>
        <w:rPr>
          <w:color w:val="FF0000"/>
          <w:sz w:val="22"/>
        </w:rPr>
        <w:t>]</w:t>
      </w:r>
      <w:r>
        <w:rPr>
          <w:sz w:val="22"/>
        </w:rPr>
        <w:tab/>
        <w:t>FORM OF GUARANTY (PARTY B)</w:t>
      </w:r>
    </w:p>
    <w:sectPr>
      <w:footerReference w:type="default" r:id="rId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/mnt/main-storage/datasets/enron-docs/doc/ISDAadvertisingswap.doc</w:t>
    </w:r>
    <w:r>
      <w:rPr>
        <w:sz w:val="16"/>
        <w:lang w:eastAsia="en-US"/>
      </w:rPr>
      <w:fldChar w:fldCharType="end"/>
    </w:r>
  </w:p>
  <w:p>
    <w:pPr>
      <w:pStyle w:val="Footer"/>
      <w:rPr>
        <w:sz w:val="16"/>
        <w:lang w:eastAsia="en-US"/>
      </w:rPr>
    </w:pPr>
    <w:r>
      <w:rPr>
        <w:sz w:val="16"/>
        <w:lang w:eastAsia="en-US"/>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18"/>
        </w:rPr>
        <w:t xml:space="preserve">Insert if threshold amounts are designated for </w:t>
      </w:r>
      <w:r>
        <w:rPr>
          <w:sz w:val="18"/>
          <w:u w:val="single"/>
        </w:rPr>
        <w:t>both</w:t>
      </w:r>
      <w:r>
        <w:rPr>
          <w:sz w:val="18"/>
        </w:rPr>
        <w:t xml:space="preserve"> Party A and Party A’s Credit Support Provider</w:t>
      </w:r>
    </w:p>
  </w:footnote>
  <w:footnote w:id="3">
    <w:p>
      <w:pPr>
        <w:pStyle w:val="FootnoteText"/>
        <w:widowControl/>
        <w:rPr/>
      </w:pPr>
      <w:r>
        <w:rPr>
          <w:rStyle w:val="FootnoteCharacters"/>
        </w:rPr>
        <w:footnoteRef/>
      </w:r>
      <w:r>
        <w:rPr>
          <w:sz w:val="18"/>
        </w:rPr>
        <w:t xml:space="preserve">  </w:t>
      </w:r>
      <w:r>
        <w:rPr>
          <w:sz w:val="18"/>
        </w:rPr>
        <w:t>Insert this language if there is no Enron Corp. guaranty.</w:t>
      </w:r>
    </w:p>
  </w:footnote>
  <w:footnote w:id="4">
    <w:p>
      <w:pPr>
        <w:pStyle w:val="FootnoteText"/>
        <w:widowControl/>
        <w:rPr/>
      </w:pPr>
      <w:r>
        <w:rPr>
          <w:rStyle w:val="FootnoteCharacters"/>
        </w:rPr>
        <w:footnoteRef/>
      </w:r>
      <w:r>
        <w:rPr>
          <w:sz w:val="18"/>
        </w:rPr>
        <w:t xml:space="preserve"> </w:t>
      </w:r>
      <w:r>
        <w:rPr>
          <w:sz w:val="18"/>
        </w:rPr>
        <w:t>Insert this language if there is no Enron Corp. guaranty.</w:t>
      </w:r>
    </w:p>
  </w:footnote>
  <w:footnote w:id="5">
    <w:p>
      <w:pPr>
        <w:pStyle w:val="FootnoteText"/>
        <w:widowControl/>
        <w:rPr/>
      </w:pPr>
      <w:r>
        <w:rPr>
          <w:rStyle w:val="FootnoteCharacters"/>
        </w:rPr>
        <w:footnoteRef/>
      </w:r>
      <w:r>
        <w:rPr/>
        <w:t xml:space="preserve"> </w:t>
      </w:r>
      <w:r>
        <w:rPr>
          <w:sz w:val="18"/>
        </w:rPr>
        <w:t>Insert this language if there is no Enron Corp. guaranty.</w:t>
      </w:r>
    </w:p>
  </w:footnote>
  <w:footnote w:id="6">
    <w:p>
      <w:pPr>
        <w:pStyle w:val="FootnoteText"/>
        <w:widowControl/>
        <w:rPr/>
      </w:pPr>
      <w:r>
        <w:rPr>
          <w:rStyle w:val="FootnoteCharacters"/>
        </w:rPr>
        <w:footnoteRef/>
      </w:r>
      <w:r>
        <w:rPr>
          <w:sz w:val="18"/>
        </w:rPr>
        <w:t xml:space="preserve"> </w:t>
      </w:r>
      <w:r>
        <w:rPr>
          <w:sz w:val="18"/>
        </w:rPr>
        <w:t>Insert this language if there is no Enron Corp. guaranty.</w:t>
      </w:r>
    </w:p>
  </w:footnote>
  <w:footnote w:id="7">
    <w:p>
      <w:pPr>
        <w:pStyle w:val="FootnoteText"/>
        <w:widowControl/>
        <w:rPr/>
      </w:pPr>
      <w:r>
        <w:rPr>
          <w:rStyle w:val="FootnoteCharacters"/>
        </w:rPr>
        <w:footnoteRef/>
      </w:r>
      <w:r>
        <w:rPr>
          <w:sz w:val="18"/>
        </w:rPr>
        <w:t xml:space="preserve"> </w:t>
      </w:r>
      <w:r>
        <w:rPr>
          <w:sz w:val="18"/>
        </w:rPr>
        <w:t>If no credit support annex is attached, insert this and delete last sentence of paragraph.</w:t>
      </w:r>
    </w:p>
  </w:footnote>
  <w:footnote w:id="8">
    <w:p>
      <w:pPr>
        <w:pStyle w:val="FootnoteText"/>
        <w:rPr/>
      </w:pPr>
      <w:r>
        <w:rPr>
          <w:rStyle w:val="FootnoteCharacters"/>
        </w:rPr>
        <w:footnoteRef/>
      </w:r>
      <w:r>
        <w:rPr/>
        <w:t xml:space="preserve"> </w:t>
      </w:r>
      <w:r>
        <w:rPr>
          <w:sz w:val="18"/>
        </w:rPr>
        <w:t>Insert if the MAC language in clause (b) is based on a “ratings” trigger</w:t>
      </w:r>
    </w:p>
  </w:footnote>
  <w:footnote w:id="9">
    <w:p>
      <w:pPr>
        <w:pStyle w:val="FootnoteText"/>
        <w:rPr/>
      </w:pPr>
      <w:r>
        <w:rPr>
          <w:rStyle w:val="FootnoteCharacters"/>
        </w:rPr>
        <w:footnoteRef/>
      </w:r>
      <w:r>
        <w:rPr/>
        <w:t xml:space="preserve"> </w:t>
      </w:r>
      <w:r>
        <w:rPr>
          <w:sz w:val="18"/>
        </w:rPr>
        <w:t>Insert when there is no credit support annex and “MAC” is to be an additional event of default in ISDA Schedule</w:t>
      </w:r>
    </w:p>
  </w:footnote>
  <w:footnote w:id="10">
    <w:p>
      <w:pPr>
        <w:pStyle w:val="FootnoteText"/>
        <w:widowControl/>
        <w:rPr/>
      </w:pPr>
      <w:r>
        <w:rPr>
          <w:rStyle w:val="FootnoteCharacters"/>
        </w:rPr>
        <w:footnoteRef/>
      </w:r>
      <w:r>
        <w:rPr>
          <w:sz w:val="18"/>
        </w:rPr>
        <w:t xml:space="preserve"> </w:t>
      </w:r>
      <w:r>
        <w:rPr>
          <w:sz w:val="18"/>
        </w:rPr>
        <w:t>Include this language when there is an Enron Corp. Guaranty.</w:t>
      </w:r>
    </w:p>
  </w:footnote>
  <w:footnote w:id="11">
    <w:p>
      <w:pPr>
        <w:pStyle w:val="FootnoteText"/>
        <w:widowControl/>
        <w:rPr/>
      </w:pPr>
      <w:r>
        <w:rPr>
          <w:rStyle w:val="FootnoteCharacters"/>
        </w:rPr>
        <w:footnoteRef/>
      </w:r>
      <w:r>
        <w:rPr>
          <w:sz w:val="18"/>
        </w:rPr>
        <w:t xml:space="preserve">  </w:t>
      </w:r>
      <w:r>
        <w:rPr>
          <w:sz w:val="18"/>
        </w:rPr>
        <w:t>Use only if governed by Texas law and if there is no Canadian party.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end"/>
      <w:outlineLvl w:val="2"/>
    </w:pPr>
    <w:rPr>
      <w:b/>
      <w:sz w:val="22"/>
      <w:u w:val="singl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2000-05-23T16:20:00Z</dcterms:created>
  <dc:creator>marie_heard</dc:creator>
  <dc:description/>
  <dc:language>en-CA</dc:language>
  <cp:lastModifiedBy>marie_heard</cp:lastModifiedBy>
  <cp:lastPrinted>2000-06-07T15:32:00Z</cp:lastPrinted>
  <dcterms:modified xsi:type="dcterms:W3CDTF">2000-06-07T18:03:00Z</dcterms:modified>
  <cp:revision>3</cp:revision>
  <dc:subject/>
  <dc:title>ISDA Multicurrency Agreement</dc:title>
</cp:coreProperties>
</file>