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INERNATIONAL SWAPS AND DERIVATIVES ASSOCIATION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 xml:space="preserve">SEMINAR 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Oct. 12 –13, 2000, Empire Hotel, New York City, NY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Heading1"/>
        <w:ind w:hanging="0" w:start="0"/>
        <w:rPr>
          <w:sz w:val="20"/>
        </w:rPr>
      </w:pPr>
      <w:r>
        <w:rPr>
          <w:sz w:val="20"/>
        </w:rPr>
        <w:t>Day One – Documenting and Confirming Credit Derivative Transactions</w:t>
      </w:r>
    </w:p>
    <w:p>
      <w:pPr>
        <w:pStyle w:val="Normal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</w:r>
    </w:p>
    <w:p>
      <w:pPr>
        <w:pStyle w:val="Normal"/>
        <w:tabs>
          <w:tab w:val="clear" w:pos="720"/>
          <w:tab w:val="right" w:pos="8640" w:leader="none"/>
        </w:tabs>
        <w:rPr>
          <w:sz w:val="20"/>
        </w:rPr>
      </w:pPr>
      <w:r>
        <w:rPr>
          <w:sz w:val="20"/>
        </w:rPr>
        <w:t>Agenda . . . . . . . . . . . . . . . . . . . . . . . . . . . . . . . . . . . . . . . . . . . . . . . . . . . . . . . . . . . . . . . . 1</w:t>
        <w:tab/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Overview of the Credit Derivatives Markets . . . . . . . . . . . . . . . . . . . . . . . . . . . . . . . . . . . 2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right" w:pos="8640" w:leader="none"/>
        </w:tabs>
        <w:rPr>
          <w:sz w:val="20"/>
        </w:rPr>
      </w:pPr>
      <w:r>
        <w:rPr>
          <w:sz w:val="20"/>
        </w:rPr>
        <w:t>Products Types . . . . . . . . . . . . . . . . . . . . . . . . . . . . . . . . . . . . . . . . . . . . . . . . . . . . . . . . . . 3</w:t>
      </w:r>
    </w:p>
    <w:p>
      <w:pPr>
        <w:pStyle w:val="Normal"/>
        <w:tabs>
          <w:tab w:val="clear" w:pos="720"/>
          <w:tab w:val="right" w:pos="8640" w:leader="none"/>
        </w:tabs>
        <w:rPr>
          <w:sz w:val="20"/>
        </w:rPr>
      </w:pPr>
      <w:r>
        <w:rPr>
          <w:sz w:val="20"/>
        </w:rPr>
      </w:r>
    </w:p>
    <w:p>
      <w:pPr>
        <w:pStyle w:val="Heading2"/>
        <w:ind w:hanging="0" w:start="0"/>
        <w:rPr>
          <w:sz w:val="20"/>
          <w:u w:val="none"/>
        </w:rPr>
      </w:pPr>
      <w:r>
        <w:rPr>
          <w:sz w:val="20"/>
          <w:u w:val="none"/>
        </w:rPr>
        <w:t>The 1999 Credit Derivatives Definitions . . . . . . . . . . . .  . . . . . . . . . . . . . . . . . . . . . . . . .  4</w:t>
      </w:r>
    </w:p>
    <w:p>
      <w:pPr>
        <w:pStyle w:val="Heading2"/>
        <w:ind w:hanging="0" w:start="0"/>
        <w:rPr/>
      </w:pPr>
      <w:r>
        <w:rPr>
          <w:sz w:val="20"/>
          <w:u w:val="none"/>
        </w:rPr>
        <w:t xml:space="preserve">      </w:t>
      </w:r>
      <w:r>
        <w:rPr>
          <w:i/>
          <w:iCs/>
          <w:sz w:val="20"/>
          <w:u w:val="none"/>
        </w:rPr>
        <w:t>The 1999 Credit Derivatives Definitions</w:t>
      </w:r>
    </w:p>
    <w:p>
      <w:pPr>
        <w:pStyle w:val="Heading2"/>
        <w:ind w:hanging="0" w:start="0"/>
        <w:rPr>
          <w:sz w:val="20"/>
          <w:u w:val="none"/>
        </w:rPr>
      </w:pPr>
      <w:r>
        <w:rPr>
          <w:i/>
          <w:iCs/>
          <w:sz w:val="20"/>
          <w:u w:val="none"/>
        </w:rPr>
        <w:t xml:space="preserve">      </w:t>
      </w:r>
      <w:r>
        <w:rPr>
          <w:i/>
          <w:iCs/>
          <w:sz w:val="20"/>
          <w:u w:val="none"/>
        </w:rPr>
        <w:t>User’s Guide to the 1999 Credit Derivatives Definitions</w:t>
      </w:r>
    </w:p>
    <w:p>
      <w:pPr>
        <w:pStyle w:val="Normal"/>
        <w:rPr>
          <w:sz w:val="20"/>
          <w:u w:val="none"/>
        </w:rPr>
      </w:pPr>
      <w:r>
        <w:rPr>
          <w:sz w:val="20"/>
          <w:u w:val="none"/>
        </w:rPr>
      </w:r>
    </w:p>
    <w:p>
      <w:pPr>
        <w:pStyle w:val="Normal"/>
        <w:rPr>
          <w:sz w:val="20"/>
        </w:rPr>
      </w:pPr>
      <w:r>
        <w:rPr>
          <w:sz w:val="20"/>
        </w:rPr>
        <w:t>Credit Derivatives – Regulatory and Capital Considerations . . . . . . . . . . . . . . . . . . . . . .  5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2"/>
        <w:ind w:hanging="0" w:start="0"/>
        <w:rPr>
          <w:sz w:val="20"/>
          <w:u w:val="none"/>
        </w:rPr>
      </w:pPr>
      <w:r>
        <w:rPr>
          <w:sz w:val="20"/>
          <w:u w:val="none"/>
        </w:rPr>
        <w:t>Mock Negotiation of a Credit Derivative Transaction . . . . . . . . . . . . . . . . . . . . . . . . . . .  6</w:t>
      </w:r>
    </w:p>
    <w:p>
      <w:pPr>
        <w:pStyle w:val="Normal"/>
        <w:rPr>
          <w:sz w:val="20"/>
          <w:u w:val="none"/>
        </w:rPr>
      </w:pPr>
      <w:r>
        <w:rPr>
          <w:sz w:val="20"/>
          <w:u w:val="none"/>
        </w:rPr>
      </w:r>
    </w:p>
    <w:p>
      <w:pPr>
        <w:pStyle w:val="Normal"/>
        <w:rPr>
          <w:sz w:val="20"/>
        </w:rPr>
      </w:pPr>
      <w:r>
        <w:rPr>
          <w:sz w:val="20"/>
        </w:rPr>
        <w:t>Credit Derivative Confirmation Workshop . . . . . . . . . . . . . . . . . . . . . . . . . . . . . . . . . . . . 7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1890" w:leader="none"/>
        </w:tabs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Day Two  – Understanding Collateral Arrangements and the ISDA Credit Support Documents</w:t>
      </w:r>
      <w:r>
        <w:rPr>
          <w:b/>
          <w:bCs/>
          <w:i/>
          <w:iCs/>
          <w:sz w:val="20"/>
          <w:u w:val="single"/>
        </w:rPr>
        <w:t xml:space="preserve"> </w:t>
      </w:r>
    </w:p>
    <w:p>
      <w:pPr>
        <w:pStyle w:val="Normal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</w:r>
    </w:p>
    <w:p>
      <w:pPr>
        <w:pStyle w:val="Normal"/>
        <w:rPr>
          <w:sz w:val="20"/>
        </w:rPr>
      </w:pPr>
      <w:r>
        <w:rPr>
          <w:sz w:val="20"/>
        </w:rPr>
        <w:t>Agenda/Speaker Biographies . . . . . . . . . . . . . . . . . . . . . . . . . . . . . . . . . . . . . . . . . . . . . . 8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2"/>
        <w:ind w:hanging="0" w:start="0"/>
        <w:rPr>
          <w:sz w:val="20"/>
          <w:u w:val="none"/>
        </w:rPr>
      </w:pPr>
      <w:r>
        <w:rPr>
          <w:sz w:val="20"/>
          <w:u w:val="none"/>
        </w:rPr>
        <w:t>An Overview of Collateral in the Derivatives Market . . . . . . . . . . . . . . . . . . . . . . . . . . . 9</w:t>
      </w:r>
    </w:p>
    <w:p>
      <w:pPr>
        <w:pStyle w:val="Normal"/>
        <w:rPr>
          <w:sz w:val="20"/>
          <w:u w:val="none"/>
        </w:rPr>
      </w:pPr>
      <w:r>
        <w:rPr>
          <w:sz w:val="20"/>
          <w:u w:val="none"/>
        </w:rPr>
      </w:r>
    </w:p>
    <w:p>
      <w:pPr>
        <w:pStyle w:val="Normal"/>
        <w:rPr>
          <w:sz w:val="20"/>
        </w:rPr>
      </w:pPr>
      <w:r>
        <w:rPr>
          <w:sz w:val="20"/>
        </w:rPr>
        <w:t>Understanding the ISDA Credit Support Annex. . . . . . . . . . . . . . . . . . . . . . . . . . . . . . . .10</w:t>
      </w:r>
    </w:p>
    <w:p>
      <w:pPr>
        <w:pStyle w:val="Normal"/>
        <w:ind w:firstLine="720" w:end="0"/>
        <w:rPr/>
      </w:pPr>
      <w:r>
        <w:rPr>
          <w:i/>
          <w:iCs/>
          <w:sz w:val="20"/>
        </w:rPr>
        <w:t>1994 ISDA Credit Support Annex</w:t>
      </w:r>
      <w:r>
        <w:rPr>
          <w:sz w:val="20"/>
        </w:rPr>
        <w:t xml:space="preserve"> </w:t>
      </w:r>
    </w:p>
    <w:p>
      <w:pPr>
        <w:pStyle w:val="Heading3"/>
        <w:rPr>
          <w:sz w:val="20"/>
        </w:rPr>
      </w:pPr>
      <w:r>
        <w:rPr>
          <w:sz w:val="20"/>
        </w:rPr>
        <w:t>User’s Guide to the 1994 Credit Support Annex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Future ISDA Credit Support Documentation . . . . . . . . . . . . . . . . . . . . . . . . . . . . . . . . . .11</w:t>
      </w:r>
    </w:p>
    <w:p>
      <w:pPr>
        <w:pStyle w:val="Normal"/>
        <w:ind w:firstLine="720" w:end="0"/>
        <w:rPr>
          <w:i/>
          <w:i/>
          <w:iCs/>
          <w:sz w:val="20"/>
        </w:rPr>
      </w:pPr>
      <w:r>
        <w:rPr>
          <w:i/>
          <w:iCs/>
          <w:sz w:val="20"/>
        </w:rPr>
        <w:t>ISDA 1999 Collateral Review</w:t>
      </w:r>
    </w:p>
    <w:p>
      <w:pPr>
        <w:pStyle w:val="Normal"/>
        <w:ind w:firstLine="720" w:end="0"/>
        <w:rPr>
          <w:i/>
          <w:i/>
          <w:iCs/>
          <w:sz w:val="20"/>
        </w:rPr>
      </w:pPr>
      <w:r>
        <w:rPr>
          <w:i/>
          <w:iCs/>
          <w:sz w:val="20"/>
        </w:rPr>
        <w:t>Amendment to the Credit Support Annex (proposed)</w:t>
      </w:r>
    </w:p>
    <w:p>
      <w:pPr>
        <w:pStyle w:val="Normal"/>
        <w:ind w:firstLine="720" w:end="0"/>
        <w:rPr>
          <w:i/>
          <w:i/>
          <w:iCs/>
          <w:sz w:val="20"/>
        </w:rPr>
      </w:pPr>
      <w:r>
        <w:rPr>
          <w:i/>
          <w:iCs/>
          <w:sz w:val="20"/>
        </w:rPr>
        <w:t>2000 ISDA Credit Support Provisions (proposed)</w:t>
      </w:r>
    </w:p>
    <w:p>
      <w:pPr>
        <w:pStyle w:val="Normal"/>
        <w:rPr>
          <w:i/>
          <w:i/>
          <w:iCs/>
          <w:sz w:val="20"/>
        </w:rPr>
      </w:pPr>
      <w:r>
        <w:rPr>
          <w:i/>
          <w:iCs/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Credit Enhancement Workshop . . . . . . . . . . . . . . . . . . . . . . . . . . . . . . . . . . . . . . . . . . . . 12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Documenting Collateral Arrangements Under Laws of Other Jurisdictions . . . . . . . . . . 13</w:t>
      </w:r>
    </w:p>
    <w:p>
      <w:pPr>
        <w:pStyle w:val="Normal"/>
        <w:ind w:firstLine="720" w:end="0"/>
        <w:rPr>
          <w:i/>
          <w:i/>
          <w:iCs/>
          <w:sz w:val="20"/>
        </w:rPr>
      </w:pPr>
      <w:r>
        <w:rPr>
          <w:i/>
          <w:iCs/>
          <w:sz w:val="20"/>
        </w:rPr>
        <w:t>ISDA Credit Support Annex (1995) (English Law)</w:t>
      </w:r>
    </w:p>
    <w:p>
      <w:pPr>
        <w:pStyle w:val="Normal"/>
        <w:ind w:firstLine="720" w:end="0"/>
        <w:rPr>
          <w:i/>
          <w:i/>
          <w:iCs/>
          <w:sz w:val="20"/>
        </w:rPr>
      </w:pPr>
      <w:r>
        <w:rPr>
          <w:i/>
          <w:iCs/>
          <w:sz w:val="20"/>
        </w:rPr>
        <w:t>ISDA Credit Support Deed (1995) (English Law)</w:t>
      </w:r>
    </w:p>
    <w:p>
      <w:pPr>
        <w:pStyle w:val="Heading3"/>
        <w:rPr>
          <w:sz w:val="20"/>
        </w:rPr>
      </w:pPr>
      <w:r>
        <w:rPr>
          <w:sz w:val="20"/>
        </w:rPr>
        <w:t>User’s Guide to the ISDA Credit Support Documents under English Law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Miscellaneous/General . . . . . . . . . . . . . . . . . . . . . . . . . . . . . . . . . . . . . . . . . . . . . . . . . . . 14</w:t>
      </w:r>
    </w:p>
    <w:p>
      <w:pPr>
        <w:pStyle w:val="Heading4"/>
        <w:ind w:hanging="0" w:start="0"/>
        <w:rPr>
          <w:sz w:val="20"/>
        </w:rPr>
      </w:pPr>
      <w:r>
        <w:rPr>
          <w:sz w:val="20"/>
        </w:rPr>
        <w:tab/>
        <w:t>Day One attendees</w:t>
      </w:r>
    </w:p>
    <w:p>
      <w:pPr>
        <w:pStyle w:val="Normal"/>
        <w:rPr>
          <w:i/>
          <w:i/>
          <w:iCs/>
          <w:sz w:val="20"/>
        </w:rPr>
      </w:pPr>
      <w:r>
        <w:rPr>
          <w:i/>
          <w:iCs/>
          <w:sz w:val="20"/>
        </w:rPr>
        <w:tab/>
        <w:t>Day Two attendees</w:t>
      </w:r>
    </w:p>
    <w:p>
      <w:pPr>
        <w:pStyle w:val="Normal"/>
        <w:rPr>
          <w:i/>
          <w:i/>
          <w:iCs/>
          <w:sz w:val="20"/>
        </w:rPr>
      </w:pPr>
      <w:r>
        <w:rPr>
          <w:i/>
          <w:iCs/>
          <w:sz w:val="20"/>
        </w:rPr>
        <w:tab/>
        <w:t>ISDA Membership List</w:t>
      </w:r>
    </w:p>
    <w:p>
      <w:pPr>
        <w:pStyle w:val="Normal"/>
        <w:rPr>
          <w:i/>
          <w:i/>
          <w:iCs/>
          <w:sz w:val="20"/>
        </w:rPr>
      </w:pPr>
      <w:r>
        <w:rPr>
          <w:i/>
          <w:iCs/>
          <w:sz w:val="20"/>
        </w:rPr>
        <w:tab/>
        <w:t>ISDA Publications Guide</w:t>
      </w:r>
    </w:p>
    <w:p>
      <w:pPr>
        <w:pStyle w:val="Normal"/>
        <w:rPr>
          <w:i/>
          <w:i/>
          <w:iCs/>
          <w:sz w:val="20"/>
        </w:rPr>
      </w:pPr>
      <w:r>
        <w:rPr>
          <w:i/>
          <w:iCs/>
          <w:sz w:val="20"/>
        </w:rPr>
      </w:r>
    </w:p>
    <w:p>
      <w:pPr>
        <w:pStyle w:val="Normal"/>
        <w:rPr>
          <w:i/>
          <w:i/>
          <w:iCs/>
          <w:sz w:val="20"/>
        </w:rPr>
      </w:pPr>
      <w:r>
        <w:rPr>
          <w:i/>
          <w:iCs/>
          <w:sz w:val="20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right" w:pos="8640" w:leader="none"/>
      </w:tabs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firstLine="720" w:start="0" w:end="0"/>
      <w:outlineLvl w:val="2"/>
    </w:pPr>
    <w:rPr>
      <w:i/>
      <w:iCs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i/>
      <w:iCs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2000-11-20T11:22:00Z</dcterms:created>
  <dc:creator>Preferred Customer</dc:creator>
  <dc:description/>
  <dc:language>en-CA</dc:language>
  <cp:lastModifiedBy>rbruce2</cp:lastModifiedBy>
  <dcterms:modified xsi:type="dcterms:W3CDTF">2000-11-20T11:22:00Z</dcterms:modified>
  <cp:revision>2</cp:revision>
  <dc:subject/>
  <dc:title>Understanding Collateral Arrangements and the ISDA Credit Support Documents (October 13, 2000)</dc:title>
</cp:coreProperties>
</file>