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FINANCIAL TRADING OPINIONS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</w:rPr>
      </w:pPr>
      <w:r>
        <w:rPr>
          <w:b/>
        </w:rPr>
        <w:t>1.</w:t>
        <w:tab/>
        <w:t>AUSTRALIA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Mallesons Stephen Jaques, dated December 24, 1997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</w:t>
        <w:tab/>
        <w:t>AUSTRIA</w:t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Schönherr Barfuss Torggler &amp; Partners, dated March 10, 1998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rPr>
          <w:b/>
        </w:rPr>
      </w:pPr>
      <w:r>
        <w:rPr>
          <w:b/>
        </w:rPr>
        <w:t>3.</w:t>
        <w:tab/>
        <w:t>BAHAMAS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NONE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4.</w:t>
        <w:tab/>
        <w:t>BELGIUM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Cs/>
        </w:rPr>
      </w:pPr>
      <w:r>
        <w:rPr>
          <w:bCs/>
        </w:rPr>
        <w:t>NONE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5.</w:t>
        <w:tab/>
        <w:t>BERMUDA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Appleby, Spurling &amp; Kempe, dated January 31, 1997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Appleby, Spurling &amp; Kempe, dated March 17, 1998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3"/>
        <w:ind w:hanging="360" w:end="0"/>
        <w:rPr/>
      </w:pPr>
      <w:r>
        <w:rPr/>
        <w:t>6.</w:t>
        <w:tab/>
        <w:t>CANADA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Stikeman, Elliott, dated February, 1998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7.</w:t>
        <w:tab/>
        <w:t>CAYMAN ISLANDS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ISDA Legal Opinions</w:t>
      </w:r>
      <w:r>
        <w:rPr/>
        <w:t xml:space="preserve"> </w:t>
      </w:r>
      <w:r>
        <w:rPr>
          <w:i/>
        </w:rPr>
        <w:t>(Validity &amp; Enforceability of Collateral Arrangements under the ISDA Credit</w:t>
      </w:r>
    </w:p>
    <w:p>
      <w:pPr>
        <w:pStyle w:val="Normal"/>
        <w:rPr/>
      </w:pPr>
      <w:r>
        <w:rPr/>
        <w:t xml:space="preserve">       </w:t>
      </w:r>
      <w:r>
        <w:rPr>
          <w:i/>
        </w:rPr>
        <w:t>Support Documents)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>Memorandum of Law from Maples and Calder, dated May 28, 1998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Maples and Calder, dated January 16, 1998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8.</w:t>
        <w:tab/>
        <w:t>DENMARK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Gorrissen Federspiel Kierkegaard, dated January 6, 1997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Gorrison Federspiel Kierkegaard, dated December 3, 1997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9.</w:t>
        <w:tab/>
        <w:t>ENGLAND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ISDA Legal Opinions</w:t>
      </w:r>
      <w:r>
        <w:rPr/>
        <w:t xml:space="preserve"> </w:t>
      </w:r>
      <w:r>
        <w:rPr>
          <w:i/>
        </w:rPr>
        <w:t>(Validity &amp; Enforceability of Collateral Arrangements under the ISDA Credit Support Documents)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>Memorandum of Law from Allen &amp; Overy, dated May 29, 1998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Allen Overy, dated March 11, 1998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10.</w:t>
        <w:tab/>
        <w:t>FINLAND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Hannes Snellman, dated March 10, 1998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keepNext w:val="true"/>
        <w:rPr>
          <w:b/>
        </w:rPr>
      </w:pPr>
      <w:r>
        <w:rPr>
          <w:b/>
        </w:rPr>
        <w:t>11.</w:t>
        <w:tab/>
        <w:t>FRANCE</w:t>
      </w:r>
    </w:p>
    <w:p>
      <w:pPr>
        <w:pStyle w:val="Normal"/>
        <w:keepNext w:val="true"/>
        <w:rPr>
          <w:b/>
        </w:rPr>
      </w:pPr>
      <w:r>
        <w:rPr>
          <w:b/>
        </w:rPr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  <w:t xml:space="preserve"> </w:t>
      </w:r>
      <w:r>
        <w:rPr>
          <w:u w:val="single"/>
        </w:rPr>
        <w:t xml:space="preserve">Amended and Restated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Gide Loyrette Nouel, dated March 2,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(Validity &amp; Enforceability of Collateral Arrangements under the ISDA Credit Support Documents)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Normal"/>
        <w:rPr/>
      </w:pPr>
      <w:r>
        <w:rPr/>
        <w:t>Memorandum from Gide Loyrette Nouel, dated September 16, 1999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</w:rPr>
      </w:pPr>
      <w:r>
        <w:rPr>
          <w:b/>
        </w:rPr>
        <w:t>12.</w:t>
        <w:tab/>
        <w:t>GERMANY</w:t>
      </w:r>
    </w:p>
    <w:p>
      <w:pPr>
        <w:pStyle w:val="Normal"/>
        <w:rPr/>
      </w:pPr>
      <w:r>
        <w:rPr/>
        <w:br/>
      </w:r>
      <w:r>
        <w:rPr>
          <w:u w:val="single"/>
        </w:rPr>
        <w:t xml:space="preserve">Amended and Restated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Hengeler Mueller Weitzel Wirtz , dated March,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 xml:space="preserve">Revised ISDA Legal Opinions </w:t>
      </w:r>
      <w:r>
        <w:rPr>
          <w:i/>
        </w:rPr>
        <w:t>(Enforceability of Termination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Hengeler Mueller Weitzel Wirtz, dated November 12, 1999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13.</w:t>
        <w:tab/>
        <w:t>HONG KONG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Allen &amp; Overy, dated March 10,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(Validity &amp; Enforceability of Collateral Arrangements under the ISDA Credit Support Documents)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Memoradum of Law from Allen &amp; Overy dated July 20, 1999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14.</w:t>
        <w:tab/>
        <w:t>INDONESIA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 xml:space="preserve"> </w:t>
      </w: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Ali Budiardjo, Nugroho, Reksodiputro, dated March 12, 1998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15.</w:t>
        <w:tab/>
        <w:t>IRELAND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McCann FitzGerald, dated October 9, 1996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McCann FitzGerald, dated December 8, 1997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16.</w:t>
        <w:tab/>
        <w:t>ITALY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NONE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17.</w:t>
        <w:tab/>
        <w:t>JAPAN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u w:val="single"/>
        </w:rPr>
        <w:t xml:space="preserve">Amended and Restated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Mitsui, Yasuda, Wani &amp; Maeda, dated March 10, 1998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u w:val="single"/>
        </w:rPr>
        <w:t xml:space="preserve">Revised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Mitsui, Yasuda, Wani &amp; Maeda, dated October 13, 1999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18.</w:t>
        <w:tab/>
        <w:t>LUXEMBOURG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Zeyen Beghin Feider Loeff Claeys Verbeke, dated February 5, 1997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Zeyen Beghin Feider Loeff Claeys Verbeke, dated December 18, 1997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rPr>
          <w:b/>
        </w:rPr>
      </w:pPr>
      <w:r>
        <w:rPr>
          <w:b/>
        </w:rPr>
        <w:t>19.</w:t>
        <w:tab/>
        <w:t>MALAYSIA</w:t>
      </w:r>
    </w:p>
    <w:p>
      <w:pPr>
        <w:pStyle w:val="Normal"/>
        <w:keepNext w:val="true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</w:r>
    </w:p>
    <w:p>
      <w:pPr>
        <w:pStyle w:val="Normal"/>
        <w:keepNext w:val="true"/>
        <w:rPr/>
      </w:pPr>
      <w:r>
        <w:rPr/>
        <w:t>Memorandum of Law Update from Shearn Delamore &amp; Co., dated December 3, 1997</w:t>
      </w:r>
    </w:p>
    <w:p>
      <w:pPr>
        <w:pStyle w:val="Normal"/>
        <w:keepNext w:val="true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20.</w:t>
        <w:tab/>
        <w:t>MEXICO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NONE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21.</w:t>
        <w:tab/>
        <w:t xml:space="preserve">THE NETHERLANDS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De Brauw Blackstone Westbroek, dated February 6, 1998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keepNext w:val="true"/>
        <w:rPr>
          <w:b/>
        </w:rPr>
      </w:pPr>
      <w:r>
        <w:rPr>
          <w:b/>
        </w:rPr>
        <w:t>22.</w:t>
        <w:tab/>
        <w:t>NETHERLANDS ANTILLES</w:t>
      </w:r>
    </w:p>
    <w:p>
      <w:pPr>
        <w:pStyle w:val="Normal"/>
        <w:keepNext w:val="true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</w:r>
    </w:p>
    <w:p>
      <w:pPr>
        <w:pStyle w:val="Normal"/>
        <w:keepNext w:val="true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keepNext w:val="true"/>
        <w:rPr>
          <w:i/>
          <w:i/>
        </w:rPr>
      </w:pPr>
      <w:r>
        <w:rPr>
          <w:i/>
        </w:rPr>
      </w:r>
    </w:p>
    <w:p>
      <w:pPr>
        <w:pStyle w:val="Normal"/>
        <w:keepNext w:val="true"/>
        <w:rPr/>
      </w:pPr>
      <w:r>
        <w:rPr/>
        <w:t>Memorandum of Law from Clifford Chance, dated January 30, 1997</w:t>
      </w:r>
    </w:p>
    <w:p>
      <w:pPr>
        <w:pStyle w:val="Normal"/>
        <w:keepNext w:val="true"/>
        <w:rPr>
          <w:b/>
        </w:rPr>
      </w:pPr>
      <w:r>
        <w:rPr>
          <w:b/>
        </w:rPr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</w:r>
    </w:p>
    <w:p>
      <w:pPr>
        <w:pStyle w:val="Normal"/>
        <w:keepNext w:val="true"/>
        <w:rPr/>
      </w:pPr>
      <w:r>
        <w:rPr/>
        <w:t>Memorandum of Law Update from Clifford Chance, dated March 11, 1998</w:t>
      </w:r>
    </w:p>
    <w:p>
      <w:pPr>
        <w:pStyle w:val="Normal"/>
        <w:keepNext w:val="true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23.</w:t>
        <w:tab/>
        <w:t>NEW ZEALAND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Bell/Gully, dated December 11, 1997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Revised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from Bell/Gully, dated August 23, 1999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24.</w:t>
        <w:tab/>
        <w:t>NORWAY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NONE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ab/>
      </w:r>
    </w:p>
    <w:p>
      <w:pPr>
        <w:pStyle w:val="Normal"/>
        <w:keepNext w:val="true"/>
        <w:rPr>
          <w:b/>
        </w:rPr>
      </w:pPr>
      <w:r>
        <w:rPr>
          <w:b/>
        </w:rPr>
        <w:t>25.</w:t>
        <w:tab/>
        <w:t>PHILIPPINES</w:t>
      </w:r>
    </w:p>
    <w:p>
      <w:pPr>
        <w:pStyle w:val="Normal"/>
        <w:keepNext w:val="true"/>
        <w:rPr>
          <w:b/>
        </w:rPr>
      </w:pPr>
      <w:r>
        <w:rPr>
          <w:b/>
        </w:rPr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  <w:t xml:space="preserve"> </w:t>
      </w: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keepNext w:val="true"/>
        <w:rPr>
          <w:i/>
          <w:i/>
        </w:rPr>
      </w:pPr>
      <w:r>
        <w:rPr>
          <w:i/>
        </w:rPr>
      </w:r>
    </w:p>
    <w:p>
      <w:pPr>
        <w:pStyle w:val="Normal"/>
        <w:keepNext w:val="true"/>
        <w:rPr/>
      </w:pPr>
      <w:r>
        <w:rPr/>
        <w:t>Memorandum of Law from SyCip Salazar Hernandez &amp; Gatmaitan, dated January 10, 1997</w:t>
      </w:r>
    </w:p>
    <w:p>
      <w:pPr>
        <w:pStyle w:val="Normal"/>
        <w:keepNext w:val="true"/>
        <w:rPr>
          <w:b/>
        </w:rPr>
      </w:pPr>
      <w:r>
        <w:rPr>
          <w:b/>
        </w:rPr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</w:r>
    </w:p>
    <w:p>
      <w:pPr>
        <w:pStyle w:val="Normal"/>
        <w:keepNext w:val="true"/>
        <w:rPr/>
      </w:pPr>
      <w:r>
        <w:rPr/>
        <w:t>Memorandum of Law Update from SyCip Salazar Hernandez &amp; Gatmaitan, dated December 8, 1997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26.</w:t>
        <w:tab/>
        <w:t>PORTUGAL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Abreu &amp; Marques, dated December 18, 1997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27.</w:t>
        <w:tab/>
        <w:t>SCOTLAND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Dundas &amp; Wilson, dated January 27, 1997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Dundas &amp; Wilson, dated December 8, 1997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28.</w:t>
        <w:tab/>
        <w:t>SINGAPORE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ISDA Legal Opinions</w:t>
      </w:r>
      <w:r>
        <w:rPr/>
        <w:t xml:space="preserve"> </w:t>
      </w:r>
      <w:r>
        <w:rPr>
          <w:i/>
        </w:rPr>
        <w:t>(Validity &amp; Enforceability of Collateral Arrangements under the ISDA Credit Support Documents)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>Memorandum of Law from Allen &amp; Gledhill, dated May 28, 1998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 Provisions)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Allen &amp; Gledhill, dated December 8, 1997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29.</w:t>
        <w:tab/>
        <w:t>SOUTH AFRICA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Webber Wentzel Bowens, dated February 2, 1998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30.</w:t>
        <w:tab/>
        <w:t>SOUTH KOREA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Kim &amp; Chang, dated February 5, 1997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Kim &amp; Chang, dated February 5, 1998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31.</w:t>
        <w:tab/>
        <w:t>SPAIN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NONE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32.</w:t>
        <w:tab/>
        <w:t>SWEDEN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 xml:space="preserve">Amended and Restated ISDA Legal Opinions </w:t>
      </w:r>
      <w:r>
        <w:rPr>
          <w:i/>
        </w:rPr>
        <w:t xml:space="preserve">(Enforceability of Termination  &amp; Close-Out Netting)   </w:t>
      </w:r>
    </w:p>
    <w:p>
      <w:pPr>
        <w:pStyle w:val="Normal"/>
        <w:rPr>
          <w:i/>
          <w:i/>
        </w:rPr>
      </w:pPr>
      <w:r>
        <w:rPr/>
        <w:t xml:space="preserve">      </w:t>
      </w:r>
    </w:p>
    <w:p>
      <w:pPr>
        <w:pStyle w:val="Normal"/>
        <w:rPr/>
      </w:pPr>
      <w:r>
        <w:rPr/>
        <w:t>Memorandum of Law from Landahl &amp; Wistrand, dated March 9, 1998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keepNext w:val="true"/>
        <w:rPr>
          <w:b/>
        </w:rPr>
      </w:pPr>
      <w:r>
        <w:rPr>
          <w:b/>
        </w:rPr>
        <w:t>33.</w:t>
        <w:tab/>
        <w:t>SWITZERLAND</w:t>
      </w:r>
    </w:p>
    <w:p>
      <w:pPr>
        <w:pStyle w:val="Normal"/>
        <w:keepNext w:val="true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</w:r>
    </w:p>
    <w:p>
      <w:pPr>
        <w:pStyle w:val="Normal"/>
        <w:keepNext w:val="true"/>
        <w:rPr/>
      </w:pPr>
      <w:r>
        <w:rPr>
          <w:u w:val="single"/>
        </w:rPr>
        <w:t xml:space="preserve">Amended and Restated ISDA Legal Opinions </w:t>
      </w:r>
      <w:r>
        <w:rPr>
          <w:i/>
        </w:rPr>
        <w:t>(Enforceability of Termination  &amp; Close-Out Netting)</w:t>
      </w:r>
    </w:p>
    <w:p>
      <w:pPr>
        <w:pStyle w:val="Normal"/>
        <w:keepNext w:val="true"/>
        <w:rPr>
          <w:i/>
          <w:i/>
        </w:rPr>
      </w:pPr>
      <w:r>
        <w:rPr>
          <w:i/>
        </w:rPr>
      </w:r>
    </w:p>
    <w:p>
      <w:pPr>
        <w:pStyle w:val="Normal"/>
        <w:keepNext w:val="true"/>
        <w:rPr/>
      </w:pPr>
      <w:r>
        <w:rPr/>
        <w:t>Memorandum of Law from Professor Dieter Zobl &amp; Dr. Thomas Werlen, dated March 12, 1998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34.</w:t>
        <w:tab/>
        <w:t>TAIWAN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Memorandum of Law from Lee &amp; Li, dated February 21, 1997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Lee &amp; Li, dated December 19, 1997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35.</w:t>
        <w:tab/>
        <w:t>THAILAND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 xml:space="preserve">Updates of  ISDA Legal Opinions </w:t>
      </w:r>
      <w:r>
        <w:rPr>
          <w:i/>
        </w:rPr>
        <w:t>(Enforceability of Termination  &amp; Close-Out Netting)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Memorandum of Law Update from Baker &amp; McKenzie, dated December 19, 1997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 xml:space="preserve">ISDA Legal Opinions </w:t>
      </w:r>
      <w:r>
        <w:rPr>
          <w:i/>
        </w:rPr>
        <w:t>(Validity &amp; Enforceability of Collateral Arrangements under the ISDA Credit Support Documents)</w:t>
      </w:r>
    </w:p>
    <w:p>
      <w:pPr>
        <w:pStyle w:val="Normal"/>
        <w:ind w:start="45" w:end="0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start="45" w:end="0"/>
        <w:rPr/>
      </w:pPr>
      <w:r>
        <w:rPr/>
        <w:t>Memorandum of Law from Baker &amp; McKenzie, dated October 1, 1999</w:t>
      </w:r>
    </w:p>
    <w:p>
      <w:pPr>
        <w:pStyle w:val="Normal"/>
        <w:keepNext w:val="true"/>
        <w:rPr>
          <w:b/>
        </w:rPr>
      </w:pPr>
      <w:r>
        <w:rPr>
          <w:b/>
        </w:rPr>
      </w:r>
    </w:p>
    <w:p>
      <w:pPr>
        <w:pStyle w:val="Normal"/>
        <w:keepNext w:val="true"/>
        <w:rPr>
          <w:b/>
        </w:rPr>
      </w:pPr>
      <w:r>
        <w:rPr>
          <w:b/>
        </w:rPr>
      </w:r>
    </w:p>
    <w:p>
      <w:pPr>
        <w:pStyle w:val="Normal"/>
        <w:keepNext w:val="true"/>
        <w:rPr>
          <w:b/>
        </w:rPr>
      </w:pPr>
      <w:r>
        <w:rPr>
          <w:b/>
        </w:rPr>
        <w:t>36.</w:t>
        <w:tab/>
        <w:t>UNITED STATES</w:t>
      </w:r>
    </w:p>
    <w:p>
      <w:pPr>
        <w:pStyle w:val="Normal"/>
        <w:keepNext w:val="true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keepNext w:val="true"/>
        <w:rPr>
          <w:u w:val="single"/>
        </w:rPr>
      </w:pPr>
      <w:r>
        <w:rPr>
          <w:u w:val="single"/>
        </w:rPr>
      </w:r>
    </w:p>
    <w:p>
      <w:pPr>
        <w:pStyle w:val="Normal"/>
        <w:keepNext w:val="true"/>
        <w:rPr/>
      </w:pPr>
      <w:r>
        <w:rPr>
          <w:u w:val="single"/>
        </w:rPr>
        <w:t>ISDA Legal Opinions</w:t>
      </w:r>
      <w:r>
        <w:rPr/>
        <w:t xml:space="preserve"> </w:t>
      </w:r>
      <w:r>
        <w:rPr>
          <w:i/>
        </w:rPr>
        <w:t>(Validity &amp; Enforceability of Collateral Arrangements under the ISDA Credit</w:t>
      </w:r>
    </w:p>
    <w:p>
      <w:pPr>
        <w:pStyle w:val="Normal"/>
        <w:keepNext w:val="true"/>
        <w:rPr/>
      </w:pPr>
      <w:r>
        <w:rPr/>
        <w:t xml:space="preserve">     </w:t>
      </w:r>
      <w:r>
        <w:rPr>
          <w:i/>
        </w:rPr>
        <w:t xml:space="preserve">  </w:t>
      </w:r>
      <w:r>
        <w:rPr>
          <w:i/>
        </w:rPr>
        <w:t>Support Documents)</w:t>
      </w:r>
    </w:p>
    <w:p>
      <w:pPr>
        <w:pStyle w:val="Normal"/>
        <w:keepNext w:val="true"/>
        <w:rPr>
          <w:b/>
          <w:i/>
          <w:i/>
        </w:rPr>
      </w:pPr>
      <w:r>
        <w:rPr>
          <w:b/>
          <w:i/>
        </w:rPr>
      </w:r>
    </w:p>
    <w:p>
      <w:pPr>
        <w:pStyle w:val="Normal"/>
        <w:keepNext w:val="true"/>
        <w:rPr/>
      </w:pPr>
      <w:r>
        <w:rPr/>
        <w:t>Memorandum of Law from Cravath, Swaine &amp; Moore, dated April 28, 1998</w:t>
      </w:r>
    </w:p>
    <w:p>
      <w:pPr>
        <w:pStyle w:val="Normal"/>
        <w:keepNext w:val="true"/>
        <w:rPr>
          <w:b/>
        </w:rPr>
      </w:pPr>
      <w:r>
        <w:rPr>
          <w:b/>
        </w:rPr>
      </w:r>
    </w:p>
    <w:p>
      <w:pPr>
        <w:pStyle w:val="Normal"/>
        <w:keepNext w:val="true"/>
        <w:rPr/>
      </w:pPr>
      <w:r>
        <w:rPr>
          <w:u w:val="single"/>
        </w:rPr>
        <w:t xml:space="preserve">ISDA Legal Opinions </w:t>
      </w:r>
      <w:r>
        <w:rPr>
          <w:i/>
        </w:rPr>
        <w:t>(Enforceability of Termination  &amp; Close-Out Netting)</w:t>
      </w:r>
    </w:p>
    <w:p>
      <w:pPr>
        <w:pStyle w:val="Normal"/>
        <w:keepNext w:val="true"/>
        <w:rPr>
          <w:i/>
          <w:i/>
        </w:rPr>
      </w:pPr>
      <w:r>
        <w:rPr>
          <w:i/>
        </w:rPr>
      </w:r>
    </w:p>
    <w:p>
      <w:pPr>
        <w:pStyle w:val="Normal"/>
        <w:keepNext w:val="true"/>
        <w:rPr/>
      </w:pPr>
      <w:r>
        <w:rPr/>
        <w:t>Memorandum of Law from Cravath, Swaine &amp; Moore, dated March 12, 1998</w:t>
      </w:r>
    </w:p>
    <w:p>
      <w:pPr>
        <w:pStyle w:val="Normal"/>
        <w:keepNext w:val="true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i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b w:val="false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i w:val="false"/>
    </w:rPr>
  </w:style>
  <w:style w:type="character" w:styleId="WW8Num8z0">
    <w:name w:val="WW8Num8z0"/>
    <w:qFormat/>
    <w:rPr>
      <w:i w:val="false"/>
    </w:rPr>
  </w:style>
  <w:style w:type="character" w:styleId="WW8Num9z0">
    <w:name w:val="WW8Num9z0"/>
    <w:qFormat/>
    <w:rPr>
      <w:i w:val="false"/>
    </w:rPr>
  </w:style>
  <w:style w:type="character" w:styleId="WW8Num10z0">
    <w:name w:val="WW8Num10z0"/>
    <w:qFormat/>
    <w:rPr>
      <w:b w:val="false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b w:val="false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i w:val="false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i w:val="false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i w:val="false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i w:val="false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i w:val="false"/>
    </w:rPr>
  </w:style>
  <w:style w:type="character" w:styleId="WW8Num28z0">
    <w:name w:val="WW8Num28z0"/>
    <w:qFormat/>
    <w:rPr>
      <w:b w:val="false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i w:val="false"/>
    </w:rPr>
  </w:style>
  <w:style w:type="character" w:styleId="WW8Num31z0">
    <w:name w:val="WW8Num31z0"/>
    <w:qFormat/>
    <w:rPr>
      <w:b w:val="false"/>
    </w:rPr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2001-02-05T13:52:00Z</dcterms:created>
  <dc:creator>susan s bailey</dc:creator>
  <dc:description/>
  <dc:language>en-CA</dc:language>
  <cp:lastModifiedBy>cstclai</cp:lastModifiedBy>
  <cp:lastPrinted>2001-02-05T10:34:00Z</cp:lastPrinted>
  <dcterms:modified xsi:type="dcterms:W3CDTF">2001-02-05T14:05:00Z</dcterms:modified>
  <cp:revision>3</cp:revision>
  <dc:subject/>
  <dc:title>FINANCIAL TRADING OPINIONS</dc:title>
</cp:coreProperties>
</file>