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ISDA Seminar</w:t>
      </w:r>
    </w:p>
    <w:p>
      <w:pPr>
        <w:pStyle w:val="Heading2"/>
        <w:ind w:hanging="0" w:start="0"/>
        <w:rPr/>
      </w:pPr>
      <w:r>
        <w:rPr/>
        <w:t>March 6, 2001</w:t>
      </w:r>
    </w:p>
    <w:p>
      <w:pPr>
        <w:pStyle w:val="Normal"/>
        <w:numPr>
          <w:ilvl w:val="0"/>
          <w:numId w:val="2"/>
        </w:numPr>
        <w:spacing w:before="240" w:after="0"/>
        <w:jc w:val="both"/>
        <w:rPr>
          <w:b/>
          <w:bCs/>
          <w:i/>
          <w:i/>
          <w:iCs/>
        </w:rPr>
      </w:pPr>
      <w:r>
        <w:rPr>
          <w:b/>
          <w:bCs/>
          <w:i/>
          <w:iCs/>
        </w:rPr>
        <w:t>Use of Single Master Agreement for Physical and Financial Trading</w:t>
      </w:r>
    </w:p>
    <w:p>
      <w:pPr>
        <w:pStyle w:val="Normal"/>
        <w:spacing w:before="240" w:after="0"/>
        <w:ind w:start="1080" w:end="0"/>
        <w:jc w:val="both"/>
        <w:rPr/>
      </w:pPr>
      <w:r>
        <w:rPr/>
        <w:t>Presentation by Dede Russo (Reliant), Harlan Murphy (Dynegy) and Elizabeth Sager (Enron)</w:t>
      </w:r>
    </w:p>
    <w:p>
      <w:pPr>
        <w:pStyle w:val="Normal"/>
        <w:ind w:start="1080" w:end="0"/>
        <w:jc w:val="both"/>
        <w:rPr/>
      </w:pPr>
      <w:r>
        <w:rPr/>
        <w:t>at the ISDA Energy and Developing Products Meeting in Houston, Texas on March 6, 2001</w:t>
      </w:r>
    </w:p>
    <w:p>
      <w:pPr>
        <w:pStyle w:val="Normal"/>
        <w:numPr>
          <w:ilvl w:val="0"/>
          <w:numId w:val="2"/>
        </w:numPr>
        <w:spacing w:before="240" w:after="0"/>
        <w:jc w:val="both"/>
        <w:rPr>
          <w:b/>
          <w:bCs/>
          <w:i/>
          <w:i/>
          <w:iCs/>
        </w:rPr>
      </w:pPr>
      <w:r>
        <w:rPr>
          <w:b/>
          <w:bCs/>
          <w:i/>
          <w:iCs/>
        </w:rPr>
        <w:t>Why ISDA Works</w:t>
      </w:r>
    </w:p>
    <w:p>
      <w:pPr>
        <w:pStyle w:val="Normal"/>
        <w:numPr>
          <w:ilvl w:val="1"/>
          <w:numId w:val="2"/>
        </w:numPr>
        <w:spacing w:before="240" w:after="0"/>
        <w:jc w:val="both"/>
        <w:rPr/>
      </w:pPr>
      <w:r>
        <w:rPr/>
        <w:t>Single agreement that handles all financially-settled products provides maximum legal, credit and bankruptcy protection; possible range of products is enormous</w:t>
      </w:r>
    </w:p>
    <w:tbl>
      <w:tblPr>
        <w:tblW w:w="5065" w:type="dxa"/>
        <w:jc w:val="start"/>
        <w:tblInd w:w="2160" w:type="dxa"/>
        <w:tblLayout w:type="fixed"/>
        <w:tblCellMar>
          <w:top w:w="0" w:type="dxa"/>
          <w:start w:w="108" w:type="dxa"/>
          <w:bottom w:w="0" w:type="dxa"/>
          <w:end w:w="108" w:type="dxa"/>
        </w:tblCellMar>
      </w:tblPr>
      <w:tblGrid>
        <w:gridCol w:w="2508"/>
        <w:gridCol w:w="2557"/>
      </w:tblGrid>
      <w:tr>
        <w:trPr/>
        <w:tc>
          <w:tcPr>
            <w:tcW w:w="2508" w:type="dxa"/>
            <w:tcBorders/>
          </w:tcPr>
          <w:p>
            <w:pPr>
              <w:pStyle w:val="Normal"/>
              <w:numPr>
                <w:ilvl w:val="3"/>
                <w:numId w:val="2"/>
              </w:numPr>
              <w:tabs>
                <w:tab w:val="left" w:pos="720" w:leader="none"/>
              </w:tabs>
              <w:spacing w:before="240" w:after="0"/>
              <w:ind w:hanging="360" w:start="720" w:end="0"/>
              <w:jc w:val="both"/>
              <w:rPr/>
            </w:pPr>
            <w:r>
              <w:rPr/>
              <w:t>Currency</w:t>
            </w:r>
          </w:p>
        </w:tc>
        <w:tc>
          <w:tcPr>
            <w:tcW w:w="2557" w:type="dxa"/>
            <w:tcBorders/>
          </w:tcPr>
          <w:p>
            <w:pPr>
              <w:pStyle w:val="Normal"/>
              <w:numPr>
                <w:ilvl w:val="3"/>
                <w:numId w:val="2"/>
              </w:numPr>
              <w:tabs>
                <w:tab w:val="clear" w:pos="720"/>
                <w:tab w:val="left" w:pos="769" w:leader="none"/>
              </w:tabs>
              <w:spacing w:before="240" w:after="0"/>
              <w:ind w:hanging="360" w:start="720" w:end="0"/>
              <w:jc w:val="both"/>
              <w:rPr/>
            </w:pPr>
            <w:r>
              <w:rPr/>
              <w:t>Power</w:t>
            </w:r>
          </w:p>
        </w:tc>
      </w:tr>
      <w:tr>
        <w:trPr/>
        <w:tc>
          <w:tcPr>
            <w:tcW w:w="2508" w:type="dxa"/>
            <w:tcBorders/>
          </w:tcPr>
          <w:p>
            <w:pPr>
              <w:pStyle w:val="Normal"/>
              <w:numPr>
                <w:ilvl w:val="3"/>
                <w:numId w:val="2"/>
              </w:numPr>
              <w:tabs>
                <w:tab w:val="left" w:pos="720" w:leader="none"/>
              </w:tabs>
              <w:ind w:hanging="360" w:start="720" w:end="0"/>
              <w:jc w:val="both"/>
              <w:rPr/>
            </w:pPr>
            <w:r>
              <w:rPr/>
              <w:t>Interest Rate</w:t>
            </w:r>
          </w:p>
        </w:tc>
        <w:tc>
          <w:tcPr>
            <w:tcW w:w="2557" w:type="dxa"/>
            <w:tcBorders/>
          </w:tcPr>
          <w:p>
            <w:pPr>
              <w:pStyle w:val="Normal"/>
              <w:numPr>
                <w:ilvl w:val="3"/>
                <w:numId w:val="2"/>
              </w:numPr>
              <w:tabs>
                <w:tab w:val="clear" w:pos="720"/>
                <w:tab w:val="left" w:pos="769" w:leader="none"/>
              </w:tabs>
              <w:ind w:hanging="360" w:start="720" w:end="0"/>
              <w:jc w:val="both"/>
              <w:rPr/>
            </w:pPr>
            <w:r>
              <w:rPr/>
              <w:t>Crude</w:t>
            </w:r>
          </w:p>
        </w:tc>
      </w:tr>
      <w:tr>
        <w:trPr/>
        <w:tc>
          <w:tcPr>
            <w:tcW w:w="2508" w:type="dxa"/>
            <w:tcBorders/>
          </w:tcPr>
          <w:p>
            <w:pPr>
              <w:pStyle w:val="Normal"/>
              <w:numPr>
                <w:ilvl w:val="3"/>
                <w:numId w:val="2"/>
              </w:numPr>
              <w:tabs>
                <w:tab w:val="left" w:pos="720" w:leader="none"/>
              </w:tabs>
              <w:ind w:hanging="360" w:start="720" w:end="0"/>
              <w:jc w:val="both"/>
              <w:rPr/>
            </w:pPr>
            <w:r>
              <w:rPr/>
              <w:t>Gas</w:t>
            </w:r>
          </w:p>
        </w:tc>
        <w:tc>
          <w:tcPr>
            <w:tcW w:w="2557" w:type="dxa"/>
            <w:tcBorders/>
          </w:tcPr>
          <w:p>
            <w:pPr>
              <w:pStyle w:val="Normal"/>
              <w:numPr>
                <w:ilvl w:val="3"/>
                <w:numId w:val="2"/>
              </w:numPr>
              <w:tabs>
                <w:tab w:val="clear" w:pos="720"/>
                <w:tab w:val="left" w:pos="769" w:leader="none"/>
              </w:tabs>
              <w:ind w:hanging="360" w:start="720" w:end="0"/>
              <w:jc w:val="both"/>
              <w:rPr/>
            </w:pPr>
            <w:r>
              <w:rPr/>
              <w:t>Credit</w:t>
            </w:r>
          </w:p>
        </w:tc>
      </w:tr>
    </w:tbl>
    <w:p>
      <w:pPr>
        <w:pStyle w:val="Normal"/>
        <w:numPr>
          <w:ilvl w:val="0"/>
          <w:numId w:val="2"/>
        </w:numPr>
        <w:spacing w:before="240" w:after="0"/>
        <w:jc w:val="both"/>
        <w:rPr>
          <w:b/>
          <w:bCs/>
          <w:i/>
          <w:i/>
          <w:iCs/>
        </w:rPr>
      </w:pPr>
      <w:r>
        <w:rPr>
          <w:b/>
          <w:bCs/>
          <w:i/>
          <w:iCs/>
        </w:rPr>
        <w:t>Why ISDA Works</w:t>
      </w:r>
    </w:p>
    <w:p>
      <w:pPr>
        <w:pStyle w:val="Normal"/>
        <w:numPr>
          <w:ilvl w:val="1"/>
          <w:numId w:val="2"/>
        </w:numPr>
        <w:spacing w:before="240" w:after="0"/>
        <w:jc w:val="both"/>
        <w:rPr/>
      </w:pPr>
      <w:r>
        <w:rPr/>
        <w:t>Standardized contract that is widely accepted and defines the common products that are traded; provides certainty and liquidity</w:t>
      </w:r>
    </w:p>
    <w:p>
      <w:pPr>
        <w:pStyle w:val="Normal"/>
        <w:numPr>
          <w:ilvl w:val="1"/>
          <w:numId w:val="2"/>
        </w:numPr>
        <w:jc w:val="both"/>
        <w:rPr/>
      </w:pPr>
      <w:r>
        <w:rPr/>
        <w:t>Base General Terms and Conditions (GTCs) remain the same; negotiations are limited to scheduled items</w:t>
      </w:r>
    </w:p>
    <w:p>
      <w:pPr>
        <w:pStyle w:val="Normal"/>
        <w:numPr>
          <w:ilvl w:val="1"/>
          <w:numId w:val="2"/>
        </w:numPr>
        <w:jc w:val="both"/>
        <w:rPr/>
      </w:pPr>
      <w:r>
        <w:rPr/>
        <w:t>Products and definitions are independent and change/expand as markets develop</w:t>
      </w:r>
    </w:p>
    <w:p>
      <w:pPr>
        <w:pStyle w:val="Normal"/>
        <w:numPr>
          <w:ilvl w:val="0"/>
          <w:numId w:val="2"/>
        </w:numPr>
        <w:spacing w:before="240" w:after="0"/>
        <w:jc w:val="both"/>
        <w:rPr>
          <w:b/>
          <w:bCs/>
          <w:i/>
          <w:i/>
          <w:iCs/>
        </w:rPr>
      </w:pPr>
      <w:r>
        <w:rPr>
          <w:b/>
          <w:bCs/>
          <w:i/>
          <w:iCs/>
        </w:rPr>
        <w:t>How the Physical Markets are Currently Working</w:t>
      </w:r>
    </w:p>
    <w:p>
      <w:pPr>
        <w:pStyle w:val="Normal"/>
        <w:numPr>
          <w:ilvl w:val="1"/>
          <w:numId w:val="2"/>
        </w:numPr>
        <w:spacing w:before="240" w:after="0"/>
        <w:jc w:val="both"/>
        <w:rPr/>
      </w:pPr>
      <w:r>
        <w:rPr/>
        <w:t>Each commodity has its own master with a few commodities attempting standardization</w:t>
      </w:r>
    </w:p>
    <w:p>
      <w:pPr>
        <w:pStyle w:val="Heading1"/>
        <w:numPr>
          <w:ilvl w:val="1"/>
          <w:numId w:val="2"/>
        </w:numPr>
        <w:tabs>
          <w:tab w:val="clear" w:pos="3600"/>
          <w:tab w:val="clear" w:pos="6240"/>
          <w:tab w:val="left" w:pos="2640" w:leader="none"/>
          <w:tab w:val="left" w:pos="3960" w:leader="none"/>
          <w:tab w:val="left" w:pos="6000" w:leader="none"/>
          <w:tab w:val="left" w:pos="7680" w:leader="none"/>
        </w:tabs>
        <w:spacing w:before="240" w:after="0"/>
        <w:jc w:val="both"/>
        <w:rPr/>
      </w:pPr>
      <w:r>
        <w:rPr/>
        <w:t>Power</w:t>
        <w:tab/>
        <w:t>Gas</w:t>
        <w:tab/>
        <w:t>Bandwidth</w:t>
        <w:tab/>
        <w:t xml:space="preserve">Coal </w:t>
        <w:tab/>
        <w:t>SO</w:t>
      </w:r>
      <w:r>
        <w:rPr>
          <w:u w:val="single"/>
          <w:vertAlign w:val="subscript"/>
        </w:rPr>
        <w:t>2</w:t>
      </w:r>
    </w:p>
    <w:p>
      <w:pPr>
        <w:pStyle w:val="Normal"/>
        <w:tabs>
          <w:tab w:val="clear" w:pos="720"/>
          <w:tab w:val="left" w:pos="1440" w:leader="none"/>
          <w:tab w:val="left" w:pos="2640" w:leader="none"/>
          <w:tab w:val="left" w:pos="3960" w:leader="none"/>
          <w:tab w:val="left" w:pos="6000" w:leader="none"/>
          <w:tab w:val="left" w:pos="7680" w:leader="none"/>
        </w:tabs>
        <w:spacing w:before="240" w:after="0"/>
        <w:ind w:start="1080" w:end="0"/>
        <w:jc w:val="both"/>
        <w:rPr/>
      </w:pPr>
      <w:r>
        <w:rPr/>
        <w:tab/>
        <w:t>WSPP</w:t>
        <w:tab/>
        <w:t>GISB</w:t>
        <w:tab/>
        <w:t>Standardization</w:t>
        <w:tab/>
        <w:t xml:space="preserve">Standardization </w:t>
        <w:tab/>
        <w:t>No</w:t>
      </w:r>
    </w:p>
    <w:p>
      <w:pPr>
        <w:pStyle w:val="Normal"/>
        <w:tabs>
          <w:tab w:val="clear" w:pos="720"/>
          <w:tab w:val="left" w:pos="1440" w:leader="none"/>
          <w:tab w:val="left" w:pos="2640" w:leader="none"/>
          <w:tab w:val="left" w:pos="3960" w:leader="none"/>
          <w:tab w:val="left" w:pos="6000" w:leader="none"/>
          <w:tab w:val="left" w:pos="7680" w:leader="none"/>
        </w:tabs>
        <w:ind w:start="1080" w:end="0"/>
        <w:jc w:val="both"/>
        <w:rPr/>
      </w:pPr>
      <w:r>
        <w:rPr/>
        <w:tab/>
        <w:t>EEI</w:t>
        <w:tab/>
        <w:t>Enfolio Form</w:t>
        <w:tab/>
        <w:t>efforts underway</w:t>
        <w:tab/>
        <w:t xml:space="preserve">efforts underway </w:t>
        <w:tab/>
        <w:t>Standardization</w:t>
      </w:r>
    </w:p>
    <w:p>
      <w:pPr>
        <w:pStyle w:val="Normal"/>
        <w:tabs>
          <w:tab w:val="clear" w:pos="720"/>
          <w:tab w:val="left" w:pos="1440" w:leader="none"/>
          <w:tab w:val="left" w:pos="2640" w:leader="none"/>
          <w:tab w:val="left" w:pos="3960" w:leader="none"/>
          <w:tab w:val="left" w:pos="6000" w:leader="none"/>
          <w:tab w:val="left" w:pos="7680" w:leader="none"/>
        </w:tabs>
        <w:ind w:start="1080" w:end="0"/>
        <w:jc w:val="both"/>
        <w:rPr/>
      </w:pPr>
      <w:r>
        <w:rPr/>
        <w:tab/>
        <w:t>ERCOT</w:t>
        <w:tab/>
        <w:t>Enfolio Spot</w:t>
      </w:r>
    </w:p>
    <w:p>
      <w:pPr>
        <w:pStyle w:val="Normal"/>
        <w:numPr>
          <w:ilvl w:val="0"/>
          <w:numId w:val="2"/>
        </w:numPr>
        <w:spacing w:before="240" w:after="0"/>
        <w:jc w:val="both"/>
        <w:rPr>
          <w:b/>
          <w:bCs/>
          <w:i/>
          <w:i/>
          <w:iCs/>
        </w:rPr>
      </w:pPr>
      <w:r>
        <w:rPr>
          <w:b/>
          <w:bCs/>
          <w:i/>
          <w:iCs/>
        </w:rPr>
        <w:t>How the Physical Markets are Currently Working</w:t>
      </w:r>
    </w:p>
    <w:p>
      <w:pPr>
        <w:pStyle w:val="Normal"/>
        <w:numPr>
          <w:ilvl w:val="1"/>
          <w:numId w:val="2"/>
        </w:numPr>
        <w:spacing w:before="240" w:after="0"/>
        <w:jc w:val="both"/>
        <w:rPr/>
      </w:pPr>
      <w:r>
        <w:rPr/>
        <w:t>Masters have similarities but critical differences that will impact legal, credit and bankruptcy positions</w:t>
      </w:r>
    </w:p>
    <w:p>
      <w:pPr>
        <w:pStyle w:val="Normal"/>
        <w:keepNext w:val="true"/>
        <w:numPr>
          <w:ilvl w:val="0"/>
          <w:numId w:val="2"/>
        </w:numPr>
        <w:spacing w:before="240" w:after="0"/>
        <w:jc w:val="both"/>
        <w:rPr>
          <w:b/>
          <w:bCs/>
          <w:i/>
          <w:i/>
          <w:iCs/>
        </w:rPr>
      </w:pPr>
      <w:r>
        <w:rPr>
          <w:b/>
          <w:bCs/>
          <w:i/>
          <w:iCs/>
        </w:rPr>
        <w:t>How the Physical Markets are Currently Working</w:t>
      </w:r>
    </w:p>
    <w:p>
      <w:pPr>
        <w:pStyle w:val="Heading3"/>
        <w:rPr/>
      </w:pPr>
      <w:r>
        <w:rPr/>
        <w:t>Power – Termination</w:t>
      </w:r>
    </w:p>
    <w:p>
      <w:pPr>
        <w:pStyle w:val="BodyTextIndent"/>
        <w:spacing w:before="240" w:after="0"/>
        <w:ind w:hanging="960" w:start="2760" w:end="0"/>
        <w:rPr/>
      </w:pPr>
      <w:r>
        <w:rPr/>
        <w:t xml:space="preserve">WSPP – </w:t>
        <w:tab/>
        <w:t>Must exercise termination rights upon occurrence of an Event of Default within 30 days of discovery of Event of Default or else waive right to terminate; Early Termination Payment based on discounted cash flows with expressly stated interest rate</w:t>
      </w:r>
    </w:p>
    <w:p>
      <w:pPr>
        <w:pStyle w:val="Normal"/>
        <w:spacing w:before="240" w:after="0"/>
        <w:ind w:hanging="960" w:start="2760" w:end="0"/>
        <w:jc w:val="both"/>
        <w:rPr/>
      </w:pPr>
      <w:r>
        <w:rPr/>
        <w:t>EEI –</w:t>
        <w:tab/>
        <w:t>Preserve right to terminate so long as Event of Default is continuing; Early Termination Payment based on replacement values</w:t>
      </w:r>
    </w:p>
    <w:p>
      <w:pPr>
        <w:pStyle w:val="Normal"/>
        <w:numPr>
          <w:ilvl w:val="0"/>
          <w:numId w:val="2"/>
        </w:numPr>
        <w:spacing w:before="240" w:after="0"/>
        <w:jc w:val="both"/>
        <w:rPr>
          <w:b/>
          <w:bCs/>
          <w:i/>
          <w:i/>
          <w:iCs/>
        </w:rPr>
      </w:pPr>
      <w:r>
        <w:rPr>
          <w:b/>
          <w:bCs/>
          <w:i/>
          <w:iCs/>
        </w:rPr>
        <w:t>How the Physical Markets are Currently Working</w:t>
      </w:r>
    </w:p>
    <w:p>
      <w:pPr>
        <w:pStyle w:val="Heading3"/>
        <w:rPr/>
      </w:pPr>
      <w:r>
        <w:rPr/>
        <w:t>Power – Suspension</w:t>
      </w:r>
    </w:p>
    <w:p>
      <w:pPr>
        <w:pStyle w:val="BodyTextIndent"/>
        <w:spacing w:before="240" w:after="0"/>
        <w:ind w:hanging="960" w:start="2760" w:end="0"/>
        <w:rPr/>
      </w:pPr>
      <w:r>
        <w:rPr/>
        <w:t xml:space="preserve">WSPP – </w:t>
        <w:tab/>
        <w:t>No right to suspend even in the event of non-payment</w:t>
      </w:r>
    </w:p>
    <w:p>
      <w:pPr>
        <w:pStyle w:val="Normal"/>
        <w:spacing w:before="240" w:after="0"/>
        <w:ind w:hanging="960" w:start="2760" w:end="0"/>
        <w:jc w:val="both"/>
        <w:rPr/>
      </w:pPr>
      <w:r>
        <w:rPr/>
        <w:t>EEI –</w:t>
        <w:tab/>
        <w:t>Right to suspend for limited time upon occurrence of Event of Default</w:t>
      </w:r>
    </w:p>
    <w:p>
      <w:pPr>
        <w:pStyle w:val="Normal"/>
        <w:numPr>
          <w:ilvl w:val="0"/>
          <w:numId w:val="2"/>
        </w:numPr>
        <w:spacing w:before="240" w:after="0"/>
        <w:jc w:val="both"/>
        <w:rPr>
          <w:b/>
          <w:bCs/>
          <w:i/>
          <w:i/>
          <w:iCs/>
        </w:rPr>
      </w:pPr>
      <w:r>
        <w:rPr>
          <w:b/>
          <w:bCs/>
          <w:i/>
          <w:iCs/>
        </w:rPr>
        <w:t>Why the Current Physical Markets are not Working</w:t>
      </w:r>
    </w:p>
    <w:p>
      <w:pPr>
        <w:pStyle w:val="Normal"/>
        <w:spacing w:before="240" w:after="0"/>
        <w:ind w:start="1080" w:end="0"/>
        <w:jc w:val="both"/>
        <w:rPr/>
      </w:pPr>
      <w:r>
        <w:rPr/>
        <w:t>Within a single commodity, trading under multiple masters is potentially catastrophic</w:t>
      </w:r>
    </w:p>
    <w:p>
      <w:pPr>
        <w:pStyle w:val="Normal"/>
        <w:numPr>
          <w:ilvl w:val="1"/>
          <w:numId w:val="2"/>
        </w:numPr>
        <w:tabs>
          <w:tab w:val="clear" w:pos="720"/>
          <w:tab w:val="left" w:pos="1800" w:leader="none"/>
        </w:tabs>
        <w:spacing w:before="240" w:after="0"/>
        <w:ind w:hanging="360" w:start="1800" w:end="0"/>
        <w:jc w:val="both"/>
        <w:rPr/>
      </w:pPr>
      <w:r>
        <w:rPr/>
        <w:t>Dissimilar terms impacting rights and obligations</w:t>
      </w:r>
    </w:p>
    <w:p>
      <w:pPr>
        <w:pStyle w:val="Normal"/>
        <w:numPr>
          <w:ilvl w:val="1"/>
          <w:numId w:val="2"/>
        </w:numPr>
        <w:tabs>
          <w:tab w:val="clear" w:pos="720"/>
          <w:tab w:val="left" w:pos="1800" w:leader="none"/>
        </w:tabs>
        <w:ind w:hanging="360" w:start="1800" w:end="0"/>
        <w:jc w:val="both"/>
        <w:rPr/>
      </w:pPr>
      <w:r>
        <w:rPr/>
        <w:t>No cross default between trades</w:t>
      </w:r>
    </w:p>
    <w:p>
      <w:pPr>
        <w:pStyle w:val="Normal"/>
        <w:numPr>
          <w:ilvl w:val="1"/>
          <w:numId w:val="2"/>
        </w:numPr>
        <w:tabs>
          <w:tab w:val="clear" w:pos="720"/>
          <w:tab w:val="left" w:pos="1800" w:leader="none"/>
        </w:tabs>
        <w:ind w:hanging="360" w:start="1800" w:end="0"/>
        <w:jc w:val="both"/>
        <w:rPr/>
      </w:pPr>
      <w:r>
        <w:rPr/>
        <w:t>Inability to accelerate and set off exposures</w:t>
      </w:r>
    </w:p>
    <w:p>
      <w:pPr>
        <w:pStyle w:val="Normal"/>
        <w:numPr>
          <w:ilvl w:val="0"/>
          <w:numId w:val="2"/>
        </w:numPr>
        <w:spacing w:before="240" w:after="0"/>
        <w:jc w:val="both"/>
        <w:rPr>
          <w:b/>
          <w:bCs/>
          <w:i/>
          <w:i/>
          <w:iCs/>
        </w:rPr>
      </w:pPr>
      <w:r>
        <w:rPr>
          <w:b/>
          <w:bCs/>
          <w:i/>
          <w:iCs/>
        </w:rPr>
        <w:t>Why the Current Physical Markets are not Working</w:t>
      </w:r>
    </w:p>
    <w:p>
      <w:pPr>
        <w:pStyle w:val="Normal"/>
        <w:numPr>
          <w:ilvl w:val="1"/>
          <w:numId w:val="2"/>
        </w:numPr>
        <w:spacing w:before="240" w:after="0"/>
        <w:jc w:val="both"/>
        <w:rPr/>
      </w:pPr>
      <w:r>
        <w:rPr/>
        <w:t>Inefficiencies of using multiple masters for a single commodity are the same inefficiencies created when different masters are used for each commodity</w:t>
      </w:r>
    </w:p>
    <w:p>
      <w:pPr>
        <w:pStyle w:val="Normal"/>
        <w:numPr>
          <w:ilvl w:val="0"/>
          <w:numId w:val="2"/>
        </w:numPr>
        <w:spacing w:before="240" w:after="0"/>
        <w:jc w:val="both"/>
        <w:rPr>
          <w:b/>
          <w:bCs/>
          <w:i/>
          <w:i/>
          <w:iCs/>
        </w:rPr>
      </w:pPr>
      <w:r>
        <w:rPr>
          <w:b/>
          <w:bCs/>
          <w:i/>
          <w:iCs/>
        </w:rPr>
        <w:t>Why the Current Physical Markets are not Working</w:t>
      </w:r>
    </w:p>
    <w:p>
      <w:pPr>
        <w:pStyle w:val="Normal"/>
        <w:numPr>
          <w:ilvl w:val="1"/>
          <w:numId w:val="2"/>
        </w:numPr>
        <w:spacing w:before="240" w:after="0"/>
        <w:jc w:val="both"/>
        <w:rPr/>
      </w:pPr>
      <w:r>
        <w:rPr/>
        <w:t>Many entities trade multiple commodities either with another single entity or with multiple affiliated entities</w:t>
      </w:r>
    </w:p>
    <w:p>
      <w:pPr>
        <w:pStyle w:val="Normal"/>
        <w:spacing w:before="240" w:after="0"/>
        <w:ind w:start="1800" w:end="0"/>
        <w:jc w:val="both"/>
        <w:rPr/>
      </w:pPr>
      <w:r>
        <w:rPr>
          <w:u w:val="single"/>
        </w:rPr>
        <w:t>Example</w:t>
      </w:r>
      <w:r>
        <w:rPr/>
        <w:t>:  Dynegy may trade gas, power and bandwidth with Enron under 3 different masters through 3 different entities – EPMI (power), ENA (gas), EBS (bandwidth).  If EPMI defaults under the gas contract, Dynegy may not be able to manage its credit exposure by terminating and accelerating all commodity trades</w:t>
      </w:r>
    </w:p>
    <w:p>
      <w:pPr>
        <w:pStyle w:val="Normal"/>
        <w:keepNext w:val="true"/>
        <w:numPr>
          <w:ilvl w:val="0"/>
          <w:numId w:val="2"/>
        </w:numPr>
        <w:spacing w:before="240" w:after="0"/>
        <w:jc w:val="both"/>
        <w:rPr>
          <w:b/>
          <w:bCs/>
          <w:i/>
          <w:i/>
          <w:iCs/>
        </w:rPr>
      </w:pPr>
      <w:r>
        <w:rPr>
          <w:b/>
          <w:bCs/>
          <w:i/>
          <w:iCs/>
        </w:rPr>
        <w:t>Why the Current Physical Markets are not Working</w:t>
      </w:r>
    </w:p>
    <w:p>
      <w:pPr>
        <w:pStyle w:val="Normal"/>
        <w:keepNext w:val="true"/>
        <w:spacing w:before="240" w:after="0"/>
        <w:ind w:start="1440" w:end="0"/>
        <w:jc w:val="both"/>
        <w:rPr/>
      </w:pPr>
      <w:r>
        <w:rPr>
          <w:u w:val="single"/>
        </w:rPr>
        <w:t>Example</w:t>
      </w:r>
      <w:r>
        <w:rPr/>
        <w:t>:</w:t>
      </w:r>
    </w:p>
    <w:p>
      <w:pPr>
        <w:pStyle w:val="Normal"/>
        <w:keepNext w:val="true"/>
        <w:tabs>
          <w:tab w:val="clear" w:pos="720"/>
          <w:tab w:val="left" w:pos="5400" w:leader="none"/>
          <w:tab w:val="left" w:pos="7320" w:leader="none"/>
        </w:tabs>
        <w:spacing w:before="240" w:after="0"/>
        <w:ind w:start="1440" w:end="0"/>
        <w:jc w:val="both"/>
        <w:rPr/>
      </w:pPr>
      <w:r>
        <w:rPr/>
        <w:tab/>
        <w:t>Reliant</w:t>
        <w:tab/>
        <w:t>Enron</w:t>
      </w:r>
    </w:p>
    <w:p>
      <w:pPr>
        <w:pStyle w:val="Heading4"/>
        <w:tabs>
          <w:tab w:val="clear" w:pos="5760"/>
          <w:tab w:val="clear" w:pos="7680"/>
          <w:tab w:val="left" w:pos="5400" w:leader="none"/>
          <w:tab w:val="left" w:pos="7320" w:leader="none"/>
        </w:tabs>
        <w:ind w:start="1440" w:end="0"/>
        <w:rPr/>
      </w:pPr>
      <w:r>
        <w:rPr/>
        <w:tab/>
        <w:t>Exposure</w:t>
        <w:tab/>
        <w:t>Exposure</w:t>
      </w:r>
    </w:p>
    <w:p>
      <w:pPr>
        <w:pStyle w:val="Normal"/>
        <w:keepNext w:val="true"/>
        <w:numPr>
          <w:ilvl w:val="2"/>
          <w:numId w:val="2"/>
        </w:numPr>
        <w:tabs>
          <w:tab w:val="clear" w:pos="720"/>
          <w:tab w:val="left" w:pos="1800" w:leader="none"/>
          <w:tab w:val="left" w:pos="5400" w:leader="none"/>
          <w:tab w:val="left" w:pos="7320" w:leader="none"/>
        </w:tabs>
        <w:spacing w:before="240" w:after="0"/>
        <w:ind w:hanging="360" w:start="1800" w:end="0"/>
        <w:jc w:val="both"/>
        <w:rPr/>
      </w:pPr>
      <w:r>
        <w:rPr/>
        <w:t>ENA ISDA Master (financial trading)</w:t>
        <w:tab/>
        <w:t>$80,000,000</w:t>
      </w:r>
    </w:p>
    <w:p>
      <w:pPr>
        <w:pStyle w:val="Normal"/>
        <w:keepNext w:val="true"/>
        <w:numPr>
          <w:ilvl w:val="2"/>
          <w:numId w:val="2"/>
        </w:numPr>
        <w:tabs>
          <w:tab w:val="clear" w:pos="720"/>
          <w:tab w:val="left" w:pos="1800" w:leader="none"/>
          <w:tab w:val="left" w:pos="5400" w:leader="none"/>
          <w:tab w:val="left" w:pos="7320" w:leader="none"/>
        </w:tabs>
        <w:ind w:hanging="360" w:start="1800" w:end="0"/>
        <w:jc w:val="both"/>
        <w:rPr/>
      </w:pPr>
      <w:r>
        <w:rPr/>
        <w:t>EPMI EEI Master (power)</w:t>
        <w:tab/>
        <w:tab/>
        <w:t>$100,000,000</w:t>
      </w:r>
    </w:p>
    <w:p>
      <w:pPr>
        <w:pStyle w:val="Normal"/>
        <w:keepNext w:val="true"/>
        <w:numPr>
          <w:ilvl w:val="2"/>
          <w:numId w:val="2"/>
        </w:numPr>
        <w:tabs>
          <w:tab w:val="clear" w:pos="720"/>
          <w:tab w:val="left" w:pos="1800" w:leader="none"/>
          <w:tab w:val="left" w:pos="5400" w:leader="none"/>
          <w:tab w:val="left" w:pos="7320" w:leader="none"/>
        </w:tabs>
        <w:ind w:hanging="360" w:start="1800" w:end="0"/>
        <w:jc w:val="both"/>
        <w:rPr/>
      </w:pPr>
      <w:r>
        <w:rPr/>
        <w:t>ENA Enfolio Firm (gas)</w:t>
        <w:tab/>
        <w:tab/>
        <w:t>$20,000,000</w:t>
      </w:r>
    </w:p>
    <w:p>
      <w:pPr>
        <w:pStyle w:val="Normal"/>
        <w:keepNext w:val="true"/>
        <w:numPr>
          <w:ilvl w:val="2"/>
          <w:numId w:val="2"/>
        </w:numPr>
        <w:tabs>
          <w:tab w:val="clear" w:pos="720"/>
          <w:tab w:val="left" w:pos="1800" w:leader="none"/>
          <w:tab w:val="left" w:pos="5400" w:leader="none"/>
          <w:tab w:val="left" w:pos="7320" w:leader="none"/>
        </w:tabs>
        <w:ind w:hanging="360" w:start="1800" w:end="0"/>
        <w:jc w:val="both"/>
        <w:rPr/>
      </w:pPr>
      <w:r>
        <w:rPr/>
        <w:t>EBS Bandwidth</w:t>
        <w:tab/>
        <w:t>$40,000,000</w:t>
      </w:r>
    </w:p>
    <w:p>
      <w:pPr>
        <w:pStyle w:val="Normal"/>
        <w:numPr>
          <w:ilvl w:val="1"/>
          <w:numId w:val="2"/>
        </w:numPr>
        <w:spacing w:before="240" w:after="0"/>
        <w:jc w:val="both"/>
        <w:rPr/>
      </w:pPr>
      <w:r>
        <w:rPr/>
        <w:t>If ENA defaults to Reliant on the ISDA without appropriate setoff language and/or a master netting agreement, Reliant may be forced to sue ENA for the $80,000,000 while continuing to perform on EPMI's/ENA's in-the-money power and gas positions</w:t>
      </w:r>
    </w:p>
    <w:p>
      <w:pPr>
        <w:pStyle w:val="Normal"/>
        <w:numPr>
          <w:ilvl w:val="1"/>
          <w:numId w:val="2"/>
        </w:numPr>
        <w:spacing w:before="240" w:after="0"/>
        <w:jc w:val="both"/>
        <w:rPr/>
      </w:pPr>
      <w:r>
        <w:rPr/>
        <w:t>If Reliant and Enron had a Master Netting Agreement in place, Reliant may be able to terminate and setoff all positions, in which case its "self-help" exposure would be $0</w:t>
      </w:r>
    </w:p>
    <w:p>
      <w:pPr>
        <w:pStyle w:val="Normal"/>
        <w:numPr>
          <w:ilvl w:val="0"/>
          <w:numId w:val="2"/>
        </w:numPr>
        <w:spacing w:before="240" w:after="0"/>
        <w:jc w:val="both"/>
        <w:rPr>
          <w:b/>
          <w:bCs/>
          <w:i/>
          <w:i/>
          <w:iCs/>
        </w:rPr>
      </w:pPr>
      <w:r>
        <w:rPr>
          <w:b/>
          <w:bCs/>
          <w:i/>
          <w:iCs/>
        </w:rPr>
        <w:t>Why the Current Physical Markets are not Working</w:t>
      </w:r>
    </w:p>
    <w:p>
      <w:pPr>
        <w:pStyle w:val="Normal"/>
        <w:numPr>
          <w:ilvl w:val="1"/>
          <w:numId w:val="2"/>
        </w:numPr>
        <w:spacing w:before="240" w:after="0"/>
        <w:jc w:val="both"/>
        <w:rPr/>
      </w:pPr>
      <w:r>
        <w:rPr/>
        <w:t>Setoff language and/or language stating no payments are required until all obligations are performed could provide limited assistance assuming there is only one Enron entity that Reliant is contracting with, but the use of multiple entities is frequently the reality</w:t>
      </w:r>
    </w:p>
    <w:p>
      <w:pPr>
        <w:pStyle w:val="Normal"/>
        <w:numPr>
          <w:ilvl w:val="0"/>
          <w:numId w:val="2"/>
        </w:numPr>
        <w:spacing w:before="240" w:after="0"/>
        <w:jc w:val="both"/>
        <w:rPr>
          <w:b/>
          <w:bCs/>
          <w:i/>
          <w:i/>
          <w:iCs/>
        </w:rPr>
      </w:pPr>
      <w:r>
        <w:rPr>
          <w:b/>
          <w:bCs/>
          <w:i/>
          <w:iCs/>
        </w:rPr>
        <w:t>Possible Solutions</w:t>
      </w:r>
    </w:p>
    <w:p>
      <w:pPr>
        <w:pStyle w:val="Normal"/>
        <w:numPr>
          <w:ilvl w:val="1"/>
          <w:numId w:val="2"/>
        </w:numPr>
        <w:spacing w:before="240" w:after="0"/>
        <w:jc w:val="both"/>
        <w:rPr>
          <w:u w:val="single"/>
        </w:rPr>
      </w:pPr>
      <w:r>
        <w:rPr>
          <w:u w:val="single"/>
        </w:rPr>
        <w:t>Set Off language</w:t>
      </w:r>
    </w:p>
    <w:p>
      <w:pPr>
        <w:pStyle w:val="Normal"/>
        <w:numPr>
          <w:ilvl w:val="2"/>
          <w:numId w:val="2"/>
        </w:numPr>
        <w:tabs>
          <w:tab w:val="clear" w:pos="720"/>
          <w:tab w:val="left" w:pos="1800" w:leader="none"/>
        </w:tabs>
        <w:spacing w:before="240" w:after="0"/>
        <w:ind w:hanging="360" w:start="1800" w:end="0"/>
        <w:jc w:val="both"/>
        <w:rPr/>
      </w:pPr>
      <w:r>
        <w:rPr/>
        <w:t xml:space="preserve">After calculation of the Early Termination Payment if the Defaulting Party would be owed the Early Termination Payment, the Non-Defaulting Party shall be entitled, at its option and in its discretion, to set off against such Early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Normal"/>
        <w:numPr>
          <w:ilvl w:val="2"/>
          <w:numId w:val="2"/>
        </w:numPr>
        <w:tabs>
          <w:tab w:val="clear" w:pos="720"/>
          <w:tab w:val="left" w:pos="1800" w:leader="none"/>
        </w:tabs>
        <w:spacing w:before="240" w:after="0"/>
        <w:ind w:hanging="360" w:start="1800" w:end="0"/>
        <w:jc w:val="both"/>
        <w:rPr/>
      </w:pPr>
      <w:r>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Normal"/>
        <w:keepNext w:val="true"/>
        <w:numPr>
          <w:ilvl w:val="0"/>
          <w:numId w:val="2"/>
        </w:numPr>
        <w:spacing w:before="240" w:after="0"/>
        <w:jc w:val="both"/>
        <w:rPr>
          <w:b/>
          <w:bCs/>
          <w:i/>
          <w:i/>
          <w:iCs/>
        </w:rPr>
      </w:pPr>
      <w:r>
        <w:rPr>
          <w:b/>
          <w:bCs/>
          <w:i/>
          <w:iCs/>
        </w:rPr>
        <w:t>Further Set Off Issues</w:t>
      </w:r>
    </w:p>
    <w:p>
      <w:pPr>
        <w:pStyle w:val="Normal"/>
        <w:keepNext w:val="true"/>
        <w:numPr>
          <w:ilvl w:val="1"/>
          <w:numId w:val="2"/>
        </w:numPr>
        <w:spacing w:before="240" w:after="0"/>
        <w:jc w:val="both"/>
        <w:rPr/>
      </w:pPr>
      <w:r>
        <w:rPr/>
        <w:t>Include set off to future amounts</w:t>
      </w:r>
    </w:p>
    <w:p>
      <w:pPr>
        <w:pStyle w:val="Normal"/>
        <w:keepNext w:val="true"/>
        <w:numPr>
          <w:ilvl w:val="1"/>
          <w:numId w:val="2"/>
        </w:numPr>
        <w:spacing w:before="240" w:after="0"/>
        <w:jc w:val="both"/>
        <w:rPr/>
      </w:pPr>
      <w:r>
        <w:rPr/>
        <w:t>Include set off regardless of whether ETP is in-the-money or out-of-money</w:t>
      </w:r>
    </w:p>
    <w:p>
      <w:pPr>
        <w:pStyle w:val="Normal"/>
        <w:keepNext w:val="true"/>
        <w:numPr>
          <w:ilvl w:val="1"/>
          <w:numId w:val="2"/>
        </w:numPr>
        <w:spacing w:before="240" w:after="0"/>
        <w:jc w:val="both"/>
        <w:rPr/>
      </w:pPr>
      <w:r>
        <w:rPr/>
        <w:t>To enforce set off against affiliates, likely need the express agreement of all named affiliates</w:t>
      </w:r>
    </w:p>
    <w:p>
      <w:pPr>
        <w:pStyle w:val="Normal"/>
        <w:numPr>
          <w:ilvl w:val="0"/>
          <w:numId w:val="2"/>
        </w:numPr>
        <w:spacing w:before="240" w:after="0"/>
        <w:jc w:val="both"/>
        <w:rPr>
          <w:b/>
          <w:bCs/>
          <w:i/>
          <w:i/>
          <w:iCs/>
        </w:rPr>
      </w:pPr>
      <w:r>
        <w:rPr>
          <w:b/>
          <w:bCs/>
          <w:i/>
          <w:iCs/>
        </w:rPr>
        <w:t>Possible Solutions</w:t>
      </w:r>
    </w:p>
    <w:p>
      <w:pPr>
        <w:pStyle w:val="Normal"/>
        <w:numPr>
          <w:ilvl w:val="1"/>
          <w:numId w:val="2"/>
        </w:numPr>
        <w:spacing w:before="240" w:after="0"/>
        <w:jc w:val="both"/>
        <w:rPr/>
      </w:pPr>
      <w:r>
        <w:rPr/>
        <w:t>Master Netting Agreement may provide maximum legal protection</w:t>
      </w:r>
    </w:p>
    <w:p>
      <w:pPr>
        <w:pStyle w:val="Normal"/>
        <w:spacing w:before="240" w:after="0"/>
        <w:ind w:start="2160" w:end="0"/>
        <w:jc w:val="both"/>
        <w:rPr/>
      </w:pPr>
      <w:r>
        <w:rPr>
          <w:u w:val="single"/>
        </w:rPr>
        <w:t>Critical component</w:t>
      </w:r>
      <w:r>
        <w:rPr/>
        <w:t>:  Must rewrite/override Events of Default/Remedies of Underlying Masters</w:t>
      </w:r>
    </w:p>
    <w:p>
      <w:pPr>
        <w:pStyle w:val="Normal"/>
        <w:numPr>
          <w:ilvl w:val="0"/>
          <w:numId w:val="2"/>
        </w:numPr>
        <w:spacing w:before="240" w:after="0"/>
        <w:jc w:val="both"/>
        <w:rPr>
          <w:b/>
          <w:bCs/>
          <w:i/>
          <w:i/>
          <w:iCs/>
        </w:rPr>
      </w:pPr>
      <w:r>
        <w:rPr>
          <w:b/>
          <w:bCs/>
          <w:i/>
          <w:iCs/>
        </w:rPr>
        <w:t>Possible Solutions</w:t>
      </w:r>
    </w:p>
    <w:p>
      <w:pPr>
        <w:pStyle w:val="Normal"/>
        <w:numPr>
          <w:ilvl w:val="1"/>
          <w:numId w:val="2"/>
        </w:numPr>
        <w:spacing w:before="240" w:after="0"/>
        <w:jc w:val="both"/>
        <w:rPr/>
      </w:pPr>
      <w:r>
        <w:rPr/>
        <w:t>Master Netting Agreement may provide credit relief as well by requiring posting of collateral based on exposures under all commodities</w:t>
      </w:r>
    </w:p>
    <w:p>
      <w:pPr>
        <w:pStyle w:val="Normal"/>
        <w:spacing w:before="240" w:after="0"/>
        <w:ind w:start="2160" w:end="0"/>
        <w:jc w:val="both"/>
        <w:rPr/>
      </w:pPr>
      <w:r>
        <w:rPr>
          <w:u w:val="single"/>
        </w:rPr>
        <w:t>Critical component</w:t>
      </w:r>
      <w:r>
        <w:rPr/>
        <w:t>:  Must rewrite/override collateral provisions of Underlying Masters</w:t>
      </w:r>
    </w:p>
    <w:p>
      <w:pPr>
        <w:pStyle w:val="Normal"/>
        <w:numPr>
          <w:ilvl w:val="0"/>
          <w:numId w:val="2"/>
        </w:numPr>
        <w:spacing w:before="240" w:after="0"/>
        <w:jc w:val="both"/>
        <w:rPr>
          <w:b/>
          <w:bCs/>
          <w:i/>
          <w:i/>
          <w:iCs/>
        </w:rPr>
      </w:pPr>
      <w:r>
        <w:rPr>
          <w:b/>
          <w:bCs/>
          <w:i/>
          <w:iCs/>
        </w:rPr>
        <w:t>Possible Solutions</w:t>
      </w:r>
    </w:p>
    <w:p>
      <w:pPr>
        <w:pStyle w:val="Normal"/>
        <w:numPr>
          <w:ilvl w:val="1"/>
          <w:numId w:val="2"/>
        </w:numPr>
        <w:spacing w:before="240" w:after="0"/>
        <w:jc w:val="both"/>
        <w:rPr/>
      </w:pPr>
      <w:r>
        <w:rPr/>
        <w:t>Single Master Agreement for all physical/financial trading with GTC's in base document and commodity specific provisions in annexes/definitions</w:t>
      </w:r>
    </w:p>
    <w:p>
      <w:pPr>
        <w:pStyle w:val="Normal"/>
        <w:numPr>
          <w:ilvl w:val="0"/>
          <w:numId w:val="2"/>
        </w:numPr>
        <w:spacing w:before="240" w:after="0"/>
        <w:jc w:val="both"/>
        <w:rPr>
          <w:b/>
          <w:bCs/>
          <w:i/>
          <w:i/>
          <w:iCs/>
        </w:rPr>
      </w:pPr>
      <w:r>
        <w:rPr>
          <w:b/>
          <w:bCs/>
          <w:i/>
          <w:iCs/>
        </w:rPr>
        <w:t>Issues to be Considered in Attempting either Master Netting or Single Master for all Trading</w:t>
      </w:r>
    </w:p>
    <w:p>
      <w:pPr>
        <w:pStyle w:val="Normal"/>
        <w:numPr>
          <w:ilvl w:val="1"/>
          <w:numId w:val="2"/>
        </w:numPr>
        <w:spacing w:before="240" w:after="0"/>
        <w:jc w:val="both"/>
        <w:rPr/>
      </w:pPr>
      <w:r>
        <w:rPr/>
        <w:t>Cross-over between Business Lines</w:t>
      </w:r>
    </w:p>
    <w:p>
      <w:pPr>
        <w:pStyle w:val="Normal"/>
        <w:keepNext w:val="true"/>
        <w:numPr>
          <w:ilvl w:val="1"/>
          <w:numId w:val="2"/>
        </w:numPr>
        <w:spacing w:before="240" w:after="0"/>
        <w:jc w:val="both"/>
        <w:rPr/>
      </w:pPr>
      <w:r>
        <w:rPr/>
        <w:t>Legal enforceability</w:t>
      </w:r>
    </w:p>
    <w:p>
      <w:pPr>
        <w:pStyle w:val="Normal"/>
        <w:keepNext w:val="true"/>
        <w:numPr>
          <w:ilvl w:val="3"/>
          <w:numId w:val="2"/>
        </w:numPr>
        <w:tabs>
          <w:tab w:val="clear" w:pos="720"/>
          <w:tab w:val="left" w:pos="1800" w:leader="none"/>
        </w:tabs>
        <w:spacing w:before="240" w:after="0"/>
        <w:ind w:hanging="360" w:start="1800" w:end="0"/>
        <w:jc w:val="both"/>
        <w:rPr/>
      </w:pPr>
      <w:r>
        <w:rPr/>
        <w:t>Netting all Forwards</w:t>
      </w:r>
    </w:p>
    <w:p>
      <w:pPr>
        <w:pStyle w:val="Normal"/>
        <w:keepNext w:val="true"/>
        <w:numPr>
          <w:ilvl w:val="3"/>
          <w:numId w:val="2"/>
        </w:numPr>
        <w:tabs>
          <w:tab w:val="clear" w:pos="720"/>
          <w:tab w:val="left" w:pos="1800" w:leader="none"/>
        </w:tabs>
        <w:ind w:hanging="360" w:start="1800" w:end="0"/>
        <w:jc w:val="both"/>
        <w:rPr/>
      </w:pPr>
      <w:r>
        <w:rPr/>
        <w:t>Netting Forwards and Futures</w:t>
      </w:r>
    </w:p>
    <w:p>
      <w:pPr>
        <w:pStyle w:val="Normal"/>
        <w:numPr>
          <w:ilvl w:val="3"/>
          <w:numId w:val="2"/>
        </w:numPr>
        <w:tabs>
          <w:tab w:val="clear" w:pos="720"/>
          <w:tab w:val="left" w:pos="1800" w:leader="none"/>
        </w:tabs>
        <w:ind w:hanging="360" w:start="1800" w:end="0"/>
        <w:jc w:val="both"/>
        <w:rPr/>
      </w:pPr>
      <w:r>
        <w:rPr/>
        <w:t>Cross entity set-off</w:t>
      </w:r>
    </w:p>
    <w:p>
      <w:pPr>
        <w:pStyle w:val="Normal"/>
        <w:keepNext w:val="true"/>
        <w:numPr>
          <w:ilvl w:val="1"/>
          <w:numId w:val="2"/>
        </w:numPr>
        <w:spacing w:before="240" w:after="0"/>
        <w:jc w:val="both"/>
        <w:rPr/>
      </w:pPr>
      <w:r>
        <w:rPr/>
        <w:t>Complexity</w:t>
      </w:r>
    </w:p>
    <w:p>
      <w:pPr>
        <w:pStyle w:val="Normal"/>
        <w:numPr>
          <w:ilvl w:val="0"/>
          <w:numId w:val="2"/>
        </w:numPr>
        <w:spacing w:before="240" w:after="0"/>
        <w:jc w:val="both"/>
        <w:rPr>
          <w:b/>
          <w:bCs/>
          <w:i/>
          <w:i/>
          <w:iCs/>
        </w:rPr>
      </w:pPr>
      <w:r>
        <w:rPr>
          <w:b/>
          <w:bCs/>
          <w:i/>
          <w:iCs/>
        </w:rPr>
        <w:t>Benefits of Addressing the Issues of using a Master Netting or Single Master for all Trading</w:t>
      </w:r>
    </w:p>
    <w:p>
      <w:pPr>
        <w:pStyle w:val="Normal"/>
        <w:numPr>
          <w:ilvl w:val="1"/>
          <w:numId w:val="2"/>
        </w:numPr>
        <w:spacing w:before="240" w:after="0"/>
        <w:jc w:val="both"/>
        <w:rPr/>
      </w:pPr>
      <w:r>
        <w:rPr/>
        <w:t>Best legal, credit and bankruptcy protection available</w:t>
      </w:r>
    </w:p>
    <w:p>
      <w:pPr>
        <w:pStyle w:val="Normal"/>
        <w:numPr>
          <w:ilvl w:val="1"/>
          <w:numId w:val="2"/>
        </w:numPr>
        <w:spacing w:before="240" w:after="0"/>
        <w:jc w:val="both"/>
        <w:rPr/>
      </w:pPr>
      <w:r>
        <w:rPr/>
        <w:t>Ability to net across products/entities would improve liquidity/credit for further trading</w:t>
      </w:r>
    </w:p>
    <w:p>
      <w:pPr>
        <w:pStyle w:val="Normal"/>
        <w:numPr>
          <w:ilvl w:val="1"/>
          <w:numId w:val="2"/>
        </w:numPr>
        <w:spacing w:before="240" w:after="0"/>
        <w:jc w:val="both"/>
        <w:rPr/>
      </w:pPr>
      <w:r>
        <w:rPr/>
        <w:t>Reflects the reality of a default situation (if a counterparty defaults and the default cannot otherwise be resolved commercially, you will likely be asking your lawyers to help you do exactly this)</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2"/>
      </w:rPr>
      <w:fldChar w:fldCharType="begin"/>
    </w:r>
    <w:r>
      <w:rPr>
        <w:sz w:val="12"/>
      </w:rPr>
      <w:instrText xml:space="preserve"> FILENAME \p </w:instrText>
    </w:r>
    <w:r>
      <w:rPr>
        <w:sz w:val="12"/>
      </w:rPr>
      <w:fldChar w:fldCharType="separate"/>
    </w:r>
    <w:r>
      <w:rPr>
        <w:sz w:val="12"/>
      </w:rPr>
      <w:t>/mnt/main-storage/datasets/enron-docs/doc/ISDA_Seminar_0306.doc</w:t>
    </w:r>
    <w:r>
      <w:rPr>
        <w:sz w:val="12"/>
      </w:rPr>
      <w:fldChar w:fldCharType="end"/>
    </w:r>
    <w:r>
      <w:rPr>
        <w:sz w:val="12"/>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lvl>
    <w:lvl w:ilvl="1">
      <w:start w:val="1"/>
      <w:numFmt w:val="bullet"/>
      <w:lvlText w:val=""/>
      <w:lvlJc w:val="start"/>
      <w:pPr>
        <w:tabs>
          <w:tab w:val="num" w:pos="1440"/>
        </w:tabs>
        <w:ind w:start="1440" w:hanging="360"/>
      </w:pPr>
      <w:rPr>
        <w:rFonts w:ascii="Symbol" w:hAnsi="Symbol" w:cs="Symbol" w:hint="default"/>
      </w:rPr>
    </w:lvl>
    <w:lvl w:ilvl="2">
      <w:start w:val="1"/>
      <w:numFmt w:val="bullet"/>
      <w:lvlText w:val="o"/>
      <w:lvlJc w:val="start"/>
      <w:pPr>
        <w:tabs>
          <w:tab w:val="num" w:pos="2340"/>
        </w:tabs>
        <w:ind w:start="2340" w:hanging="360"/>
      </w:pPr>
      <w:rPr>
        <w:rFonts w:ascii="Courier New" w:hAnsi="Courier New" w:cs="Courier New" w:hint="default"/>
      </w:rPr>
    </w:lvl>
    <w:lvl w:ilvl="3">
      <w:start w:val="1"/>
      <w:numFmt w:val="bullet"/>
      <w:lvlText w:val=""/>
      <w:lvlJc w:val="start"/>
      <w:pPr>
        <w:tabs>
          <w:tab w:val="num" w:pos="2880"/>
        </w:tabs>
        <w:ind w:start="2880" w:hanging="360"/>
      </w:pPr>
      <w:rPr>
        <w:rFonts w:ascii="Symbol" w:hAnsi="Symbol" w:cs="Symbol" w:hint="default"/>
        <w:color w:val="000000"/>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600" w:leader="none"/>
        <w:tab w:val="left" w:pos="6240" w:leader="none"/>
      </w:tabs>
      <w:ind w:hanging="0" w:start="1080" w:end="0"/>
      <w:outlineLvl w:val="0"/>
    </w:pPr>
    <w:rPr>
      <w:u w:val="single"/>
    </w:rPr>
  </w:style>
  <w:style w:type="paragraph" w:styleId="Heading2">
    <w:name w:val="heading 2"/>
    <w:basedOn w:val="Normal"/>
    <w:next w:val="Normal"/>
    <w:qFormat/>
    <w:pPr>
      <w:keepNext w:val="true"/>
      <w:numPr>
        <w:ilvl w:val="1"/>
        <w:numId w:val="1"/>
      </w:numPr>
      <w:spacing w:before="240" w:after="0"/>
      <w:jc w:val="center"/>
      <w:outlineLvl w:val="1"/>
    </w:pPr>
    <w:rPr>
      <w:b/>
      <w:bCs/>
      <w:smallCaps/>
    </w:rPr>
  </w:style>
  <w:style w:type="paragraph" w:styleId="Heading3">
    <w:name w:val="heading 3"/>
    <w:basedOn w:val="Normal"/>
    <w:next w:val="Normal"/>
    <w:qFormat/>
    <w:pPr>
      <w:keepNext w:val="true"/>
      <w:numPr>
        <w:ilvl w:val="2"/>
        <w:numId w:val="1"/>
      </w:numPr>
      <w:spacing w:before="240" w:after="0"/>
      <w:ind w:hanging="0" w:start="1080" w:end="0"/>
      <w:jc w:val="both"/>
      <w:outlineLvl w:val="2"/>
    </w:pPr>
    <w:rPr>
      <w:u w:val="single"/>
    </w:rPr>
  </w:style>
  <w:style w:type="paragraph" w:styleId="Heading4">
    <w:name w:val="heading 4"/>
    <w:basedOn w:val="Normal"/>
    <w:next w:val="Normal"/>
    <w:qFormat/>
    <w:pPr>
      <w:keepNext w:val="true"/>
      <w:numPr>
        <w:ilvl w:val="3"/>
        <w:numId w:val="1"/>
      </w:numPr>
      <w:tabs>
        <w:tab w:val="clear" w:pos="720"/>
        <w:tab w:val="left" w:pos="5760" w:leader="none"/>
        <w:tab w:val="left" w:pos="7680" w:leader="none"/>
      </w:tabs>
      <w:ind w:hanging="0" w:start="1800" w:end="0"/>
      <w:jc w:val="both"/>
      <w:outlineLvl w:val="3"/>
    </w:pPr>
    <w:rPr>
      <w:u w:val="single"/>
    </w:rPr>
  </w:style>
  <w:style w:type="character" w:styleId="WW8Num1z0">
    <w:name w:val="WW8Num1z0"/>
    <w:qFormat/>
    <w:rPr/>
  </w:style>
  <w:style w:type="character" w:styleId="WW8Num1z1">
    <w:name w:val="WW8Num1z1"/>
    <w:qFormat/>
    <w:rPr>
      <w:rFonts w:ascii="Symbol" w:hAnsi="Symbol" w:cs="Symbol"/>
    </w:rPr>
  </w:style>
  <w:style w:type="character" w:styleId="WW8Num1z2">
    <w:name w:val="WW8Num1z2"/>
    <w:qFormat/>
    <w:rPr>
      <w:rFonts w:ascii="Courier New" w:hAnsi="Courier New" w:cs="Courier New"/>
    </w:rPr>
  </w:style>
  <w:style w:type="character" w:styleId="WW8Num1z3">
    <w:name w:val="WW8Num1z3"/>
    <w:qFormat/>
    <w:rPr>
      <w:rFonts w:ascii="Symbol" w:hAnsi="Symbol" w:cs="Symbol"/>
      <w:color w:val="00000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mallCap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840" w:start="19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2001-03-01T17:06:00Z</dcterms:created>
  <dc:creator>bwhiteh</dc:creator>
  <dc:description/>
  <dc:language>en-CA</dc:language>
  <cp:lastModifiedBy>bwhiteh</cp:lastModifiedBy>
  <cp:lastPrinted>2001-03-06T07:57:00Z</cp:lastPrinted>
  <dcterms:modified xsi:type="dcterms:W3CDTF">2001-03-06T13:15:00Z</dcterms:modified>
  <cp:revision>12</cp:revision>
  <dc:subject/>
  <dc:title>ISDA SEMINAR</dc:title>
</cp:coreProperties>
</file>