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6"/>
        <w:widowControl/>
        <w:ind w:hanging="0" w:start="0"/>
        <w:rPr/>
      </w:pPr>
      <w:r>
        <w:rPr/>
        <w:t>DRAFT OF 10/20/01</w:t>
      </w:r>
    </w:p>
    <w:p>
      <w:pPr>
        <w:pStyle w:val="Normal"/>
        <w:widowControl/>
        <w:jc w:val="end"/>
        <w:rPr>
          <w:b/>
          <w:bCs/>
          <w:sz w:val="22"/>
          <w:szCs w:val="22"/>
        </w:rPr>
      </w:pPr>
      <w:r>
        <w:rPr>
          <w:b/>
          <w:bCs/>
          <w:sz w:val="22"/>
          <w:szCs w:val="22"/>
        </w:rPr>
      </w:r>
    </w:p>
    <w:p>
      <w:pPr>
        <w:pStyle w:val="BodyText3"/>
        <w:widowControl/>
        <w:rPr/>
      </w:pPr>
      <w:r>
        <w:rPr/>
        <w:t>SCHEDULE</w:t>
        <w:br/>
        <w:t>to the</w:t>
        <w:br/>
        <w:t>MASTER AGREEMENT</w:t>
        <w:br/>
        <w:t>(Multicurrency-Cross Border)</w:t>
      </w:r>
    </w:p>
    <w:p>
      <w:pPr>
        <w:pStyle w:val="Normal"/>
        <w:widowControl/>
        <w:tabs>
          <w:tab w:val="clear" w:pos="720"/>
          <w:tab w:val="center" w:pos="5760" w:leader="none"/>
        </w:tabs>
        <w:spacing w:before="120" w:after="0"/>
        <w:jc w:val="center"/>
        <w:rPr>
          <w:b/>
          <w:bCs/>
          <w:sz w:val="22"/>
          <w:szCs w:val="22"/>
        </w:rPr>
      </w:pPr>
      <w:r>
        <w:rPr>
          <w:b/>
          <w:bCs/>
          <w:sz w:val="22"/>
          <w:szCs w:val="22"/>
        </w:rPr>
        <w:t>dated as of _________________, 200__</w:t>
      </w:r>
    </w:p>
    <w:p>
      <w:pPr>
        <w:pStyle w:val="Normal"/>
        <w:widowControl/>
        <w:tabs>
          <w:tab w:val="clear" w:pos="720"/>
          <w:tab w:val="center" w:pos="5760" w:leader="none"/>
        </w:tabs>
        <w:spacing w:before="120" w:after="0"/>
        <w:jc w:val="center"/>
        <w:rPr>
          <w:b/>
          <w:bCs/>
          <w:sz w:val="22"/>
          <w:szCs w:val="22"/>
        </w:rPr>
      </w:pPr>
      <w:r>
        <w:rPr>
          <w:b/>
          <w:bCs/>
          <w:sz w:val="22"/>
          <w:szCs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tabs>
                <w:tab w:val="clear" w:pos="720"/>
                <w:tab w:val="center" w:pos="5760" w:leader="none"/>
              </w:tabs>
              <w:spacing w:before="240" w:after="0"/>
              <w:jc w:val="center"/>
              <w:rPr>
                <w:b/>
                <w:bCs/>
                <w:sz w:val="22"/>
                <w:szCs w:val="22"/>
              </w:rPr>
            </w:pPr>
            <w:r>
              <w:rPr>
                <w:b/>
                <w:bCs/>
                <w:sz w:val="22"/>
                <w:szCs w:val="22"/>
              </w:rPr>
              <w:t>ENRON NORTH AMERICA CORP., a corporation organized under the law of the State of Delaware (“Party A”), and</w:t>
            </w:r>
          </w:p>
        </w:tc>
        <w:tc>
          <w:tcPr>
            <w:tcW w:w="4788" w:type="dxa"/>
            <w:tcBorders/>
          </w:tcPr>
          <w:p>
            <w:pPr>
              <w:pStyle w:val="Normal"/>
              <w:widowControl/>
              <w:tabs>
                <w:tab w:val="clear" w:pos="720"/>
                <w:tab w:val="center" w:pos="5760" w:leader="none"/>
              </w:tabs>
              <w:spacing w:before="240" w:after="0"/>
              <w:jc w:val="center"/>
              <w:rPr>
                <w:b/>
                <w:bCs/>
                <w:color w:val="808000"/>
                <w:sz w:val="22"/>
                <w:szCs w:val="22"/>
              </w:rPr>
            </w:pPr>
            <w:r>
              <w:rPr>
                <w:b/>
                <w:bCs/>
                <w:sz w:val="22"/>
                <w:szCs w:val="22"/>
              </w:rPr>
              <w:t>AES EASTERN ENERGY L.P., a limited partnership organized under the law of the State of Delaware (“Party B”)</w:t>
            </w:r>
          </w:p>
        </w:tc>
      </w:tr>
    </w:tbl>
    <w:p>
      <w:pPr>
        <w:pStyle w:val="Normal"/>
        <w:widowControl/>
        <w:spacing w:before="480" w:after="0"/>
        <w:jc w:val="both"/>
        <w:rPr/>
      </w:pPr>
      <w:r>
        <w:rPr>
          <w:b/>
          <w:bCs/>
          <w:sz w:val="22"/>
          <w:szCs w:val="22"/>
        </w:rPr>
        <w:t>Part 1.</w:t>
      </w:r>
      <w:r>
        <w:rPr>
          <w:sz w:val="22"/>
          <w:szCs w:val="22"/>
        </w:rPr>
        <w:t xml:space="preserve"> </w:t>
      </w:r>
      <w:r>
        <w:rPr>
          <w:b/>
          <w:bCs/>
          <w:sz w:val="22"/>
          <w:szCs w:val="22"/>
        </w:rPr>
        <w:t>Termination Provisions.</w:t>
      </w:r>
    </w:p>
    <w:p>
      <w:pPr>
        <w:pStyle w:val="Normal"/>
        <w:widowControl/>
        <w:spacing w:lineRule="exact" w:line="240" w:before="240" w:after="0"/>
        <w:ind w:firstLine="720" w:end="0"/>
        <w:jc w:val="both"/>
        <w:rPr/>
      </w:pPr>
      <w:r>
        <w:rPr>
          <w:sz w:val="22"/>
          <w:szCs w:val="22"/>
        </w:rPr>
        <w:t>(a)</w:t>
        <w:tab/>
      </w:r>
      <w:r>
        <w:rPr>
          <w:b/>
          <w:bCs/>
          <w:sz w:val="22"/>
          <w:szCs w:val="22"/>
        </w:rPr>
        <w:t>“Specified Entity”</w:t>
      </w:r>
      <w:r>
        <w:rPr>
          <w:sz w:val="22"/>
          <w:szCs w:val="22"/>
        </w:rPr>
        <w:t xml:space="preserve"> means in relation to Party A:</w:t>
      </w:r>
    </w:p>
    <w:p>
      <w:pPr>
        <w:pStyle w:val="Normal"/>
        <w:widowControl/>
        <w:ind w:firstLine="720" w:start="720" w:end="0"/>
        <w:jc w:val="both"/>
        <w:rPr>
          <w:sz w:val="22"/>
          <w:szCs w:val="22"/>
        </w:rPr>
      </w:pPr>
      <w:r>
        <w:rPr>
          <w:sz w:val="22"/>
          <w:szCs w:val="22"/>
        </w:rPr>
      </w:r>
    </w:p>
    <w:p>
      <w:pPr>
        <w:pStyle w:val="Normal"/>
        <w:widowControl/>
        <w:ind w:firstLine="720" w:start="720" w:end="0"/>
        <w:jc w:val="both"/>
        <w:rPr/>
      </w:pPr>
      <w:r>
        <w:rPr/>
        <w:t>Section 5(a)(v),</w:t>
        <w:tab/>
        <w:t>Enron Power Marketing</w:t>
      </w:r>
    </w:p>
    <w:p>
      <w:pPr>
        <w:pStyle w:val="Normal"/>
        <w:widowControl/>
        <w:ind w:firstLine="720" w:start="720" w:end="0"/>
        <w:jc w:val="both"/>
        <w:rPr/>
      </w:pPr>
      <w:r>
        <w:rPr/>
        <w:t>Section 5(a)(vi),</w:t>
        <w:tab/>
        <w:t>None Specified</w:t>
      </w:r>
    </w:p>
    <w:p>
      <w:pPr>
        <w:pStyle w:val="Normal"/>
        <w:widowControl/>
        <w:ind w:firstLine="720" w:start="720" w:end="0"/>
        <w:jc w:val="both"/>
        <w:rPr/>
      </w:pPr>
      <w:r>
        <w:rPr/>
        <w:t>Section 5(a)(vii),</w:t>
        <w:tab/>
        <w:t>None Specified</w:t>
      </w:r>
    </w:p>
    <w:p>
      <w:pPr>
        <w:pStyle w:val="Normal"/>
        <w:spacing w:before="0" w:after="240"/>
        <w:ind w:firstLine="720" w:start="720" w:end="0"/>
        <w:jc w:val="both"/>
        <w:rPr/>
      </w:pPr>
      <w:r>
        <w:rPr/>
        <w:t>Section 5(b)(iv),</w:t>
        <w:tab/>
        <w:t>None Specified,</w:t>
      </w:r>
    </w:p>
    <w:p>
      <w:pPr>
        <w:pStyle w:val="Normal"/>
        <w:spacing w:before="0" w:after="240"/>
        <w:ind w:firstLine="720" w:start="720" w:end="0"/>
        <w:jc w:val="both"/>
        <w:rPr>
          <w:sz w:val="22"/>
          <w:szCs w:val="22"/>
        </w:rPr>
      </w:pPr>
      <w:r>
        <w:rPr/>
        <w:t>and for the purpose of Part 5(f) herein, Enron Power Marketing;</w:t>
      </w:r>
    </w:p>
    <w:p>
      <w:pPr>
        <w:pStyle w:val="Normal"/>
        <w:spacing w:before="0" w:after="240"/>
        <w:ind w:firstLine="720" w:start="720" w:end="0"/>
        <w:jc w:val="both"/>
        <w:rPr/>
      </w:pPr>
      <w:r>
        <w:rPr/>
        <w:t>and in relation to Party B for the purpose of:</w:t>
      </w:r>
    </w:p>
    <w:p>
      <w:pPr>
        <w:pStyle w:val="Normal"/>
        <w:widowControl/>
        <w:ind w:firstLine="720" w:start="720" w:end="0"/>
        <w:jc w:val="both"/>
        <w:rPr/>
      </w:pPr>
      <w:r>
        <w:rPr/>
        <w:t>Section 5(a)(v),</w:t>
        <w:tab/>
        <w:t>None Specified</w:t>
      </w:r>
    </w:p>
    <w:p>
      <w:pPr>
        <w:pStyle w:val="Normal"/>
        <w:widowControl/>
        <w:ind w:firstLine="720" w:start="720" w:end="0"/>
        <w:jc w:val="both"/>
        <w:rPr/>
      </w:pPr>
      <w:r>
        <w:rPr/>
        <w:t>Section 5(a)(vi),</w:t>
        <w:tab/>
        <w:t>None Specified</w:t>
      </w:r>
    </w:p>
    <w:p>
      <w:pPr>
        <w:pStyle w:val="Normal"/>
        <w:widowControl/>
        <w:ind w:firstLine="720" w:start="720" w:end="0"/>
        <w:jc w:val="both"/>
        <w:rPr/>
      </w:pPr>
      <w:r>
        <w:rPr/>
        <w:t>Section 5(a)(vii),</w:t>
        <w:tab/>
        <w:t>None Specified</w:t>
      </w:r>
    </w:p>
    <w:p>
      <w:pPr>
        <w:pStyle w:val="Normal"/>
        <w:widowControl/>
        <w:ind w:firstLine="720" w:start="720" w:end="0"/>
        <w:jc w:val="both"/>
        <w:rPr/>
      </w:pPr>
      <w:r>
        <w:rPr/>
        <w:t>Section 5(b)(iv),</w:t>
        <w:tab/>
        <w:t>None Specified</w:t>
      </w:r>
      <w:r>
        <w:rPr>
          <w:sz w:val="22"/>
          <w:szCs w:val="22"/>
        </w:rPr>
        <w:t>.</w:t>
      </w:r>
    </w:p>
    <w:p>
      <w:pPr>
        <w:pStyle w:val="Normal"/>
        <w:widowControl/>
        <w:ind w:firstLine="720" w:end="0"/>
        <w:jc w:val="both"/>
        <w:rPr>
          <w:sz w:val="22"/>
          <w:szCs w:val="22"/>
        </w:rPr>
      </w:pPr>
      <w:r>
        <w:rPr>
          <w:sz w:val="22"/>
          <w:szCs w:val="22"/>
        </w:rPr>
      </w:r>
    </w:p>
    <w:p>
      <w:pPr>
        <w:pStyle w:val="Normal"/>
        <w:widowControl/>
        <w:ind w:firstLine="720" w:end="0"/>
        <w:jc w:val="both"/>
        <w:rPr/>
      </w:pPr>
      <w:r>
        <w:rPr>
          <w:sz w:val="22"/>
          <w:szCs w:val="22"/>
        </w:rPr>
        <w:t>(b)</w:t>
        <w:tab/>
      </w:r>
      <w:r>
        <w:rPr>
          <w:b/>
          <w:bCs/>
        </w:rPr>
        <w:t xml:space="preserve">“Specified Transaction”  </w:t>
      </w:r>
      <w:r>
        <w:rPr/>
        <w:t xml:space="preserve">shall have the meaning specified Section 14 of this Agreement save that Section 14 shall be hereby amended by adding the text “, </w:t>
      </w:r>
      <w:r>
        <w:rPr>
          <w:lang w:val="en-GB"/>
        </w:rPr>
        <w:t>agreement for the purchase, sale or transfer of any Commodity or any other commodity trading transaction” after the words “currency option” in the seventh line thereof, and the following text after the end of that paragraph:</w:t>
      </w:r>
    </w:p>
    <w:p>
      <w:pPr>
        <w:pStyle w:val="Normal"/>
        <w:widowControl/>
        <w:spacing w:lineRule="exact" w:line="240" w:before="240" w:after="0"/>
        <w:ind w:start="720" w:end="720"/>
        <w:jc w:val="both"/>
        <w:rPr>
          <w:sz w:val="22"/>
          <w:szCs w:val="22"/>
        </w:rPr>
      </w:pPr>
      <w:r>
        <w:rPr>
          <w:lang w:val="en-GB"/>
        </w:rPr>
        <w:t>“</w:t>
      </w:r>
      <w:r>
        <w:rPr/>
        <w:t>For the purposes of this clause the word "Commodity" means any tangible or intangible commodity of any type or description (including, without limitation, electric power, electric power capacity, petroleum, natural gas, natural gas liquids, and by-products thereof).”</w:t>
      </w:r>
    </w:p>
    <w:p>
      <w:pPr>
        <w:pStyle w:val="Normal"/>
        <w:widowControl/>
        <w:spacing w:before="0" w:after="240"/>
        <w:ind w:start="720" w:end="456"/>
        <w:jc w:val="both"/>
        <w:rPr>
          <w:sz w:val="22"/>
          <w:szCs w:val="22"/>
        </w:rPr>
      </w:pPr>
      <w:r>
        <w:rPr>
          <w:sz w:val="22"/>
          <w:szCs w:val="22"/>
        </w:rPr>
      </w:r>
    </w:p>
    <w:p>
      <w:pPr>
        <w:pStyle w:val="Normal"/>
        <w:widowControl/>
        <w:spacing w:before="0" w:after="240"/>
        <w:ind w:firstLine="720" w:end="456"/>
        <w:jc w:val="both"/>
        <w:rPr/>
      </w:pPr>
      <w:r>
        <w:rPr>
          <w:sz w:val="22"/>
          <w:szCs w:val="22"/>
        </w:rPr>
        <w:t>(c)</w:t>
        <w:tab/>
      </w:r>
      <w:r>
        <w:rPr/>
        <w:t>The "</w:t>
      </w:r>
      <w:r>
        <w:rPr>
          <w:b/>
          <w:bCs/>
        </w:rPr>
        <w:t>Cross Default</w:t>
      </w:r>
      <w:r>
        <w:rPr/>
        <w:t>" provisions of Section 5(a)(vi) will apply to both parties subject to amendment by adding at the end thereof the following words:</w:t>
      </w:r>
    </w:p>
    <w:p>
      <w:pPr>
        <w:pStyle w:val="Normal"/>
        <w:widowControl/>
        <w:spacing w:before="0" w:after="240"/>
        <w:ind w:start="720" w:end="456"/>
        <w:jc w:val="both"/>
        <w:rPr>
          <w:sz w:val="22"/>
          <w:szCs w:val="22"/>
        </w:rPr>
      </w:pPr>
      <w:r>
        <w:rPr/>
        <w:t>“</w:t>
      </w:r>
      <w:r>
        <w:rPr/>
        <w:t>and in either case, the other party determines in good faith that it has reasonable grounds to conclude that the performance by such party of its financial obligations hereunder is endangered.”</w:t>
      </w:r>
    </w:p>
    <w:p>
      <w:pPr>
        <w:pStyle w:val="Normal"/>
        <w:widowControl/>
        <w:spacing w:before="0" w:after="240"/>
        <w:ind w:start="720" w:end="456"/>
        <w:jc w:val="both"/>
        <w:rPr>
          <w:sz w:val="22"/>
          <w:szCs w:val="22"/>
        </w:rPr>
      </w:pPr>
      <w:r>
        <w:rPr>
          <w:b/>
          <w:bCs/>
          <w:sz w:val="22"/>
          <w:szCs w:val="22"/>
        </w:rPr>
        <w:t>“</w:t>
      </w:r>
      <w:r>
        <w:rPr>
          <w:b/>
          <w:bCs/>
          <w:sz w:val="22"/>
          <w:szCs w:val="22"/>
        </w:rPr>
        <w:t>Threshold Amount”</w:t>
      </w:r>
      <w:r>
        <w:rPr>
          <w:sz w:val="22"/>
          <w:szCs w:val="22"/>
        </w:rPr>
        <w:t xml:space="preserve"> means:  with respect to Party A, U.S. $100,000,000 (or its equivalent in another currency); with respect to Party A’s Credit Support Provider, U.S. $100,000,000 (or its equivalent in another currency); and with respect to Party B, U.S. $25,000,000 (or its equivalent in another currency)</w:t>
      </w:r>
      <w:r>
        <w:rPr>
          <w:color w:val="000000"/>
          <w:sz w:val="22"/>
          <w:szCs w:val="22"/>
        </w:rPr>
        <w:t xml:space="preserve">; </w:t>
      </w:r>
      <w:r>
        <w:rPr>
          <w:sz w:val="22"/>
          <w:szCs w:val="22"/>
          <w:u w:val="single"/>
        </w:rPr>
        <w:t>provided</w:t>
      </w:r>
      <w:r>
        <w:rPr>
          <w:sz w:val="22"/>
          <w:szCs w:val="22"/>
        </w:rPr>
        <w:t xml:space="preserve">, </w:t>
      </w:r>
      <w:r>
        <w:rPr>
          <w:sz w:val="22"/>
          <w:szCs w:val="22"/>
          <w:u w:val="single"/>
        </w:rPr>
        <w:t>that</w:t>
      </w:r>
      <w:r>
        <w:rPr>
          <w:sz w:val="22"/>
          <w:szCs w:val="22"/>
        </w:rPr>
        <w:t>, such Threshold Amount shall apply individually and not collectively with respect to each entity set forth above notwithstanding anything to the contrary set forth in Section 5(a)(vi) of the Master Agreement</w:t>
      </w:r>
      <w:r>
        <w:rPr>
          <w:color w:val="000000"/>
          <w:sz w:val="22"/>
          <w:szCs w:val="22"/>
        </w:rPr>
        <w:t>.</w:t>
      </w:r>
    </w:p>
    <w:p>
      <w:pPr>
        <w:pStyle w:val="Normal"/>
        <w:widowControl/>
        <w:spacing w:before="0" w:after="240"/>
        <w:ind w:firstLine="720" w:end="456"/>
        <w:jc w:val="both"/>
        <w:rPr/>
      </w:pPr>
      <w:r>
        <w:rPr>
          <w:sz w:val="22"/>
          <w:szCs w:val="22"/>
        </w:rPr>
        <w:t>(c)</w:t>
        <w:tab/>
        <w:t xml:space="preserve">The </w:t>
      </w:r>
      <w:r>
        <w:rPr>
          <w:b/>
          <w:bCs/>
          <w:sz w:val="22"/>
          <w:szCs w:val="22"/>
        </w:rPr>
        <w:t>“Credit Event Upon Merger”</w:t>
      </w:r>
      <w:r>
        <w:rPr>
          <w:sz w:val="22"/>
          <w:szCs w:val="22"/>
        </w:rPr>
        <w:t xml:space="preserve"> provisions of Section 5(b)(iv) as amended below will apply to Party A and to Party B.</w:t>
      </w:r>
    </w:p>
    <w:p>
      <w:pPr>
        <w:pStyle w:val="Normal"/>
        <w:widowControl/>
        <w:spacing w:lineRule="exact" w:line="240" w:before="240" w:after="0"/>
        <w:ind w:firstLine="720" w:end="0"/>
        <w:jc w:val="both"/>
        <w:rPr/>
      </w:pPr>
      <w:r>
        <w:rPr>
          <w:sz w:val="22"/>
          <w:szCs w:val="22"/>
        </w:rPr>
        <w:t>(d)</w:t>
        <w:tab/>
        <w:t xml:space="preserve">The </w:t>
      </w:r>
      <w:r>
        <w:rPr>
          <w:b/>
          <w:bCs/>
          <w:sz w:val="22"/>
          <w:szCs w:val="22"/>
        </w:rPr>
        <w:t>“Automatic Early Termination”</w:t>
      </w:r>
      <w:r>
        <w:rPr>
          <w:sz w:val="22"/>
          <w:szCs w:val="22"/>
        </w:rPr>
        <w:t xml:space="preserve"> provision of Section 6(a) will not apply to Party A or to Party B.</w:t>
      </w:r>
    </w:p>
    <w:p>
      <w:pPr>
        <w:pStyle w:val="Normal"/>
        <w:widowControl/>
        <w:spacing w:lineRule="exact" w:line="240" w:before="240" w:after="0"/>
        <w:ind w:firstLine="720" w:end="0"/>
        <w:jc w:val="both"/>
        <w:rPr/>
      </w:pPr>
      <w:r>
        <w:rPr>
          <w:sz w:val="22"/>
          <w:szCs w:val="22"/>
        </w:rPr>
        <w:t>(e)</w:t>
        <w:tab/>
      </w:r>
      <w:r>
        <w:rPr>
          <w:b/>
          <w:bCs/>
          <w:sz w:val="22"/>
          <w:szCs w:val="22"/>
        </w:rPr>
        <w:t>Payments on Early Termination.</w:t>
      </w:r>
      <w:r>
        <w:rPr>
          <w:sz w:val="22"/>
          <w:szCs w:val="22"/>
        </w:rPr>
        <w:t xml:space="preserve">  For the purpose of Section 6(e):  (i) Market Quotation will apply, and (ii) the Second Method will apply.</w:t>
      </w:r>
    </w:p>
    <w:p>
      <w:pPr>
        <w:pStyle w:val="Normal"/>
        <w:widowControl/>
        <w:spacing w:lineRule="exact" w:line="240" w:before="240" w:after="0"/>
        <w:ind w:firstLine="720" w:end="0"/>
        <w:jc w:val="both"/>
        <w:rPr/>
      </w:pPr>
      <w:r>
        <w:rPr>
          <w:sz w:val="22"/>
          <w:szCs w:val="22"/>
        </w:rPr>
        <w:t>(f)</w:t>
        <w:tab/>
      </w:r>
      <w:r>
        <w:rPr>
          <w:b/>
          <w:bCs/>
          <w:sz w:val="22"/>
          <w:szCs w:val="22"/>
        </w:rPr>
        <w:t>“Termination Currency”</w:t>
      </w:r>
      <w:r>
        <w:rPr>
          <w:sz w:val="22"/>
          <w:szCs w:val="22"/>
        </w:rPr>
        <w:t xml:space="preserve"> means United States Dollars.</w:t>
      </w:r>
    </w:p>
    <w:p>
      <w:pPr>
        <w:pStyle w:val="Normal"/>
        <w:widowControl/>
        <w:spacing w:lineRule="exact" w:line="240" w:before="240" w:after="0"/>
        <w:ind w:firstLine="720" w:end="0"/>
        <w:jc w:val="both"/>
        <w:rPr/>
      </w:pPr>
      <w:r>
        <w:rPr>
          <w:sz w:val="22"/>
          <w:szCs w:val="22"/>
        </w:rPr>
        <w:t>(g)</w:t>
        <w:tab/>
        <w:t>Section 5(b)(iv) is hereby amended by (i)</w:t>
      </w:r>
      <w:r>
        <w:rPr>
          <w:color w:val="FF00FF"/>
          <w:sz w:val="22"/>
          <w:szCs w:val="22"/>
        </w:rPr>
        <w:t xml:space="preserve"> </w:t>
      </w:r>
      <w:r>
        <w:rPr>
          <w:sz w:val="22"/>
          <w:szCs w:val="22"/>
        </w:rPr>
        <w:t>adding the following phrase between the closing parenthesis and the semicolon at the end thereof:  “</w:t>
      </w:r>
      <w:r>
        <w:rPr>
          <w:sz w:val="22"/>
          <w:szCs w:val="22"/>
          <w:u w:val="single"/>
        </w:rPr>
        <w:t>provided</w:t>
      </w:r>
      <w:r>
        <w:rPr>
          <w:sz w:val="22"/>
          <w:szCs w:val="22"/>
        </w:rPr>
        <w:t xml:space="preserve">, </w:t>
      </w:r>
      <w:r>
        <w:rPr>
          <w:sz w:val="22"/>
          <w:szCs w:val="22"/>
          <w:u w:val="single"/>
        </w:rPr>
        <w:t>however</w:t>
      </w:r>
      <w:r>
        <w:rPr>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sz w:val="22"/>
          <w:szCs w:val="22"/>
          <w:u w:val="single"/>
        </w:rPr>
        <w:t>Annex A</w:t>
      </w:r>
      <w:r>
        <w:rPr>
          <w:sz w:val="22"/>
          <w:szCs w:val="22"/>
        </w:rPr>
        <w:t xml:space="preserve">, but it shall be otherwise administered under </w:t>
      </w:r>
      <w:r>
        <w:rPr>
          <w:sz w:val="22"/>
          <w:szCs w:val="22"/>
          <w:u w:val="single"/>
        </w:rPr>
        <w:t>Annex A</w:t>
      </w:r>
      <w:r>
        <w:rPr>
          <w:sz w:val="22"/>
          <w:szCs w:val="22"/>
        </w:rPr>
        <w:t>.”</w:t>
      </w:r>
    </w:p>
    <w:p>
      <w:pPr>
        <w:pStyle w:val="Normal"/>
        <w:widowControl/>
        <w:spacing w:lineRule="exact" w:line="240" w:before="240" w:after="0"/>
        <w:ind w:firstLine="720" w:end="0"/>
        <w:jc w:val="both"/>
        <w:rPr/>
      </w:pPr>
      <w:r>
        <w:rPr>
          <w:sz w:val="22"/>
          <w:szCs w:val="22"/>
        </w:rPr>
        <w:t>(h)</w:t>
      </w:r>
      <w:r>
        <w:rPr>
          <w:b/>
          <w:bCs/>
          <w:sz w:val="22"/>
          <w:szCs w:val="22"/>
        </w:rPr>
        <w:tab/>
        <w:t>“Contractual Currency”</w:t>
      </w:r>
      <w:r>
        <w:rPr>
          <w:sz w:val="22"/>
          <w:szCs w:val="22"/>
        </w:rPr>
        <w:t xml:space="preserve"> unless otherwise specified in a Confirmation, shall mean United States Dollars.</w:t>
      </w:r>
    </w:p>
    <w:p>
      <w:pPr>
        <w:pStyle w:val="Normal"/>
        <w:widowControl/>
        <w:spacing w:lineRule="exact" w:line="240" w:before="480" w:after="0"/>
        <w:jc w:val="both"/>
        <w:rPr>
          <w:b/>
          <w:bCs/>
          <w:sz w:val="22"/>
          <w:szCs w:val="22"/>
        </w:rPr>
      </w:pPr>
      <w:r>
        <w:rPr>
          <w:b/>
          <w:bCs/>
          <w:sz w:val="22"/>
          <w:szCs w:val="22"/>
        </w:rPr>
        <w:t>Part 2.  Tax Representations.</w:t>
      </w:r>
    </w:p>
    <w:p>
      <w:pPr>
        <w:pStyle w:val="Normal"/>
        <w:widowControl/>
        <w:spacing w:lineRule="exact" w:line="240" w:before="240" w:after="0"/>
        <w:ind w:hanging="720" w:start="720" w:end="0"/>
        <w:jc w:val="both"/>
        <w:rPr/>
      </w:pPr>
      <w:r>
        <w:rPr>
          <w:b/>
          <w:bCs/>
          <w:sz w:val="22"/>
          <w:szCs w:val="22"/>
        </w:rPr>
        <w:t>(a)</w:t>
        <w:tab/>
        <w:t xml:space="preserve">Payer Representations.  </w:t>
      </w:r>
      <w:r>
        <w:rPr>
          <w:sz w:val="22"/>
          <w:szCs w:val="22"/>
        </w:rPr>
        <w:t>For the purpose of Section 3(e), Party A and Party B make the following representation:</w:t>
      </w:r>
    </w:p>
    <w:p>
      <w:pPr>
        <w:pStyle w:val="Normal"/>
        <w:widowControl/>
        <w:spacing w:lineRule="exact" w:line="240" w:before="240" w:after="0"/>
        <w:ind w:start="720" w:end="0"/>
        <w:jc w:val="both"/>
        <w:rPr/>
      </w:pPr>
      <w:r>
        <w:rPr>
          <w:sz w:val="22"/>
          <w:szCs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iCs/>
          <w:sz w:val="22"/>
          <w:szCs w:val="22"/>
        </w:rPr>
        <w:t>provided</w:t>
      </w:r>
      <w:r>
        <w:rPr>
          <w:sz w:val="22"/>
          <w:szCs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spacing w:lineRule="exact" w:line="240" w:before="240" w:after="0"/>
        <w:ind w:hanging="720" w:start="720" w:end="0"/>
        <w:jc w:val="both"/>
        <w:rPr/>
      </w:pPr>
      <w:r>
        <w:rPr>
          <w:b/>
          <w:bCs/>
          <w:sz w:val="22"/>
          <w:szCs w:val="22"/>
        </w:rPr>
        <w:t>(b)</w:t>
        <w:tab/>
        <w:t>Payee Representations.</w:t>
      </w:r>
      <w:r>
        <w:rPr>
          <w:sz w:val="22"/>
          <w:szCs w:val="22"/>
        </w:rPr>
        <w:t xml:space="preserve">  For the purpose of Section 3(f), Party A and Party B make the following representations:</w:t>
      </w:r>
    </w:p>
    <w:p>
      <w:pPr>
        <w:pStyle w:val="Normal"/>
        <w:widowControl/>
        <w:spacing w:lineRule="exact" w:line="240" w:before="240" w:after="0"/>
        <w:ind w:hanging="720" w:start="900" w:end="0"/>
        <w:jc w:val="both"/>
        <w:rPr>
          <w:sz w:val="22"/>
          <w:szCs w:val="22"/>
        </w:rPr>
      </w:pPr>
      <w:r>
        <w:rPr>
          <w:sz w:val="22"/>
          <w:szCs w:val="22"/>
        </w:rPr>
        <w:t>(i)</w:t>
        <w:tab/>
        <w:t>The following representation applies to Party A:</w:t>
      </w:r>
    </w:p>
    <w:p>
      <w:pPr>
        <w:pStyle w:val="Normal"/>
        <w:widowControl/>
        <w:spacing w:lineRule="exact" w:line="240" w:before="240" w:after="0"/>
        <w:ind w:start="900" w:end="0"/>
        <w:jc w:val="both"/>
        <w:rPr>
          <w:sz w:val="22"/>
          <w:szCs w:val="22"/>
        </w:rPr>
      </w:pPr>
      <w:r>
        <w:rPr>
          <w:sz w:val="22"/>
          <w:szCs w:val="22"/>
        </w:rPr>
        <w:t>Party A is a corporation organized under the laws of the State of Delaware.</w:t>
      </w:r>
    </w:p>
    <w:p>
      <w:pPr>
        <w:pStyle w:val="Normal"/>
        <w:widowControl/>
        <w:spacing w:lineRule="exact" w:line="240" w:before="240" w:after="0"/>
        <w:ind w:hanging="720" w:start="900" w:end="0"/>
        <w:jc w:val="both"/>
        <w:rPr>
          <w:sz w:val="22"/>
          <w:szCs w:val="22"/>
        </w:rPr>
      </w:pPr>
      <w:r>
        <w:rPr>
          <w:sz w:val="22"/>
          <w:szCs w:val="22"/>
        </w:rPr>
        <w:t>(ii)</w:t>
        <w:tab/>
        <w:t>The following representation applies to Party B:</w:t>
      </w:r>
    </w:p>
    <w:p>
      <w:pPr>
        <w:pStyle w:val="Normal"/>
        <w:widowControl/>
        <w:spacing w:lineRule="exact" w:line="240" w:before="240" w:after="0"/>
        <w:ind w:start="900" w:end="0"/>
        <w:jc w:val="both"/>
        <w:rPr>
          <w:sz w:val="22"/>
          <w:szCs w:val="22"/>
        </w:rPr>
      </w:pPr>
      <w:r>
        <w:rPr>
          <w:sz w:val="22"/>
          <w:szCs w:val="22"/>
        </w:rPr>
        <w:t>Party B is a limited partnership organized under the laws of the State of  Delaware.</w:t>
      </w:r>
    </w:p>
    <w:p>
      <w:pPr>
        <w:pStyle w:val="Normal"/>
        <w:widowControl/>
        <w:spacing w:lineRule="exact" w:line="240" w:before="480" w:after="0"/>
        <w:jc w:val="both"/>
        <w:rPr>
          <w:sz w:val="22"/>
          <w:szCs w:val="22"/>
        </w:rPr>
      </w:pPr>
      <w:r>
        <w:rPr>
          <w:b/>
          <w:bCs/>
          <w:sz w:val="22"/>
          <w:szCs w:val="22"/>
        </w:rPr>
        <w:t>Part 3.  Agreement to Deliver Documents.</w:t>
      </w:r>
    </w:p>
    <w:p>
      <w:pPr>
        <w:pStyle w:val="Normal"/>
        <w:widowControl/>
        <w:spacing w:lineRule="exact" w:line="240" w:before="240" w:after="0"/>
        <w:ind w:firstLine="720" w:end="0"/>
        <w:jc w:val="both"/>
        <w:rPr>
          <w:sz w:val="22"/>
          <w:szCs w:val="22"/>
        </w:rPr>
      </w:pPr>
      <w:r>
        <w:rPr>
          <w:sz w:val="22"/>
          <w:szCs w:val="22"/>
        </w:rPr>
        <w:t>For the purpose of Section 4(a), each party agrees to deliver the following documents, as applicable:</w:t>
      </w:r>
    </w:p>
    <w:p>
      <w:pPr>
        <w:pStyle w:val="Normal"/>
        <w:widowControl/>
        <w:spacing w:lineRule="exact" w:line="240" w:before="240" w:after="0"/>
        <w:ind w:firstLine="720" w:end="0"/>
        <w:jc w:val="both"/>
        <w:rPr>
          <w:color w:val="000000"/>
          <w:sz w:val="22"/>
          <w:szCs w:val="22"/>
        </w:rPr>
      </w:pPr>
      <w:r>
        <w:rPr>
          <w:color w:val="000000"/>
          <w:sz w:val="22"/>
          <w:szCs w:val="22"/>
        </w:rPr>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tcPr>
          <w:p>
            <w:pPr>
              <w:pStyle w:val="Normal"/>
              <w:widowControl/>
              <w:spacing w:lineRule="atLeast" w:line="240" w:before="240" w:after="0"/>
              <w:rPr>
                <w:sz w:val="22"/>
                <w:szCs w:val="22"/>
              </w:rPr>
            </w:pPr>
            <w:r>
              <w:rPr>
                <w:b/>
                <w:bCs/>
                <w:sz w:val="22"/>
                <w:szCs w:val="22"/>
              </w:rPr>
              <w:t xml:space="preserve">Party required to deliver </w:t>
            </w:r>
            <w:r>
              <w:rPr>
                <w:b/>
                <w:bCs/>
                <w:sz w:val="22"/>
                <w:szCs w:val="22"/>
                <w:u w:val="single"/>
              </w:rPr>
              <w:t>document</w:t>
            </w:r>
          </w:p>
        </w:tc>
        <w:tc>
          <w:tcPr>
            <w:tcW w:w="3886" w:type="dxa"/>
            <w:tcBorders/>
          </w:tcPr>
          <w:p>
            <w:pPr>
              <w:pStyle w:val="Normal"/>
              <w:widowControl/>
              <w:spacing w:lineRule="atLeast" w:line="240" w:before="240" w:after="0"/>
              <w:rPr>
                <w:sz w:val="22"/>
                <w:szCs w:val="22"/>
                <w:u w:val="single"/>
              </w:rPr>
            </w:pPr>
            <w:r>
              <w:rPr>
                <w:b/>
                <w:bCs/>
                <w:sz w:val="22"/>
                <w:szCs w:val="22"/>
                <w:u w:val="single"/>
              </w:rPr>
              <w:t>Form/Document/Certificate</w:t>
            </w:r>
          </w:p>
        </w:tc>
        <w:tc>
          <w:tcPr>
            <w:tcW w:w="2228" w:type="dxa"/>
            <w:tcBorders/>
          </w:tcPr>
          <w:p>
            <w:pPr>
              <w:pStyle w:val="Normal"/>
              <w:widowControl/>
              <w:spacing w:lineRule="atLeast" w:line="240" w:before="240" w:after="0"/>
              <w:rPr>
                <w:sz w:val="22"/>
                <w:szCs w:val="22"/>
              </w:rPr>
            </w:pPr>
            <w:r>
              <w:rPr>
                <w:b/>
                <w:bCs/>
                <w:sz w:val="22"/>
                <w:szCs w:val="22"/>
              </w:rPr>
              <w:t xml:space="preserve">Date by which to </w:t>
            </w:r>
            <w:r>
              <w:rPr>
                <w:b/>
                <w:bCs/>
                <w:sz w:val="22"/>
                <w:szCs w:val="22"/>
                <w:u w:val="single"/>
              </w:rPr>
              <w:t>be delivered</w:t>
            </w:r>
          </w:p>
        </w:tc>
        <w:tc>
          <w:tcPr>
            <w:tcW w:w="1985" w:type="dxa"/>
            <w:tcBorders/>
          </w:tcPr>
          <w:p>
            <w:pPr>
              <w:pStyle w:val="Normal"/>
              <w:widowControl/>
              <w:spacing w:lineRule="atLeast" w:line="240" w:before="240" w:after="0"/>
              <w:jc w:val="center"/>
              <w:rPr>
                <w:sz w:val="22"/>
                <w:szCs w:val="22"/>
              </w:rPr>
            </w:pPr>
            <w:r>
              <w:rPr>
                <w:b/>
                <w:bCs/>
                <w:sz w:val="22"/>
                <w:szCs w:val="22"/>
              </w:rPr>
              <w:t xml:space="preserve">Covered by Section 3(d) </w:t>
            </w:r>
            <w:r>
              <w:rPr>
                <w:b/>
                <w:bCs/>
                <w:sz w:val="22"/>
                <w:szCs w:val="22"/>
                <w:u w:val="single"/>
              </w:rPr>
              <w:t>Representation</w:t>
            </w:r>
          </w:p>
        </w:tc>
      </w:tr>
      <w:tr>
        <w:trPr/>
        <w:tc>
          <w:tcPr>
            <w:tcW w:w="1837" w:type="dxa"/>
            <w:tcBorders/>
          </w:tcPr>
          <w:p>
            <w:pPr>
              <w:pStyle w:val="Normal"/>
              <w:widowControl/>
              <w:spacing w:lineRule="atLeast" w:line="240" w:before="240" w:after="0"/>
              <w:jc w:val="both"/>
              <w:rPr>
                <w:b/>
                <w:bCs/>
                <w:sz w:val="22"/>
                <w:szCs w:val="22"/>
              </w:rPr>
            </w:pPr>
            <w:r>
              <w:rPr>
                <w:sz w:val="22"/>
                <w:szCs w:val="22"/>
              </w:rPr>
              <w:t>Party A</w:t>
            </w:r>
          </w:p>
        </w:tc>
        <w:tc>
          <w:tcPr>
            <w:tcW w:w="3886" w:type="dxa"/>
            <w:tcBorders/>
          </w:tcPr>
          <w:p>
            <w:pPr>
              <w:pStyle w:val="Justified"/>
              <w:widowControl/>
              <w:spacing w:lineRule="atLeast" w:line="240" w:before="240" w:after="0"/>
              <w:rPr>
                <w:rFonts w:ascii="Times New Roman" w:hAnsi="Times New Roman" w:eastAsia="Times New Roman" w:cs="Times New Roman"/>
                <w:b/>
                <w:bCs/>
              </w:rPr>
            </w:pPr>
            <w:r>
              <w:rPr>
                <w:rFonts w:eastAsia="Times New Roman" w:cs="Times New Roman" w:ascii="Times New Roman" w:hAnsi="Times New Roman"/>
              </w:rPr>
              <w:t>Duly executed Credit Support Document specified in Part 4(d)</w:t>
            </w:r>
          </w:p>
        </w:tc>
        <w:tc>
          <w:tcPr>
            <w:tcW w:w="2228" w:type="dxa"/>
            <w:tcBorders/>
          </w:tcPr>
          <w:p>
            <w:pPr>
              <w:pStyle w:val="Normal"/>
              <w:widowContro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widowControl/>
              <w:spacing w:lineRule="atLeast" w:line="240" w:before="240" w:after="0"/>
              <w:jc w:val="center"/>
              <w:rPr>
                <w:b/>
                <w:bCs/>
                <w:sz w:val="22"/>
                <w:szCs w:val="22"/>
              </w:rPr>
            </w:pPr>
            <w:r>
              <w:rPr>
                <w:sz w:val="22"/>
                <w:szCs w:val="22"/>
              </w:rPr>
              <w:t>Yes</w:t>
            </w:r>
          </w:p>
        </w:tc>
      </w:tr>
      <w:tr>
        <w:trPr/>
        <w:tc>
          <w:tcPr>
            <w:tcW w:w="1837" w:type="dxa"/>
            <w:tcBorders/>
          </w:tcPr>
          <w:p>
            <w:pPr>
              <w:pStyle w:val="Justified"/>
              <w:keepNext w:val="true"/>
              <w:widowControl/>
              <w:spacing w:lineRule="atLeast" w:line="240" w:before="240" w:after="0"/>
              <w:rPr>
                <w:rFonts w:ascii="Times New Roman" w:hAnsi="Times New Roman" w:eastAsia="Times New Roman" w:cs="Times New Roman"/>
              </w:rPr>
            </w:pPr>
            <w:r>
              <w:rPr>
                <w:rFonts w:eastAsia="Times New Roman" w:cs="Times New Roman" w:ascii="Times New Roman" w:hAnsi="Times New Roman"/>
              </w:rPr>
              <w:t>Party A and Party B</w:t>
            </w:r>
          </w:p>
        </w:tc>
        <w:tc>
          <w:tcPr>
            <w:tcW w:w="3886" w:type="dxa"/>
            <w:tcBorders/>
          </w:tcPr>
          <w:p>
            <w:pPr>
              <w:pStyle w:val="Normal"/>
              <w:widowControl/>
              <w:tabs>
                <w:tab w:val="clear" w:pos="720"/>
                <w:tab w:val="left" w:pos="990" w:leader="none"/>
              </w:tabs>
              <w:spacing w:lineRule="exact" w:line="240" w:before="240" w:after="0"/>
              <w:jc w:val="both"/>
              <w:rPr>
                <w:color w:val="FF0000"/>
                <w:sz w:val="22"/>
                <w:szCs w:val="22"/>
              </w:rPr>
            </w:pPr>
            <w:r>
              <w:rPr>
                <w:sz w:val="22"/>
                <w:szCs w:val="22"/>
              </w:rPr>
              <w:t>United States Internal Revenue Service Form W</w:t>
              <w:noBreakHyphen/>
              <w:t>9</w:t>
            </w:r>
          </w:p>
          <w:p>
            <w:pPr>
              <w:pStyle w:val="Justified"/>
              <w:keepNext w:val="true"/>
              <w:widowControl/>
              <w:spacing w:lineRule="atLeast" w:line="240" w:before="240" w:after="0"/>
              <w:rPr>
                <w:rFonts w:ascii="Times New Roman" w:hAnsi="Times New Roman" w:eastAsia="Times New Roman" w:cs="Times New Roman"/>
                <w:color w:val="FF0000"/>
                <w:sz w:val="22"/>
                <w:szCs w:val="22"/>
              </w:rPr>
            </w:pPr>
            <w:r>
              <w:rPr>
                <w:rFonts w:eastAsia="Times New Roman" w:cs="Times New Roman" w:ascii="Times New Roman" w:hAnsi="Times New Roman"/>
                <w:color w:val="FF0000"/>
                <w:sz w:val="22"/>
                <w:szCs w:val="22"/>
              </w:rPr>
            </w:r>
          </w:p>
        </w:tc>
        <w:tc>
          <w:tcPr>
            <w:tcW w:w="2228" w:type="dxa"/>
            <w:tcBorders/>
          </w:tcPr>
          <w:p>
            <w:pPr>
              <w:pStyle w:val="Normal"/>
              <w:keepNext w:val="true"/>
              <w:widowControl/>
              <w:spacing w:lineRule="atLeast" w:line="240" w:before="240" w:after="0"/>
              <w:jc w:val="both"/>
              <w:rPr>
                <w:sz w:val="22"/>
                <w:szCs w:val="22"/>
              </w:rPr>
            </w:pPr>
            <w:r>
              <w:rPr>
                <w:sz w:val="22"/>
                <w:szCs w:val="22"/>
              </w:rPr>
              <w:t xml:space="preserve">At execution of this Master Agreement and as otherwise provided in this Part 3 </w:t>
            </w:r>
          </w:p>
        </w:tc>
        <w:tc>
          <w:tcPr>
            <w:tcW w:w="1985" w:type="dxa"/>
            <w:tcBorders/>
          </w:tcPr>
          <w:p>
            <w:pPr>
              <w:pStyle w:val="Justified"/>
              <w:keepNext w:val="true"/>
              <w:widowControl/>
              <w:spacing w:lineRule="atLeast" w:line="240" w:before="240" w:after="0"/>
              <w:jc w:val="center"/>
              <w:rPr>
                <w:rFonts w:ascii="Times New Roman" w:hAnsi="Times New Roman" w:eastAsia="Times New Roman" w:cs="Times New Roman"/>
              </w:rPr>
            </w:pPr>
            <w:r>
              <w:rPr>
                <w:rFonts w:eastAsia="Times New Roman" w:cs="Times New Roman" w:ascii="Times New Roman" w:hAnsi="Times New Roman"/>
              </w:rPr>
              <w:t>Yes</w:t>
            </w:r>
          </w:p>
        </w:tc>
      </w:tr>
      <w:tr>
        <w:trPr/>
        <w:tc>
          <w:tcPr>
            <w:tcW w:w="1837" w:type="dxa"/>
            <w:tcBorders/>
          </w:tcPr>
          <w:p>
            <w:pPr>
              <w:pStyle w:val="Normal"/>
              <w:widowContro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eastAsia="Times New Roman" w:cs="Times New Roman"/>
                <w:b/>
                <w:bCs/>
              </w:rPr>
            </w:pPr>
            <w:r>
              <w:rPr>
                <w:rFonts w:eastAsia="Times New Roman" w:cs="Times New Roman" w:ascii="Times New Roman" w:hAnsi="Times New Roman"/>
              </w:rPr>
              <w:t>Evidence of authority and specimen signatures with respect to the party’s and its Credit Support Provider’s (if any) signatories executing this Agreement or any Credit Support Document</w:t>
            </w:r>
          </w:p>
        </w:tc>
        <w:tc>
          <w:tcPr>
            <w:tcW w:w="2228" w:type="dxa"/>
            <w:tcBorders/>
          </w:tcPr>
          <w:p>
            <w:pPr>
              <w:pStyle w:val="Normal"/>
              <w:widowControl/>
              <w:spacing w:lineRule="atLeast" w:line="240" w:before="240" w:after="0"/>
              <w:jc w:val="both"/>
              <w:rPr>
                <w:b/>
                <w:bCs/>
                <w:sz w:val="22"/>
                <w:szCs w:val="22"/>
              </w:rPr>
            </w:pPr>
            <w:r>
              <w:rPr>
                <w:sz w:val="22"/>
                <w:szCs w:val="22"/>
              </w:rPr>
              <w:t>At execution of this Master Agreement</w:t>
            </w:r>
          </w:p>
        </w:tc>
        <w:tc>
          <w:tcPr>
            <w:tcW w:w="1985" w:type="dxa"/>
            <w:tcBorders/>
          </w:tcPr>
          <w:p>
            <w:pPr>
              <w:pStyle w:val="Normal"/>
              <w:widowControl/>
              <w:spacing w:lineRule="atLeast" w:line="240" w:before="240" w:after="0"/>
              <w:jc w:val="center"/>
              <w:rPr>
                <w:b/>
                <w:bCs/>
                <w:sz w:val="22"/>
                <w:szCs w:val="22"/>
              </w:rPr>
            </w:pPr>
            <w:r>
              <w:rPr>
                <w:sz w:val="22"/>
                <w:szCs w:val="22"/>
              </w:rPr>
              <w:t>Yes</w:t>
            </w:r>
          </w:p>
        </w:tc>
      </w:tr>
      <w:tr>
        <w:trPr/>
        <w:tc>
          <w:tcPr>
            <w:tcW w:w="1837" w:type="dxa"/>
            <w:tcBorders/>
          </w:tcPr>
          <w:p>
            <w:pPr>
              <w:pStyle w:val="Normal"/>
              <w:widowControl/>
              <w:spacing w:lineRule="atLeast" w:line="240" w:before="240" w:after="0"/>
              <w:jc w:val="both"/>
              <w:rPr>
                <w:sz w:val="22"/>
                <w:szCs w:val="22"/>
              </w:rPr>
            </w:pPr>
            <w:r>
              <w:rPr>
                <w:sz w:val="22"/>
                <w:szCs w:val="22"/>
              </w:rPr>
              <w:t>Party A and Party B</w:t>
            </w:r>
          </w:p>
        </w:tc>
        <w:tc>
          <w:tcPr>
            <w:tcW w:w="3886" w:type="dxa"/>
            <w:tcBorders/>
          </w:tcPr>
          <w:p>
            <w:pPr>
              <w:pStyle w:val="Justified"/>
              <w:widowControl/>
              <w:spacing w:lineRule="atLeast" w:line="240" w:before="240" w:after="0"/>
              <w:rPr>
                <w:rFonts w:ascii="Times New Roman" w:hAnsi="Times New Roman" w:eastAsia="Times New Roman" w:cs="Times New Roman"/>
                <w:color w:val="800000"/>
              </w:rPr>
            </w:pPr>
            <w:r>
              <w:rPr>
                <w:rFonts w:eastAsia="Times New Roman" w:cs="Times New Roman" w:ascii="Times New Roman" w:hAnsi="Times New Roman"/>
              </w:rPr>
              <w:t>A Certificate certifying (a) resolutions of each party’s and its Credit Support Provider’s (if any) board of directors (or other governing body) (i) authorizing this Agreement and the Transactions contemplated hereby (or the Credit Support Document, as the case may be) and (ii) authorizing a specified person or persons to execute and deliver on its behalf this Agreement (or the Credit Support Document, as the case may be), and (b) copies of each party’s and its Credit Support Provider’s (if any) articles of incorporation and bylaws (or other constituent documents) (or in the case of Party B, its certificate of limited partnership and partnership agreement or other constituent documents)</w:t>
            </w:r>
          </w:p>
        </w:tc>
        <w:tc>
          <w:tcPr>
            <w:tcW w:w="2228" w:type="dxa"/>
            <w:tcBorders/>
          </w:tcPr>
          <w:p>
            <w:pPr>
              <w:pStyle w:val="Justified"/>
              <w:widowControl/>
              <w:spacing w:lineRule="atLeast" w:line="240" w:before="240" w:after="0"/>
              <w:rPr>
                <w:rFonts w:ascii="Times New Roman" w:hAnsi="Times New Roman" w:eastAsia="Times New Roman" w:cs="Times New Roman"/>
                <w:b/>
                <w:bCs/>
              </w:rPr>
            </w:pPr>
            <w:r>
              <w:rPr>
                <w:rFonts w:eastAsia="Times New Roman" w:cs="Times New Roman" w:ascii="Times New Roman" w:hAnsi="Times New Roman"/>
              </w:rPr>
              <w:t>At execution of this Master Agreement</w:t>
            </w:r>
          </w:p>
        </w:tc>
        <w:tc>
          <w:tcPr>
            <w:tcW w:w="1985" w:type="dxa"/>
            <w:tcBorders/>
          </w:tcPr>
          <w:p>
            <w:pPr>
              <w:pStyle w:val="Normal"/>
              <w:widowControl/>
              <w:spacing w:lineRule="atLeast" w:line="240" w:before="240" w:after="0"/>
              <w:jc w:val="center"/>
              <w:rPr>
                <w:b/>
                <w:bCs/>
                <w:sz w:val="22"/>
                <w:szCs w:val="22"/>
              </w:rPr>
            </w:pPr>
            <w:r>
              <w:rPr>
                <w:sz w:val="22"/>
                <w:szCs w:val="22"/>
              </w:rPr>
              <w:t>Yes</w:t>
            </w:r>
          </w:p>
        </w:tc>
      </w:tr>
      <w:tr>
        <w:trPr/>
        <w:tc>
          <w:tcPr>
            <w:tcW w:w="1837" w:type="dxa"/>
            <w:tcBorders/>
          </w:tcPr>
          <w:p>
            <w:pPr>
              <w:pStyle w:val="Normal"/>
              <w:widowControl/>
              <w:spacing w:lineRule="atLeast" w:line="240" w:before="240" w:after="0"/>
              <w:jc w:val="both"/>
              <w:rPr>
                <w:sz w:val="22"/>
                <w:szCs w:val="22"/>
              </w:rPr>
            </w:pPr>
            <w:r>
              <w:rPr>
                <w:sz w:val="22"/>
                <w:szCs w:val="22"/>
              </w:rPr>
              <w:t>Party A</w:t>
            </w:r>
          </w:p>
        </w:tc>
        <w:tc>
          <w:tcPr>
            <w:tcW w:w="3886" w:type="dxa"/>
            <w:tcBorders/>
          </w:tcPr>
          <w:p>
            <w:pPr>
              <w:pStyle w:val="Normal"/>
              <w:widowControl/>
              <w:spacing w:lineRule="atLeast" w:line="240" w:before="240" w:after="0"/>
              <w:jc w:val="both"/>
              <w:rPr>
                <w:b/>
                <w:bCs/>
                <w:sz w:val="22"/>
                <w:szCs w:val="22"/>
              </w:rPr>
            </w:pPr>
            <w:r>
              <w:rPr>
                <w:sz w:val="22"/>
                <w:szCs w:val="22"/>
              </w:rPr>
              <w:t>Annual Audited Consolidated Financial Statement of Party A’s Credit Support Provider certified by independent public accountants</w:t>
            </w:r>
          </w:p>
        </w:tc>
        <w:tc>
          <w:tcPr>
            <w:tcW w:w="2228" w:type="dxa"/>
            <w:tcBorders/>
          </w:tcPr>
          <w:p>
            <w:pPr>
              <w:pStyle w:val="Justified"/>
              <w:widowControl/>
              <w:spacing w:lineRule="atLeast" w:line="240" w:before="240" w:after="0"/>
              <w:jc w:val="start"/>
              <w:rPr>
                <w:rFonts w:ascii="Times New Roman" w:hAnsi="Times New Roman" w:eastAsia="Times New Roman" w:cs="Times New Roman"/>
                <w:b/>
                <w:bCs/>
              </w:rPr>
            </w:pPr>
            <w:r>
              <w:rPr>
                <w:rFonts w:eastAsia="Times New Roman"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5" w:type="dxa"/>
            <w:tcBorders/>
          </w:tcPr>
          <w:p>
            <w:pPr>
              <w:pStyle w:val="Normal"/>
              <w:widowControl/>
              <w:spacing w:lineRule="atLeast" w:line="240" w:before="240" w:after="0"/>
              <w:jc w:val="center"/>
              <w:rPr>
                <w:b/>
                <w:bCs/>
                <w:sz w:val="22"/>
                <w:szCs w:val="22"/>
              </w:rPr>
            </w:pPr>
            <w:r>
              <w:rPr>
                <w:sz w:val="22"/>
                <w:szCs w:val="22"/>
              </w:rPr>
              <w:t>Yes</w:t>
            </w:r>
          </w:p>
        </w:tc>
      </w:tr>
      <w:tr>
        <w:trPr/>
        <w:tc>
          <w:tcPr>
            <w:tcW w:w="1837" w:type="dxa"/>
            <w:tcBorders/>
          </w:tcPr>
          <w:p>
            <w:pPr>
              <w:pStyle w:val="Normal"/>
              <w:widowControl/>
              <w:spacing w:lineRule="atLeast" w:line="240" w:before="240" w:after="0"/>
              <w:jc w:val="both"/>
              <w:rPr>
                <w:sz w:val="22"/>
                <w:szCs w:val="22"/>
              </w:rPr>
            </w:pPr>
            <w:r>
              <w:rPr>
                <w:sz w:val="22"/>
                <w:szCs w:val="22"/>
              </w:rPr>
              <w:t>Party A</w:t>
            </w:r>
          </w:p>
        </w:tc>
        <w:tc>
          <w:tcPr>
            <w:tcW w:w="3886" w:type="dxa"/>
            <w:tcBorders/>
          </w:tcPr>
          <w:p>
            <w:pPr>
              <w:pStyle w:val="Normal"/>
              <w:widowControl/>
              <w:spacing w:lineRule="atLeast" w:line="240" w:before="240" w:after="0"/>
              <w:jc w:val="both"/>
              <w:rPr>
                <w:b/>
                <w:bCs/>
                <w:sz w:val="22"/>
                <w:szCs w:val="22"/>
              </w:rPr>
            </w:pPr>
            <w:r>
              <w:rPr>
                <w:sz w:val="22"/>
                <w:szCs w:val="22"/>
              </w:rPr>
              <w:t>Quarterly Unaudited Consolidated Financial Statement of Party A’s Credit Support Provider</w:t>
            </w:r>
          </w:p>
        </w:tc>
        <w:tc>
          <w:tcPr>
            <w:tcW w:w="2228" w:type="dxa"/>
            <w:tcBorders/>
          </w:tcPr>
          <w:p>
            <w:pPr>
              <w:pStyle w:val="Justified"/>
              <w:widowControl/>
              <w:spacing w:lineRule="atLeast" w:line="240" w:before="240" w:after="0"/>
              <w:jc w:val="start"/>
              <w:rPr/>
            </w:pPr>
            <w:r>
              <w:rPr>
                <w:rFonts w:eastAsia="Times New Roman"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eastAsia="Times New Roman" w:cs="Times New Roman" w:ascii="Times New Roman" w:hAnsi="Times New Roman"/>
                <w:b/>
                <w:bCs/>
              </w:rPr>
              <w:t xml:space="preserve"> </w:t>
            </w:r>
          </w:p>
        </w:tc>
        <w:tc>
          <w:tcPr>
            <w:tcW w:w="1985" w:type="dxa"/>
            <w:tcBorders/>
          </w:tcPr>
          <w:p>
            <w:pPr>
              <w:pStyle w:val="Normal"/>
              <w:widowControl/>
              <w:spacing w:lineRule="atLeast" w:line="240" w:before="240" w:after="0"/>
              <w:jc w:val="center"/>
              <w:rPr>
                <w:b/>
                <w:bCs/>
                <w:sz w:val="22"/>
                <w:szCs w:val="22"/>
              </w:rPr>
            </w:pPr>
            <w:r>
              <w:rPr>
                <w:sz w:val="22"/>
                <w:szCs w:val="22"/>
              </w:rPr>
              <w:t>Yes</w:t>
            </w:r>
          </w:p>
        </w:tc>
      </w:tr>
      <w:tr>
        <w:trPr/>
        <w:tc>
          <w:tcPr>
            <w:tcW w:w="1837" w:type="dxa"/>
            <w:tcBorders/>
          </w:tcPr>
          <w:p>
            <w:pPr>
              <w:pStyle w:val="Justified"/>
              <w:widowControl/>
              <w:spacing w:lineRule="atLeast" w:line="240" w:before="240" w:after="0"/>
              <w:rPr>
                <w:rFonts w:ascii="Times New Roman" w:hAnsi="Times New Roman" w:eastAsia="Times New Roman" w:cs="Times New Roman"/>
              </w:rPr>
            </w:pPr>
            <w:r>
              <w:rPr>
                <w:rFonts w:eastAsia="Times New Roman" w:cs="Times New Roman" w:ascii="Times New Roman" w:hAnsi="Times New Roman"/>
              </w:rPr>
              <w:t>Party B</w:t>
            </w:r>
          </w:p>
        </w:tc>
        <w:tc>
          <w:tcPr>
            <w:tcW w:w="3886" w:type="dxa"/>
            <w:tcBorders/>
          </w:tcPr>
          <w:p>
            <w:pPr>
              <w:pStyle w:val="Normal"/>
              <w:widowControl/>
              <w:spacing w:lineRule="atLeast" w:line="240" w:before="240" w:after="0"/>
              <w:jc w:val="both"/>
              <w:rPr>
                <w:sz w:val="22"/>
                <w:szCs w:val="22"/>
              </w:rPr>
            </w:pPr>
            <w:r>
              <w:rPr>
                <w:sz w:val="22"/>
                <w:szCs w:val="22"/>
              </w:rPr>
              <w:t>Annual Audited Consolidated Financial Statement of Party B certified by independent public accountants</w:t>
            </w:r>
          </w:p>
        </w:tc>
        <w:tc>
          <w:tcPr>
            <w:tcW w:w="2228" w:type="dxa"/>
            <w:tcBorders/>
          </w:tcPr>
          <w:p>
            <w:pPr>
              <w:pStyle w:val="Justified"/>
              <w:widowControl/>
              <w:spacing w:lineRule="atLeast" w:line="240" w:before="240" w:after="0"/>
              <w:jc w:val="start"/>
              <w:rPr>
                <w:rFonts w:ascii="Times New Roman" w:hAnsi="Times New Roman" w:eastAsia="Times New Roman" w:cs="Times New Roman"/>
              </w:rPr>
            </w:pPr>
            <w:r>
              <w:rPr>
                <w:rFonts w:eastAsia="Times New Roman" w:cs="Times New Roman" w:ascii="Times New Roman" w:hAnsi="Times New Roman"/>
              </w:rPr>
              <w:t>Promptly following demand by Party A, but in no event later than 120 days after the end of each fiscal year of Party B if such Financial Statement is not available on “EDGAR”.</w:t>
            </w:r>
          </w:p>
        </w:tc>
        <w:tc>
          <w:tcPr>
            <w:tcW w:w="1985" w:type="dxa"/>
            <w:tcBorders/>
          </w:tcPr>
          <w:p>
            <w:pPr>
              <w:pStyle w:val="Justified"/>
              <w:widowControl/>
              <w:spacing w:lineRule="atLeast" w:line="240" w:before="240" w:after="0"/>
              <w:jc w:val="center"/>
              <w:rPr>
                <w:rFonts w:ascii="Times New Roman" w:hAnsi="Times New Roman" w:eastAsia="Times New Roman" w:cs="Times New Roman"/>
              </w:rPr>
            </w:pPr>
            <w:r>
              <w:rPr>
                <w:rFonts w:eastAsia="Times New Roman" w:cs="Times New Roman" w:ascii="Times New Roman" w:hAnsi="Times New Roman"/>
              </w:rPr>
              <w:t>Yes</w:t>
            </w:r>
          </w:p>
        </w:tc>
      </w:tr>
      <w:tr>
        <w:trPr/>
        <w:tc>
          <w:tcPr>
            <w:tcW w:w="1837" w:type="dxa"/>
            <w:tcBorders/>
          </w:tcPr>
          <w:p>
            <w:pPr>
              <w:pStyle w:val="Normal"/>
              <w:widowControl/>
              <w:spacing w:lineRule="atLeast" w:line="240" w:before="240" w:after="0"/>
              <w:jc w:val="both"/>
              <w:rPr>
                <w:sz w:val="22"/>
                <w:szCs w:val="22"/>
              </w:rPr>
            </w:pPr>
            <w:r>
              <w:rPr>
                <w:sz w:val="22"/>
                <w:szCs w:val="22"/>
              </w:rPr>
              <w:t>Party B</w:t>
            </w:r>
          </w:p>
        </w:tc>
        <w:tc>
          <w:tcPr>
            <w:tcW w:w="3886" w:type="dxa"/>
            <w:tcBorders/>
          </w:tcPr>
          <w:p>
            <w:pPr>
              <w:pStyle w:val="Normal"/>
              <w:widowControl/>
              <w:spacing w:lineRule="atLeast" w:line="240" w:before="240" w:after="0"/>
              <w:jc w:val="both"/>
              <w:rPr>
                <w:sz w:val="22"/>
                <w:szCs w:val="22"/>
              </w:rPr>
            </w:pPr>
            <w:r>
              <w:rPr>
                <w:sz w:val="22"/>
                <w:szCs w:val="22"/>
              </w:rPr>
              <w:t>Quarterly Unaudited Consolidated Financial Statement of Party B</w:t>
            </w:r>
          </w:p>
        </w:tc>
        <w:tc>
          <w:tcPr>
            <w:tcW w:w="2228" w:type="dxa"/>
            <w:tcBorders/>
          </w:tcPr>
          <w:p>
            <w:pPr>
              <w:pStyle w:val="Normal"/>
              <w:widowControl/>
              <w:spacing w:lineRule="atLeast" w:line="240" w:before="240" w:after="0"/>
              <w:rPr>
                <w:sz w:val="22"/>
                <w:szCs w:val="22"/>
              </w:rPr>
            </w:pPr>
            <w:r>
              <w:rPr>
                <w:sz w:val="22"/>
                <w:szCs w:val="22"/>
              </w:rPr>
              <w:t>Promptly following demand by Party A, but in no event later than 60 days after the end of each of the first three fiscal quarters of each fiscal year of Party B if such Financial Statement is not available on “EDGAR”.</w:t>
            </w:r>
          </w:p>
        </w:tc>
        <w:tc>
          <w:tcPr>
            <w:tcW w:w="1985" w:type="dxa"/>
            <w:tcBorders/>
          </w:tcPr>
          <w:p>
            <w:pPr>
              <w:pStyle w:val="Normal"/>
              <w:widowControl/>
              <w:spacing w:lineRule="atLeast" w:line="240" w:before="240" w:after="0"/>
              <w:jc w:val="center"/>
              <w:rPr>
                <w:sz w:val="22"/>
                <w:szCs w:val="22"/>
              </w:rPr>
            </w:pPr>
            <w:r>
              <w:rPr>
                <w:sz w:val="22"/>
                <w:szCs w:val="22"/>
              </w:rPr>
              <w:t>Yes</w:t>
            </w:r>
          </w:p>
        </w:tc>
      </w:tr>
    </w:tbl>
    <w:p>
      <w:pPr>
        <w:pStyle w:val="Normal"/>
        <w:keepNext w:val="true"/>
        <w:widowControl/>
        <w:spacing w:lineRule="exact" w:line="240" w:before="480" w:after="0"/>
        <w:jc w:val="both"/>
        <w:rPr>
          <w:b/>
          <w:bCs/>
          <w:sz w:val="22"/>
          <w:szCs w:val="22"/>
        </w:rPr>
      </w:pPr>
      <w:r>
        <w:rPr>
          <w:b/>
          <w:bCs/>
          <w:sz w:val="22"/>
          <w:szCs w:val="22"/>
        </w:rPr>
        <w:t>Part 4.  Miscellaneous.</w:t>
      </w:r>
    </w:p>
    <w:p>
      <w:pPr>
        <w:pStyle w:val="Normal"/>
        <w:keepNext w:val="true"/>
        <w:widowControl/>
        <w:spacing w:lineRule="exact" w:line="240" w:before="240" w:after="0"/>
        <w:ind w:firstLine="720" w:end="0"/>
        <w:jc w:val="both"/>
        <w:rPr/>
      </w:pPr>
      <w:r>
        <w:rPr>
          <w:sz w:val="22"/>
          <w:szCs w:val="22"/>
        </w:rPr>
        <w:t>(a)</w:t>
        <w:tab/>
      </w:r>
      <w:r>
        <w:rPr>
          <w:b/>
          <w:bCs/>
          <w:sz w:val="22"/>
          <w:szCs w:val="22"/>
        </w:rPr>
        <w:t>Addresses for Notices.</w:t>
      </w:r>
      <w:r>
        <w:rPr>
          <w:sz w:val="22"/>
          <w:szCs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keepNext w:val="true"/>
        <w:widowControl/>
        <w:spacing w:lineRule="exact" w:line="240" w:before="240" w:after="0"/>
        <w:ind w:hanging="720" w:start="720" w:end="0"/>
        <w:jc w:val="both"/>
        <w:rPr>
          <w:sz w:val="22"/>
          <w:szCs w:val="22"/>
        </w:rPr>
      </w:pPr>
      <w:r>
        <w:rPr>
          <w:sz w:val="22"/>
          <w:szCs w:val="22"/>
        </w:rPr>
        <w:t>Address for notices or communications to Party A:</w:t>
      </w:r>
    </w:p>
    <w:p>
      <w:pPr>
        <w:pStyle w:val="Normal"/>
        <w:keepNext w:val="true"/>
        <w:widowControl/>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widowControl/>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widowControl/>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widowControl/>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widowControl/>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widowControl/>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widowControl/>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widowControl/>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widowControl/>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widowControl/>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widowControl/>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eastAsia="Times New Roman" w:cs="Times New Roman"/>
              </w:rPr>
            </w:pPr>
            <w:r>
              <w:rPr>
                <w:rFonts w:eastAsia="Times New Roman" w:cs="Times New Roman" w:ascii="Times New Roman" w:hAnsi="Times New Roman"/>
              </w:rPr>
              <w:t>Attn:  Director, Documentation Department</w:t>
            </w:r>
          </w:p>
        </w:tc>
        <w:tc>
          <w:tcPr>
            <w:tcW w:w="3330" w:type="dxa"/>
            <w:tcBorders/>
          </w:tcPr>
          <w:p>
            <w:pPr>
              <w:pStyle w:val="Normal"/>
              <w:keepNext w:val="true"/>
              <w:widowControl/>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widowControl/>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widowControl/>
        <w:tabs>
          <w:tab w:val="clear" w:pos="720"/>
          <w:tab w:val="right" w:pos="9360" w:leader="dot"/>
        </w:tabs>
        <w:spacing w:lineRule="exact" w:line="240" w:before="240" w:after="0"/>
        <w:jc w:val="both"/>
        <w:rPr/>
      </w:pPr>
      <w:r>
        <w:rPr>
          <w:sz w:val="22"/>
          <w:szCs w:val="22"/>
        </w:rPr>
        <w:t xml:space="preserve">A copy of any notice sent to Party A pursuant to Section 5 or 6 or </w:t>
      </w:r>
      <w:r>
        <w:rPr>
          <w:sz w:val="22"/>
          <w:szCs w:val="22"/>
          <w:u w:val="single"/>
        </w:rPr>
        <w:t>Annex A</w:t>
      </w:r>
      <w:r>
        <w:rPr>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widowControl/>
        <w:tabs>
          <w:tab w:val="clear" w:pos="720"/>
          <w:tab w:val="right" w:pos="9360" w:leader="dot"/>
        </w:tabs>
        <w:spacing w:lineRule="exact" w:line="240" w:before="240" w:after="0"/>
        <w:jc w:val="both"/>
        <w:rPr>
          <w:sz w:val="22"/>
          <w:szCs w:val="22"/>
        </w:rPr>
      </w:pPr>
      <w:r>
        <w:rPr>
          <w:sz w:val="22"/>
          <w:szCs w:val="22"/>
        </w:rPr>
        <w:t>Address for notices or communications to Party B:</w:t>
      </w:r>
    </w:p>
    <w:p>
      <w:pPr>
        <w:pStyle w:val="Normal"/>
        <w:widowControl/>
        <w:tabs>
          <w:tab w:val="clear" w:pos="720"/>
          <w:tab w:val="right" w:pos="9360" w:leader="dot"/>
        </w:tabs>
        <w:spacing w:lineRule="exact" w:line="240" w:before="240" w:after="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widowControl/>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widowControl/>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widowControl/>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widowControl/>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widowControl/>
              <w:tabs>
                <w:tab w:val="clear" w:pos="720"/>
                <w:tab w:val="left" w:pos="3762" w:leader="none"/>
                <w:tab w:val="left" w:pos="4230" w:leader="none"/>
                <w:tab w:val="left" w:pos="9360" w:leader="none"/>
              </w:tabs>
              <w:spacing w:lineRule="exact" w:line="240"/>
              <w:jc w:val="both"/>
              <w:rPr>
                <w:sz w:val="22"/>
                <w:szCs w:val="22"/>
              </w:rPr>
            </w:pPr>
            <w:r>
              <w:rPr>
                <w:sz w:val="22"/>
                <w:szCs w:val="22"/>
              </w:rPr>
              <w:t>AES Eastern Energy L.P.</w:t>
            </w:r>
          </w:p>
          <w:p>
            <w:pPr>
              <w:pStyle w:val="Normal"/>
              <w:keepNext w:val="true"/>
              <w:widowControl/>
              <w:tabs>
                <w:tab w:val="clear" w:pos="720"/>
                <w:tab w:val="left" w:pos="3762" w:leader="none"/>
                <w:tab w:val="left" w:pos="4230" w:leader="none"/>
                <w:tab w:val="left" w:pos="9360" w:leader="none"/>
              </w:tabs>
              <w:spacing w:lineRule="exact" w:line="240"/>
              <w:jc w:val="both"/>
              <w:rPr>
                <w:sz w:val="22"/>
                <w:szCs w:val="22"/>
              </w:rPr>
            </w:pPr>
            <w:r>
              <w:rPr>
                <w:sz w:val="22"/>
                <w:szCs w:val="22"/>
              </w:rPr>
              <w:t>1001 W. Seneca St., Suite 100</w:t>
            </w:r>
          </w:p>
          <w:p>
            <w:pPr>
              <w:pStyle w:val="Normal"/>
              <w:keepNext w:val="true"/>
              <w:widowControl/>
              <w:tabs>
                <w:tab w:val="clear" w:pos="720"/>
                <w:tab w:val="left" w:pos="3762" w:leader="none"/>
                <w:tab w:val="left" w:pos="4230" w:leader="none"/>
                <w:tab w:val="left" w:pos="9360" w:leader="none"/>
              </w:tabs>
              <w:spacing w:lineRule="exact" w:line="240"/>
              <w:jc w:val="both"/>
              <w:rPr>
                <w:sz w:val="22"/>
                <w:szCs w:val="22"/>
              </w:rPr>
            </w:pPr>
            <w:r>
              <w:rPr>
                <w:sz w:val="22"/>
                <w:szCs w:val="22"/>
              </w:rPr>
              <w:t>Ithaca, New York  14850</w:t>
            </w:r>
          </w:p>
          <w:p>
            <w:pPr>
              <w:pStyle w:val="Normal"/>
              <w:keepNext w:val="true"/>
              <w:widowControl/>
              <w:tabs>
                <w:tab w:val="clear" w:pos="720"/>
                <w:tab w:val="left" w:pos="3762" w:leader="none"/>
                <w:tab w:val="left" w:pos="4230" w:leader="none"/>
                <w:tab w:val="left" w:pos="9360" w:leader="none"/>
              </w:tabs>
              <w:spacing w:lineRule="exact" w:line="240"/>
              <w:jc w:val="both"/>
              <w:rPr>
                <w:sz w:val="22"/>
                <w:szCs w:val="22"/>
              </w:rPr>
            </w:pPr>
            <w:r>
              <w:rPr>
                <w:sz w:val="22"/>
                <w:szCs w:val="22"/>
              </w:rPr>
              <w:t>Attn.: Richard Santoroski, Vice President</w:t>
            </w:r>
          </w:p>
          <w:p>
            <w:pPr>
              <w:pStyle w:val="Normal"/>
              <w:keepNext w:val="true"/>
              <w:widowControl/>
              <w:tabs>
                <w:tab w:val="clear" w:pos="720"/>
                <w:tab w:val="left" w:pos="3762" w:leader="none"/>
                <w:tab w:val="left" w:pos="4230" w:leader="none"/>
                <w:tab w:val="left" w:pos="9360" w:leader="none"/>
              </w:tabs>
              <w:spacing w:lineRule="exact" w:line="240"/>
              <w:jc w:val="both"/>
              <w:rPr>
                <w:sz w:val="22"/>
                <w:szCs w:val="22"/>
              </w:rPr>
            </w:pPr>
            <w:r>
              <w:rPr>
                <w:sz w:val="22"/>
                <w:szCs w:val="22"/>
              </w:rPr>
              <w:t xml:space="preserve">  </w:t>
            </w:r>
            <w:r>
              <w:rPr>
                <w:sz w:val="22"/>
                <w:szCs w:val="22"/>
              </w:rPr>
              <w:t>____________________________</w:t>
            </w:r>
          </w:p>
        </w:tc>
        <w:tc>
          <w:tcPr>
            <w:tcW w:w="3290" w:type="dxa"/>
            <w:tcBorders/>
          </w:tcPr>
          <w:p>
            <w:pPr>
              <w:pStyle w:val="Normal"/>
              <w:keepNext w:val="true"/>
              <w:widowContro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Facsimile No.: (607) 256-2201</w:t>
            </w:r>
          </w:p>
          <w:p>
            <w:pPr>
              <w:pStyle w:val="Normal"/>
              <w:keepNext w:val="true"/>
              <w:widowControl/>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Telephone No.:  (607) 216-3333</w:t>
            </w:r>
          </w:p>
        </w:tc>
      </w:tr>
    </w:tbl>
    <w:p>
      <w:pPr>
        <w:pStyle w:val="Normal"/>
        <w:keepNext w:val="true"/>
        <w:widowControl/>
        <w:tabs>
          <w:tab w:val="clear" w:pos="720"/>
          <w:tab w:val="left" w:pos="3762" w:leader="none"/>
          <w:tab w:val="left" w:pos="4230" w:leader="none"/>
          <w:tab w:val="left" w:pos="9360" w:leader="none"/>
        </w:tabs>
        <w:spacing w:lineRule="exact" w:line="240"/>
        <w:jc w:val="both"/>
        <w:rPr/>
      </w:pPr>
      <w:r>
        <w:rPr>
          <w:sz w:val="22"/>
          <w:szCs w:val="22"/>
        </w:rPr>
        <w:t xml:space="preserve">A copy of any notice sent to Party B pursuant to Section 5 or 6 or </w:t>
      </w:r>
      <w:r>
        <w:rPr>
          <w:sz w:val="22"/>
          <w:szCs w:val="22"/>
          <w:u w:val="single"/>
        </w:rPr>
        <w:t>Annex A</w:t>
      </w:r>
      <w:r>
        <w:rPr>
          <w:sz w:val="22"/>
          <w:szCs w:val="22"/>
        </w:rPr>
        <w:t xml:space="preserve"> must also be sent to (i) AES Eastern Energy L.P., Attention: Tom Spencer, Manager Contracts/Credit, at 1001 W. Seneca St., Suite 100, Ithaca, New York  14850, and facsimile no. (607) 256-2201.</w:t>
      </w:r>
    </w:p>
    <w:p>
      <w:pPr>
        <w:pStyle w:val="Normal"/>
        <w:keepNext w:val="true"/>
        <w:widowControl/>
        <w:tabs>
          <w:tab w:val="left" w:pos="720" w:leader="none"/>
          <w:tab w:val="left" w:pos="1440" w:leader="none"/>
          <w:tab w:val="left" w:pos="5472" w:leader="dot"/>
          <w:tab w:val="right" w:pos="9360" w:leader="dot"/>
        </w:tabs>
        <w:spacing w:lineRule="exact" w:line="240" w:before="240" w:after="0"/>
        <w:ind w:firstLine="720" w:end="0"/>
        <w:jc w:val="both"/>
        <w:rPr/>
      </w:pPr>
      <w:r>
        <w:rPr>
          <w:sz w:val="22"/>
          <w:szCs w:val="22"/>
        </w:rPr>
        <w:t>(b)</w:t>
        <w:tab/>
      </w:r>
      <w:r>
        <w:rPr>
          <w:b/>
          <w:bCs/>
          <w:sz w:val="22"/>
          <w:szCs w:val="22"/>
        </w:rPr>
        <w:t>Offices; Multibranch Parties.</w:t>
      </w:r>
      <w:r>
        <w:rPr>
          <w:sz w:val="22"/>
          <w:szCs w:val="22"/>
        </w:rPr>
        <w:t xml:space="preserve">  The provisions of Section 10(a) will be applicable.  For the purpose of Section 10(c):  Party A is not a Multibranch Party and Party B is not a Multibranch Party.</w:t>
      </w:r>
    </w:p>
    <w:p>
      <w:pPr>
        <w:pStyle w:val="Normal"/>
        <w:widowControl/>
        <w:spacing w:lineRule="exact" w:line="240" w:before="240" w:after="0"/>
        <w:ind w:firstLine="720" w:end="0"/>
        <w:jc w:val="both"/>
        <w:rPr/>
      </w:pPr>
      <w:r>
        <w:rPr>
          <w:sz w:val="22"/>
          <w:szCs w:val="22"/>
        </w:rPr>
        <w:t>(c)</w:t>
        <w:tab/>
      </w:r>
      <w:r>
        <w:rPr>
          <w:b/>
          <w:bCs/>
          <w:sz w:val="22"/>
          <w:szCs w:val="22"/>
        </w:rPr>
        <w:t xml:space="preserve">Calculation Agent.   </w:t>
      </w:r>
      <w:r>
        <w:rPr>
          <w:sz w:val="22"/>
          <w:szCs w:val="22"/>
        </w:rPr>
        <w:t xml:space="preserve">Calculation Agent is Party A unless otherwise specified in relation to the relevant Transaction.  If Party A has a current and uncured Event of Default under any Transaction, the Calculation Agent shall be Party B. All determinations by the Calculation Agent are subject to agreement by Party A and Party B.  If the Parties are unable to agree on a calculation made by a particular Calculation Agent, then the parties shall appoint another mutually acceptable Calculation Agent that is a recognized dealer in the relevant market.  Each party agrees to submit invoices on a monthly basis for amounts due from the other party. </w:t>
      </w:r>
    </w:p>
    <w:p>
      <w:pPr>
        <w:pStyle w:val="Normal"/>
        <w:widowControl/>
        <w:spacing w:lineRule="exact" w:line="240" w:before="240" w:after="0"/>
        <w:ind w:firstLine="720" w:end="0"/>
        <w:jc w:val="both"/>
        <w:rPr/>
      </w:pPr>
      <w:r>
        <w:rPr>
          <w:sz w:val="22"/>
          <w:szCs w:val="22"/>
        </w:rPr>
        <w:t>(d)</w:t>
        <w:tab/>
      </w:r>
      <w:r>
        <w:rPr>
          <w:b/>
          <w:bCs/>
          <w:sz w:val="22"/>
          <w:szCs w:val="22"/>
        </w:rPr>
        <w:t>Credit Support Documents.</w:t>
      </w:r>
      <w:r>
        <w:rPr>
          <w:sz w:val="22"/>
          <w:szCs w:val="22"/>
        </w:rPr>
        <w:t xml:space="preserve">  </w:t>
      </w:r>
    </w:p>
    <w:p>
      <w:pPr>
        <w:pStyle w:val="Normal"/>
        <w:widowControl/>
        <w:spacing w:lineRule="exact" w:line="240" w:before="240" w:after="0"/>
        <w:ind w:firstLine="1440" w:end="0"/>
        <w:jc w:val="both"/>
        <w:rPr/>
      </w:pPr>
      <w:r>
        <w:rPr>
          <w:sz w:val="22"/>
          <w:szCs w:val="22"/>
        </w:rPr>
        <w:t>(i)</w:t>
        <w:tab/>
        <w:t xml:space="preserve">with respect to Party A: the guarantee of Enron Corporation in favor of Party B as beneficiary thereof in the form attached hereto as </w:t>
      </w:r>
      <w:r>
        <w:rPr>
          <w:sz w:val="22"/>
          <w:szCs w:val="22"/>
          <w:u w:val="single"/>
        </w:rPr>
        <w:t>Exhibit A</w:t>
      </w:r>
      <w:r>
        <w:rPr>
          <w:sz w:val="22"/>
          <w:szCs w:val="22"/>
        </w:rPr>
        <w:t xml:space="preserve">, dated as of February 1, 2001, together with, but not limited to, the duly executed ISDA Credit Support Annex (attached hereto as </w:t>
      </w:r>
      <w:r>
        <w:rPr>
          <w:sz w:val="22"/>
          <w:szCs w:val="22"/>
          <w:u w:val="single"/>
        </w:rPr>
        <w:t>Annex A</w:t>
      </w:r>
      <w:r>
        <w:rPr>
          <w:sz w:val="22"/>
          <w:szCs w:val="22"/>
        </w:rPr>
        <w:t>), any Confirmation and any other document any of which by its terms secures, guarantees or otherwise supports Party A’s obligations under this Agreement, including, but not limited to, any amendment thereto or restatements or replacements thereof, each of which documents is hereby incorporated by reference into this Agreement; and</w:t>
      </w:r>
    </w:p>
    <w:p>
      <w:pPr>
        <w:pStyle w:val="Normal"/>
        <w:widowControl/>
        <w:spacing w:lineRule="exact" w:line="240" w:before="240" w:after="0"/>
        <w:ind w:firstLine="720" w:end="0"/>
        <w:jc w:val="both"/>
        <w:rPr/>
      </w:pPr>
      <w:r>
        <w:rPr>
          <w:sz w:val="22"/>
          <w:szCs w:val="22"/>
        </w:rPr>
        <w:tab/>
        <w:t>(ii)</w:t>
        <w:tab/>
        <w:t xml:space="preserve">with respect to Party B: the duly executed ISDA Credit Support Annex (attached hereto as </w:t>
      </w:r>
      <w:r>
        <w:rPr>
          <w:sz w:val="22"/>
          <w:szCs w:val="22"/>
          <w:u w:val="single"/>
        </w:rPr>
        <w:t>Annex A</w:t>
      </w:r>
      <w:r>
        <w:rPr>
          <w:sz w:val="22"/>
          <w:szCs w:val="22"/>
        </w:rPr>
        <w:t>), together with, but not limited to, any Confirmation and any other document any of which by its terms secures, guarantees or otherwise supports Party A’s obligations under this Agreement, including, but not limited to, any amendment thereto or restatements or replacements thereof, each of which documents is hereby incorporated by reference into this Agreement.</w:t>
      </w:r>
    </w:p>
    <w:p>
      <w:pPr>
        <w:pStyle w:val="Normal"/>
        <w:widowControl/>
        <w:spacing w:lineRule="exact" w:line="240" w:before="240" w:after="0"/>
        <w:ind w:firstLine="720" w:end="0"/>
        <w:jc w:val="both"/>
        <w:rPr/>
      </w:pPr>
      <w:r>
        <w:rPr>
          <w:sz w:val="22"/>
          <w:szCs w:val="22"/>
        </w:rPr>
        <w:t>(e)</w:t>
        <w:tab/>
      </w:r>
      <w:r>
        <w:rPr>
          <w:b/>
          <w:bCs/>
          <w:sz w:val="22"/>
          <w:szCs w:val="22"/>
        </w:rPr>
        <w:t>Credit Support Provider.</w:t>
      </w:r>
      <w:r>
        <w:rPr>
          <w:sz w:val="22"/>
          <w:szCs w:val="22"/>
        </w:rPr>
        <w:t xml:space="preserve">  (i) Credit Support Provider means in relation to Party A, Enron Corporation, and (ii) Credit Support Provider means in relation to Party B, none.</w:t>
      </w:r>
    </w:p>
    <w:p>
      <w:pPr>
        <w:pStyle w:val="Normal"/>
        <w:widowControl/>
        <w:spacing w:lineRule="exact" w:line="240" w:before="240" w:after="0"/>
        <w:ind w:firstLine="720" w:end="0"/>
        <w:jc w:val="both"/>
        <w:rPr/>
      </w:pPr>
      <w:r>
        <w:rPr>
          <w:sz w:val="22"/>
          <w:szCs w:val="22"/>
        </w:rPr>
        <w:t>(f)</w:t>
        <w:tab/>
      </w:r>
      <w:r>
        <w:rPr>
          <w:b/>
          <w:bCs/>
          <w:sz w:val="22"/>
          <w:szCs w:val="22"/>
        </w:rPr>
        <w:t>Netting of Payments.</w:t>
      </w:r>
      <w:r>
        <w:rPr>
          <w:sz w:val="22"/>
          <w:szCs w:val="22"/>
        </w:rPr>
        <w:t xml:space="preserve">  Section 2(c)(ii) will not apply to all Transactions.</w:t>
      </w:r>
    </w:p>
    <w:p>
      <w:pPr>
        <w:pStyle w:val="Normal"/>
        <w:widowControl/>
        <w:spacing w:lineRule="exact" w:line="240" w:before="240" w:after="0"/>
        <w:ind w:firstLine="720" w:end="0"/>
        <w:jc w:val="both"/>
        <w:rPr/>
      </w:pPr>
      <w:r>
        <w:rPr>
          <w:sz w:val="22"/>
          <w:szCs w:val="22"/>
        </w:rPr>
        <w:t>(g)</w:t>
        <w:tab/>
      </w:r>
      <w:r>
        <w:rPr>
          <w:b/>
          <w:bCs/>
          <w:sz w:val="22"/>
          <w:szCs w:val="22"/>
        </w:rPr>
        <w:t>Governing Law.  This Agreement and each Confirmation will be governed by, and construed, interpreted, and enforced in accordance with, the substantive law of the State of New York (without reference to its choice of law doctrine).</w:t>
      </w:r>
    </w:p>
    <w:p>
      <w:pPr>
        <w:pStyle w:val="Normal"/>
        <w:widowControl/>
        <w:spacing w:lineRule="exact" w:line="240" w:before="240" w:after="0"/>
        <w:ind w:firstLine="720" w:end="0"/>
        <w:jc w:val="both"/>
        <w:rPr>
          <w:b/>
          <w:bCs/>
          <w:sz w:val="22"/>
          <w:szCs w:val="22"/>
        </w:rPr>
      </w:pPr>
      <w:r>
        <w:rPr>
          <w:sz w:val="22"/>
          <w:szCs w:val="22"/>
        </w:rPr>
        <w:t>(h)</w:t>
        <w:tab/>
      </w:r>
      <w:r>
        <w:rPr>
          <w:b/>
          <w:bCs/>
          <w:sz w:val="22"/>
          <w:szCs w:val="22"/>
        </w:rPr>
        <w:t>Jurisdiction.</w:t>
      </w:r>
      <w:r>
        <w:rPr>
          <w:sz w:val="22"/>
          <w:szCs w:val="22"/>
        </w:rPr>
        <w:t xml:space="preserve">  Section 13(b) is hereby deleted in its entirety and replaced with the following:</w:t>
      </w:r>
    </w:p>
    <w:p>
      <w:pPr>
        <w:pStyle w:val="Normal"/>
        <w:widowControl/>
        <w:ind w:hanging="720" w:start="720" w:end="0"/>
        <w:jc w:val="both"/>
        <w:rPr>
          <w:b/>
          <w:bCs/>
          <w:sz w:val="22"/>
          <w:szCs w:val="22"/>
        </w:rPr>
      </w:pPr>
      <w:r>
        <w:rPr>
          <w:b/>
          <w:bCs/>
          <w:sz w:val="22"/>
          <w:szCs w:val="22"/>
        </w:rPr>
      </w:r>
    </w:p>
    <w:p>
      <w:pPr>
        <w:pStyle w:val="Normal"/>
        <w:widowControl/>
        <w:ind w:start="720" w:end="0"/>
        <w:jc w:val="both"/>
        <w:rPr/>
      </w:pPr>
      <w:r>
        <w:rPr>
          <w:sz w:val="22"/>
          <w:szCs w:val="22"/>
        </w:rPr>
        <w:tab/>
        <w:t>(b)</w:t>
        <w:tab/>
      </w:r>
      <w:r>
        <w:rPr>
          <w:b/>
          <w:bCs/>
          <w:sz w:val="22"/>
          <w:szCs w:val="22"/>
        </w:rPr>
        <w:t>Agreement To Arbitrate:</w:t>
      </w:r>
      <w:r>
        <w:rPr>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jc w:val="both"/>
        <w:rPr>
          <w:sz w:val="22"/>
          <w:szCs w:val="22"/>
        </w:rPr>
      </w:pPr>
      <w:r>
        <w:rPr>
          <w:sz w:val="22"/>
          <w:szCs w:val="22"/>
        </w:rPr>
      </w:r>
    </w:p>
    <w:p>
      <w:pPr>
        <w:pStyle w:val="Normal"/>
        <w:widowControl/>
        <w:ind w:start="720" w:end="0"/>
        <w:jc w:val="both"/>
        <w:rPr/>
      </w:pPr>
      <w:r>
        <w:rPr>
          <w:b/>
          <w:bCs/>
          <w:sz w:val="22"/>
          <w:szCs w:val="22"/>
        </w:rPr>
        <w:t>Conduct Of The Arbitration, And Authority Of The Arbitrators:</w:t>
      </w:r>
      <w:r>
        <w:rPr>
          <w:sz w:val="22"/>
          <w:szCs w:val="22"/>
        </w:rPr>
        <w:t xml:space="preserve"> </w:t>
      </w:r>
      <w:r>
        <w:rPr>
          <w:i/>
          <w:iCs/>
          <w:sz w:val="22"/>
          <w:szCs w:val="22"/>
        </w:rPr>
        <w:t xml:space="preserve"> </w:t>
      </w:r>
      <w:r>
        <w:rPr>
          <w:sz w:val="22"/>
          <w:szCs w:val="22"/>
        </w:rPr>
        <w:t>Arbitration shall be governed by the Federal Arbitration Act and conducted in accordance with the Commercial Arbitration Rules (“CAR”) of the American Arbitration Association (“AAA”).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w:t>
      </w:r>
    </w:p>
    <w:p>
      <w:pPr>
        <w:pStyle w:val="Normal"/>
        <w:widowControl/>
        <w:jc w:val="both"/>
        <w:rPr>
          <w:sz w:val="22"/>
          <w:szCs w:val="22"/>
        </w:rPr>
      </w:pPr>
      <w:r>
        <w:rPr>
          <w:sz w:val="22"/>
          <w:szCs w:val="22"/>
        </w:rPr>
      </w:r>
    </w:p>
    <w:p>
      <w:pPr>
        <w:pStyle w:val="Normal"/>
        <w:widowControl/>
        <w:ind w:start="720" w:end="0"/>
        <w:jc w:val="both"/>
        <w:rPr/>
      </w:pPr>
      <w:r>
        <w:rPr>
          <w:b/>
          <w:bCs/>
          <w:sz w:val="22"/>
          <w:szCs w:val="22"/>
        </w:rPr>
        <w:t>Forum For The Arbitration And Selection Of Arbitrators:</w:t>
      </w:r>
      <w:r>
        <w:rPr>
          <w:sz w:val="22"/>
          <w:szCs w:val="22"/>
        </w:rPr>
        <w:t xml:space="preserve">  The arbitration proceeding shall be conducted in New York, New York.  Within thirty (30) days of the notice of initiation of the arbitration procedure, each party shall select one arbitrator.  Neither arbitrator shall have previously or currently have been employed by either party and shall not have a direct or indirect interest in either party or the subject matter of the arbitration.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If the two arbitrators are unable to select a third arbitrator within forty-five (45) days of the notice of initiation of the arbitration procedure, the parties shall request the AAA appoint such third arbitrator in accordance with the prior sentence.</w:t>
      </w:r>
    </w:p>
    <w:p>
      <w:pPr>
        <w:pStyle w:val="Normal"/>
        <w:widowControl/>
        <w:jc w:val="both"/>
        <w:rPr>
          <w:sz w:val="22"/>
          <w:szCs w:val="22"/>
        </w:rPr>
      </w:pPr>
      <w:r>
        <w:rPr>
          <w:sz w:val="22"/>
          <w:szCs w:val="22"/>
        </w:rPr>
      </w:r>
    </w:p>
    <w:p>
      <w:pPr>
        <w:pStyle w:val="Normal"/>
        <w:widowControl/>
        <w:ind w:start="720" w:end="0"/>
        <w:jc w:val="both"/>
        <w:rPr>
          <w:b/>
          <w:bCs/>
          <w:sz w:val="22"/>
          <w:szCs w:val="22"/>
        </w:rPr>
      </w:pPr>
      <w:r>
        <w:rPr>
          <w:b/>
          <w:bCs/>
          <w:sz w:val="22"/>
          <w:szCs w:val="22"/>
        </w:rPr>
        <w:t>Confidentiality:</w:t>
      </w:r>
      <w:r>
        <w:rPr>
          <w:sz w:val="22"/>
          <w:szCs w:val="22"/>
        </w:rPr>
        <w:t xml:space="preserve">  To the fullest extent permitted by law, any arbitration proceeding and the arbitrators award shall be maintained in confidence by the parties.</w:t>
      </w:r>
    </w:p>
    <w:p>
      <w:pPr>
        <w:pStyle w:val="Normal"/>
        <w:widowControl/>
        <w:spacing w:lineRule="exact" w:line="240" w:before="480" w:after="0"/>
        <w:jc w:val="both"/>
        <w:rPr>
          <w:b/>
          <w:bCs/>
          <w:sz w:val="22"/>
          <w:szCs w:val="22"/>
        </w:rPr>
      </w:pPr>
      <w:r>
        <w:rPr>
          <w:b/>
          <w:bCs/>
          <w:sz w:val="22"/>
          <w:szCs w:val="22"/>
        </w:rPr>
        <w:t>Part 5.  Other Provisions.</w:t>
      </w:r>
    </w:p>
    <w:p>
      <w:pPr>
        <w:pStyle w:val="Normal"/>
        <w:widowControl/>
        <w:spacing w:lineRule="exact" w:line="240" w:before="240" w:after="0"/>
        <w:ind w:firstLine="720" w:end="0"/>
        <w:jc w:val="both"/>
        <w:rPr/>
      </w:pPr>
      <w:r>
        <w:rPr>
          <w:sz w:val="22"/>
          <w:szCs w:val="22"/>
        </w:rPr>
        <w:t>(a)</w:t>
        <w:tab/>
      </w:r>
      <w:r>
        <w:rPr>
          <w:b/>
          <w:bCs/>
          <w:sz w:val="22"/>
          <w:szCs w:val="22"/>
        </w:rPr>
        <w:t>Representations.</w:t>
      </w:r>
      <w:r>
        <w:rPr>
          <w:sz w:val="22"/>
          <w:szCs w:val="22"/>
        </w:rPr>
        <w:t xml:space="preserve">  Section 3 is hereby amended by adding at the end thereof the following Subsections (g), (h), (i) and (j):</w:t>
      </w:r>
    </w:p>
    <w:p>
      <w:pPr>
        <w:pStyle w:val="Normal"/>
        <w:widowControl/>
        <w:spacing w:lineRule="exact" w:line="240" w:before="240" w:after="0"/>
        <w:ind w:firstLine="720" w:start="720" w:end="0"/>
        <w:jc w:val="both"/>
        <w:rPr/>
      </w:pPr>
      <w:r>
        <w:rPr>
          <w:sz w:val="22"/>
          <w:szCs w:val="22"/>
        </w:rPr>
        <w:t>(g)</w:t>
        <w:tab/>
      </w:r>
      <w:r>
        <w:rPr>
          <w:b/>
          <w:bCs/>
          <w:sz w:val="22"/>
          <w:szCs w:val="22"/>
        </w:rPr>
        <w:t>Eligibility.</w:t>
      </w:r>
      <w:r>
        <w:rPr>
          <w:sz w:val="22"/>
          <w:szCs w:val="22"/>
        </w:rPr>
        <w:t xml:space="preserve">  (i) It constitutes an “eligible contract participant” as such term is defined in the Commodity Exchange Act, as amended 7 U.S.C. §1a(12) and (ii) it constitutes an “eligible commercial entity” as such term is defined in the Commodity Exchange Act, as amended 7 U.S.C. §1a(11).</w:t>
      </w:r>
    </w:p>
    <w:p>
      <w:pPr>
        <w:pStyle w:val="Normal"/>
        <w:widowControl/>
        <w:spacing w:lineRule="exact" w:line="240" w:before="240" w:after="0"/>
        <w:ind w:firstLine="720" w:start="720" w:end="0"/>
        <w:jc w:val="both"/>
        <w:rPr/>
      </w:pPr>
      <w:r>
        <w:rPr>
          <w:sz w:val="22"/>
          <w:szCs w:val="22"/>
        </w:rPr>
        <w:t>(h)</w:t>
        <w:tab/>
      </w:r>
      <w:r>
        <w:rPr>
          <w:b/>
          <w:bCs/>
          <w:sz w:val="22"/>
          <w:szCs w:val="22"/>
        </w:rPr>
        <w:t>No Reliance.</w:t>
      </w:r>
      <w:r>
        <w:rPr>
          <w:sz w:val="22"/>
          <w:szCs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spacing w:lineRule="exact" w:line="240" w:before="240" w:after="0"/>
        <w:ind w:firstLine="720" w:start="720" w:end="0"/>
        <w:jc w:val="both"/>
        <w:rPr/>
      </w:pPr>
      <w:r>
        <w:rPr>
          <w:sz w:val="22"/>
          <w:szCs w:val="22"/>
        </w:rPr>
        <w:t>(i)</w:t>
        <w:tab/>
      </w:r>
      <w:r>
        <w:rPr>
          <w:b/>
          <w:bCs/>
          <w:sz w:val="22"/>
          <w:szCs w:val="22"/>
        </w:rPr>
        <w:t>Line of Business.</w:t>
      </w:r>
      <w:r>
        <w:rPr>
          <w:sz w:val="22"/>
          <w:szCs w:val="22"/>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it is a producer, processor, commercial user of, or merchant handling, the commodity subject to the Transaction or the products or byproducts thereof, and is entering into each Option Transaction solely for purposes related to its business as such.</w:t>
      </w:r>
    </w:p>
    <w:p>
      <w:pPr>
        <w:pStyle w:val="Normal"/>
        <w:widowControl/>
        <w:spacing w:lineRule="exact" w:line="240" w:before="240" w:after="0"/>
        <w:ind w:firstLine="720" w:start="720" w:end="0"/>
        <w:jc w:val="both"/>
        <w:rPr>
          <w:sz w:val="22"/>
          <w:szCs w:val="22"/>
        </w:rPr>
      </w:pPr>
      <w:r>
        <w:rPr/>
        <w:t>(j)</w:t>
      </w:r>
      <w:r>
        <w:rPr>
          <w:b/>
          <w:bCs/>
        </w:rPr>
        <w:tab/>
        <w:t>Standardization and Creditworthiness.</w:t>
      </w:r>
      <w:r>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widowControl/>
        <w:spacing w:lineRule="exact" w:line="240" w:before="240" w:after="0"/>
        <w:ind w:firstLine="720" w:end="0"/>
        <w:jc w:val="both"/>
        <w:rPr/>
      </w:pPr>
      <w:r>
        <w:rPr>
          <w:sz w:val="22"/>
          <w:szCs w:val="22"/>
        </w:rPr>
        <w:t>(b)</w:t>
        <w:tab/>
      </w:r>
      <w:r>
        <w:rPr>
          <w:b/>
          <w:bCs/>
          <w:sz w:val="22"/>
          <w:szCs w:val="22"/>
        </w:rPr>
        <w:t>Reference Market-makers.</w:t>
      </w:r>
      <w:r>
        <w:rPr>
          <w:sz w:val="22"/>
          <w:szCs w:val="22"/>
        </w:rPr>
        <w:t xml:space="preserve">  The definition of </w:t>
      </w:r>
      <w:r>
        <w:rPr>
          <w:b/>
          <w:bCs/>
          <w:sz w:val="22"/>
          <w:szCs w:val="22"/>
        </w:rPr>
        <w:t>“Reference Market-makers”</w:t>
      </w:r>
      <w:r>
        <w:rPr>
          <w:sz w:val="22"/>
          <w:szCs w:val="22"/>
        </w:rPr>
        <w:t xml:space="preserve"> in Section 14 is hereby amended by deleting clause (b) thereof.</w:t>
      </w:r>
    </w:p>
    <w:p>
      <w:pPr>
        <w:pStyle w:val="Normal"/>
        <w:widowControl/>
        <w:spacing w:lineRule="exact" w:line="240" w:before="240" w:after="0"/>
        <w:ind w:firstLine="720" w:end="0"/>
        <w:jc w:val="both"/>
        <w:rPr/>
      </w:pPr>
      <w:r>
        <w:rPr>
          <w:sz w:val="22"/>
          <w:szCs w:val="22"/>
        </w:rPr>
        <w:t>(c)</w:t>
        <w:tab/>
      </w:r>
      <w:r>
        <w:rPr>
          <w:b/>
          <w:bCs/>
          <w:sz w:val="22"/>
          <w:szCs w:val="22"/>
        </w:rPr>
        <w:t>Definitions.</w:t>
      </w:r>
      <w:r>
        <w:rPr>
          <w:sz w:val="22"/>
          <w:szCs w:val="22"/>
        </w:rPr>
        <w:t xml:space="preserve">  This Agreement, each Confirmation, and each Transaction are subject to the 2000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widowControl/>
        <w:spacing w:lineRule="exact" w:line="240" w:before="240" w:after="0"/>
        <w:ind w:firstLine="720" w:end="0"/>
        <w:jc w:val="both"/>
        <w:rPr/>
      </w:pPr>
      <w:r>
        <w:rPr>
          <w:sz w:val="22"/>
          <w:szCs w:val="22"/>
        </w:rPr>
        <w:t>(d)</w:t>
        <w:tab/>
      </w:r>
      <w:r>
        <w:rPr>
          <w:b/>
          <w:bCs/>
          <w:sz w:val="22"/>
          <w:szCs w:val="22"/>
        </w:rPr>
        <w:t>Procedures for Entering into Transactions.</w:t>
      </w:r>
      <w:r>
        <w:rPr>
          <w:sz w:val="22"/>
          <w:szCs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three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widowControl/>
        <w:spacing w:lineRule="exact" w:line="240" w:before="240" w:after="0"/>
        <w:ind w:firstLine="720" w:end="0"/>
        <w:jc w:val="both"/>
        <w:rPr/>
      </w:pPr>
      <w:r>
        <w:rPr>
          <w:sz w:val="22"/>
          <w:szCs w:val="22"/>
        </w:rPr>
        <w:t>(e)</w:t>
      </w:r>
      <w:r>
        <w:rPr>
          <w:b/>
          <w:bCs/>
          <w:sz w:val="22"/>
          <w:szCs w:val="22"/>
        </w:rPr>
        <w:tab/>
        <w:t>Recording.</w:t>
      </w:r>
      <w:r>
        <w:rPr>
          <w:sz w:val="22"/>
          <w:szCs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widowControl/>
        <w:spacing w:lineRule="exact" w:line="240" w:before="240" w:after="0"/>
        <w:ind w:firstLine="720" w:end="0"/>
        <w:jc w:val="both"/>
        <w:rPr>
          <w:sz w:val="22"/>
          <w:szCs w:val="22"/>
        </w:rPr>
      </w:pPr>
      <w:r>
        <w:rPr>
          <w:sz w:val="22"/>
          <w:szCs w:val="22"/>
        </w:rPr>
        <w:t>(f)</w:t>
        <w:tab/>
      </w:r>
      <w:r>
        <w:rPr>
          <w:b/>
          <w:bCs/>
        </w:rPr>
        <w:t>Setoff.</w:t>
      </w:r>
      <w:r>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or Specified Entities of Y in Dollars or any other currency by X under this Agreement or otherwise, any amounts owed in Dollars or any other currency by Y or Specified Entities of Y to X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(or as applicable, Specified Entities of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widowControl/>
        <w:spacing w:lineRule="exact" w:line="240" w:before="240" w:after="0"/>
        <w:ind w:firstLine="1440" w:end="0"/>
        <w:jc w:val="both"/>
        <w:rPr>
          <w:sz w:val="22"/>
          <w:szCs w:val="22"/>
        </w:rPr>
      </w:pPr>
      <w:r>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or Specified Entity (if the Defaulting Party or Affected Party is Party A) to make any payments to the Non-defaulting Party or non-Affected Party under this Agreement or otherwise which are due and payable as of the Early Termination Date hereof have been fully and finally performed.</w:t>
      </w:r>
    </w:p>
    <w:p>
      <w:pPr>
        <w:pStyle w:val="Normal"/>
        <w:widowControl/>
        <w:spacing w:lineRule="exact" w:line="240" w:before="240" w:after="0"/>
        <w:ind w:firstLine="720" w:end="0"/>
        <w:jc w:val="both"/>
        <w:rPr/>
      </w:pPr>
      <w:r>
        <w:rPr>
          <w:b/>
          <w:bCs/>
          <w:sz w:val="22"/>
          <w:szCs w:val="22"/>
        </w:rPr>
        <w:t>(g)</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bCs/>
          <w:color w:val="000000"/>
          <w:sz w:val="22"/>
          <w:szCs w:val="22"/>
        </w:rPr>
        <w:t>AND GENUINE PRE-ESTIMATE AND</w:t>
      </w:r>
      <w:r>
        <w:rPr>
          <w:b/>
          <w:bCs/>
          <w:sz w:val="22"/>
          <w:szCs w:val="22"/>
        </w:rPr>
        <w:t xml:space="preserve"> APPROXIMATION OF THE AMOUNT OF SUCH DAMAGES AND NOT A PENALTY.</w:t>
      </w:r>
    </w:p>
    <w:p>
      <w:pPr>
        <w:pStyle w:val="Normal"/>
        <w:widowControl/>
        <w:spacing w:lineRule="exact" w:line="240" w:before="240" w:after="0"/>
        <w:ind w:firstLine="720" w:end="0"/>
        <w:jc w:val="both"/>
        <w:rPr/>
      </w:pPr>
      <w:r>
        <w:rPr>
          <w:sz w:val="22"/>
          <w:szCs w:val="22"/>
        </w:rPr>
        <w:t>(h)</w:t>
        <w:tab/>
      </w:r>
      <w:r>
        <w:rPr>
          <w:b/>
          <w:bCs/>
          <w:sz w:val="22"/>
          <w:szCs w:val="22"/>
        </w:rPr>
        <w:t>Confidentiality.</w:t>
      </w:r>
      <w:r>
        <w:rPr>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widowControl/>
        <w:spacing w:lineRule="exact" w:line="240" w:before="240" w:after="0"/>
        <w:ind w:firstLine="720" w:end="0"/>
        <w:jc w:val="both"/>
        <w:rPr/>
      </w:pPr>
      <w:r>
        <w:rPr>
          <w:sz w:val="22"/>
          <w:szCs w:val="22"/>
        </w:rPr>
        <w:t>(i)</w:t>
        <w:tab/>
      </w:r>
      <w:r>
        <w:rPr>
          <w:b/>
          <w:bCs/>
          <w:sz w:val="22"/>
          <w:szCs w:val="22"/>
        </w:rPr>
        <w:t>Applicable Rate.</w:t>
      </w:r>
      <w:r>
        <w:rPr>
          <w:sz w:val="22"/>
          <w:szCs w:val="22"/>
        </w:rPr>
        <w:t xml:space="preserve">  The definition of </w:t>
      </w:r>
      <w:r>
        <w:rPr>
          <w:b/>
          <w:bCs/>
          <w:sz w:val="22"/>
          <w:szCs w:val="22"/>
        </w:rPr>
        <w:t>“Applicable Rate”</w:t>
      </w:r>
      <w:r>
        <w:rPr>
          <w:sz w:val="22"/>
          <w:szCs w:val="22"/>
        </w:rPr>
        <w:t xml:space="preserve"> set forth in Section 14 is hereby amended by adding to the end of Subsection (b) of the definition after the word “Rate” the following provision:  “; </w:t>
      </w:r>
      <w:r>
        <w:rPr>
          <w:sz w:val="22"/>
          <w:szCs w:val="22"/>
          <w:u w:val="single"/>
        </w:rPr>
        <w:t>provided</w:t>
      </w:r>
      <w:r>
        <w:rPr>
          <w:sz w:val="22"/>
          <w:szCs w:val="22"/>
        </w:rPr>
        <w:t xml:space="preserve">, </w:t>
      </w:r>
      <w:r>
        <w:rPr>
          <w:sz w:val="22"/>
          <w:szCs w:val="22"/>
          <w:u w:val="single"/>
        </w:rPr>
        <w:t>however</w:t>
      </w:r>
      <w:r>
        <w:rPr>
          <w:sz w:val="22"/>
          <w:szCs w:val="22"/>
        </w:rPr>
        <w:t>, that if the payee is a Defaulting Party for purposes of Section 6(e), then the rate shall be the Non-default Rate.”</w:t>
      </w:r>
    </w:p>
    <w:p>
      <w:pPr>
        <w:pStyle w:val="Normal"/>
        <w:widowControl/>
        <w:spacing w:lineRule="exact" w:line="240" w:before="240" w:after="0"/>
        <w:ind w:firstLine="720" w:end="0"/>
        <w:jc w:val="both"/>
        <w:rPr/>
      </w:pPr>
      <w:r>
        <w:rPr>
          <w:sz w:val="22"/>
          <w:szCs w:val="22"/>
        </w:rPr>
        <w:t>(j)</w:t>
        <w:tab/>
      </w:r>
      <w:r>
        <w:rPr>
          <w:b/>
          <w:bCs/>
          <w:sz w:val="22"/>
          <w:szCs w:val="22"/>
        </w:rPr>
        <w:t>Severability.</w:t>
      </w:r>
      <w:r>
        <w:rPr>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szCs w:val="22"/>
          <w:u w:val="single"/>
        </w:rPr>
        <w:t>provided</w:t>
      </w:r>
      <w:r>
        <w:rPr>
          <w:sz w:val="22"/>
          <w:szCs w:val="22"/>
        </w:rPr>
        <w:t xml:space="preserve">, </w:t>
      </w:r>
      <w:r>
        <w:rPr>
          <w:sz w:val="22"/>
          <w:szCs w:val="22"/>
          <w:u w:val="single"/>
        </w:rPr>
        <w:t>however</w:t>
      </w:r>
      <w:r>
        <w:rPr>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widowControl/>
        <w:spacing w:lineRule="exact" w:line="240"/>
        <w:ind w:firstLine="720" w:end="0"/>
        <w:jc w:val="both"/>
        <w:rPr>
          <w:sz w:val="22"/>
          <w:szCs w:val="22"/>
        </w:rPr>
      </w:pPr>
      <w:r>
        <w:rPr>
          <w:sz w:val="22"/>
          <w:szCs w:val="22"/>
        </w:rPr>
      </w:r>
    </w:p>
    <w:p>
      <w:pPr>
        <w:pStyle w:val="Normal"/>
        <w:widowControl/>
        <w:spacing w:lineRule="exact" w:line="240"/>
        <w:ind w:firstLine="720" w:end="0"/>
        <w:jc w:val="both"/>
        <w:rPr/>
      </w:pPr>
      <w:r>
        <w:rPr>
          <w:sz w:val="22"/>
          <w:szCs w:val="22"/>
        </w:rPr>
        <w:t>(k)</w:t>
        <w:tab/>
      </w:r>
      <w:r>
        <w:rPr>
          <w:b/>
          <w:bCs/>
          <w:sz w:val="22"/>
          <w:szCs w:val="22"/>
        </w:rPr>
        <w:t>Limitation of Rate.</w:t>
      </w:r>
      <w:r>
        <w:rPr>
          <w:sz w:val="22"/>
          <w:szCs w:val="22"/>
        </w:rPr>
        <w:t xml:space="preserve">  Notwithstanding any provision to the contrary contained in this Agreement, in no event shall the Default Rate, Non-default Rate, or Termination Rate exceed the maximum non-usurious interest rate, if any, that at any time or from time to time may be contracted for, taken, reserved, charged, or received on the subject indebtedness under the law applicable to such party.</w:t>
      </w:r>
    </w:p>
    <w:p>
      <w:pPr>
        <w:pStyle w:val="Normal"/>
        <w:widowControl/>
        <w:spacing w:lineRule="exact" w:line="240" w:before="240" w:after="0"/>
        <w:ind w:firstLine="720" w:end="0"/>
        <w:jc w:val="both"/>
        <w:rPr/>
      </w:pPr>
      <w:r>
        <w:rPr>
          <w:sz w:val="22"/>
          <w:szCs w:val="22"/>
        </w:rPr>
        <w:t>(l)</w:t>
        <w:tab/>
      </w:r>
      <w:r>
        <w:rPr>
          <w:b/>
          <w:bCs/>
          <w:sz w:val="22"/>
          <w:szCs w:val="22"/>
        </w:rPr>
        <w:t>Existing Transactions.</w:t>
      </w:r>
      <w:r>
        <w:rPr>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sz w:val="22"/>
          <w:szCs w:val="22"/>
          <w:u w:val="single"/>
        </w:rPr>
        <w:t>provided that</w:t>
      </w:r>
      <w:r>
        <w:rPr>
          <w:sz w:val="22"/>
          <w:szCs w:val="22"/>
        </w:rPr>
        <w:t>,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w:t>
      </w:r>
    </w:p>
    <w:p>
      <w:pPr>
        <w:pStyle w:val="Normal"/>
        <w:ind w:firstLine="720" w:end="0"/>
        <w:jc w:val="both"/>
        <w:rPr>
          <w:sz w:val="22"/>
          <w:szCs w:val="22"/>
        </w:rPr>
      </w:pPr>
      <w:r>
        <w:rPr>
          <w:sz w:val="22"/>
          <w:szCs w:val="22"/>
        </w:rPr>
      </w:r>
    </w:p>
    <w:p>
      <w:pPr>
        <w:pStyle w:val="Normal"/>
        <w:ind w:firstLine="720" w:end="0"/>
        <w:jc w:val="both"/>
        <w:rPr/>
      </w:pPr>
      <w:r>
        <w:rPr>
          <w:sz w:val="22"/>
          <w:szCs w:val="22"/>
        </w:rPr>
        <w:t>(m)</w:t>
        <w:tab/>
      </w:r>
      <w:r>
        <w:rPr>
          <w:b/>
          <w:bCs/>
          <w:sz w:val="22"/>
          <w:szCs w:val="22"/>
        </w:rPr>
        <w:t>Single Relationship.</w:t>
      </w:r>
      <w:r>
        <w:rPr>
          <w:sz w:val="22"/>
          <w:szCs w:val="22"/>
        </w:rPr>
        <w:t xml:space="preserve">  The parties and their Affiliates intend that all Transactions and Specified Transactions shall be treated as mutual and part of a single, indivisible contractual and business relationship.</w:t>
      </w:r>
    </w:p>
    <w:p>
      <w:pPr>
        <w:pStyle w:val="Normal"/>
        <w:ind w:firstLine="720" w:end="0"/>
        <w:jc w:val="both"/>
        <w:rPr>
          <w:sz w:val="22"/>
          <w:szCs w:val="22"/>
        </w:rPr>
      </w:pPr>
      <w:r>
        <w:rPr>
          <w:sz w:val="22"/>
          <w:szCs w:val="22"/>
        </w:rPr>
      </w:r>
    </w:p>
    <w:p>
      <w:pPr>
        <w:pStyle w:val="BodyTextIndent3"/>
        <w:widowControl/>
        <w:ind w:start="0" w:end="0"/>
        <w:rPr/>
      </w:pPr>
      <w:r>
        <w:rPr/>
        <w:t>(n)</w:t>
        <w:tab/>
      </w:r>
      <w:r>
        <w:rPr>
          <w:b/>
          <w:bCs/>
        </w:rPr>
        <w:t>Single Agreement.</w:t>
      </w:r>
      <w:r>
        <w:rPr/>
        <w:t xml:space="preserve">  The phrase “(evidencing Transactions heretofore or hereafter entered into between Party A and Party B)” is hereby added after the word “Confirmations” in Section 1(c).</w:t>
      </w:r>
    </w:p>
    <w:p>
      <w:pPr>
        <w:pStyle w:val="Normal"/>
        <w:ind w:firstLine="720" w:end="0"/>
        <w:jc w:val="both"/>
        <w:rPr>
          <w:sz w:val="22"/>
          <w:szCs w:val="22"/>
        </w:rPr>
      </w:pPr>
      <w:r>
        <w:rPr>
          <w:sz w:val="22"/>
          <w:szCs w:val="22"/>
        </w:rPr>
      </w:r>
    </w:p>
    <w:p>
      <w:pPr>
        <w:pStyle w:val="Normal"/>
        <w:ind w:firstLine="720" w:end="0"/>
        <w:jc w:val="both"/>
        <w:rPr/>
      </w:pPr>
      <w:r>
        <w:rPr>
          <w:sz w:val="22"/>
          <w:szCs w:val="22"/>
        </w:rPr>
        <w:t>(o)</w:t>
        <w:tab/>
      </w:r>
      <w:r>
        <w:rPr>
          <w:b/>
          <w:bCs/>
          <w:sz w:val="22"/>
          <w:szCs w:val="22"/>
        </w:rPr>
        <w:t>Administrative Errors.</w:t>
      </w:r>
      <w:r>
        <w:rPr>
          <w:sz w:val="22"/>
          <w:szCs w:val="22"/>
        </w:rPr>
        <w:t xml:space="preserve">   The following proviso will be inserted to the end of Section 5(a)(vi) of this Agreement:</w:t>
      </w:r>
    </w:p>
    <w:p>
      <w:pPr>
        <w:pStyle w:val="Normal"/>
        <w:widowControl/>
        <w:spacing w:lineRule="exact" w:line="240" w:before="240" w:after="0"/>
        <w:ind w:firstLine="720" w:start="720" w:end="720"/>
        <w:jc w:val="both"/>
        <w:rPr>
          <w:sz w:val="22"/>
          <w:szCs w:val="22"/>
        </w:rPr>
      </w:pPr>
      <w:r>
        <w:rPr>
          <w:sz w:val="22"/>
          <w:szCs w:val="22"/>
        </w:rPr>
        <w:t>“</w:t>
      </w:r>
      <w:r>
        <w:rPr>
          <w:sz w:val="22"/>
          <w:szCs w:val="22"/>
        </w:rPr>
        <w:t>provided, however, that notwithstanding the foregoing, an Event of Default shall not occur under either (1) or (2) above if (a) the event or condition referred to in (1) or the failure to pay referred to in (2) is a failure to pay caused by an error or omission of an administrative or operational nature; and (b) funds were available to such party to enable it to make the relevant payment when due; and (c) such relevant payment is made within three local Business Days following receipt of written notice from an interested party of such failure to pay.”</w:t>
      </w:r>
    </w:p>
    <w:p>
      <w:pPr>
        <w:pStyle w:val="Normal"/>
        <w:ind w:hanging="720" w:start="720" w:end="0"/>
        <w:jc w:val="both"/>
        <w:rPr>
          <w:sz w:val="22"/>
          <w:szCs w:val="22"/>
        </w:rPr>
      </w:pPr>
      <w:r>
        <w:rPr>
          <w:sz w:val="22"/>
          <w:szCs w:val="22"/>
        </w:rPr>
        <w:tab/>
      </w:r>
    </w:p>
    <w:p>
      <w:pPr>
        <w:pStyle w:val="Normal"/>
        <w:ind w:start="720" w:end="0"/>
        <w:jc w:val="both"/>
        <w:rPr>
          <w:sz w:val="22"/>
          <w:szCs w:val="22"/>
        </w:rPr>
      </w:pPr>
      <w:r>
        <w:rPr>
          <w:sz w:val="22"/>
          <w:szCs w:val="22"/>
        </w:rPr>
        <w:t>(p)</w:t>
        <w:tab/>
        <w:t>The following shall be added to Section 5(b):</w:t>
      </w:r>
    </w:p>
    <w:p>
      <w:pPr>
        <w:pStyle w:val="Normal"/>
        <w:ind w:hanging="720" w:start="720" w:end="0"/>
        <w:jc w:val="both"/>
        <w:rPr>
          <w:sz w:val="22"/>
          <w:szCs w:val="22"/>
        </w:rPr>
      </w:pPr>
      <w:r>
        <w:rPr>
          <w:sz w:val="22"/>
          <w:szCs w:val="22"/>
        </w:rPr>
      </w:r>
    </w:p>
    <w:p>
      <w:pPr>
        <w:pStyle w:val="Normal"/>
        <w:ind w:hanging="720" w:start="720" w:end="0"/>
        <w:jc w:val="both"/>
        <w:rPr/>
      </w:pPr>
      <w:r>
        <w:rPr>
          <w:sz w:val="22"/>
          <w:szCs w:val="22"/>
        </w:rPr>
        <w:tab/>
        <w:tab/>
        <w:t xml:space="preserve">(vi) </w:t>
        <w:tab/>
      </w:r>
      <w:r>
        <w:rPr>
          <w:b/>
          <w:bCs/>
          <w:i/>
          <w:iCs/>
          <w:sz w:val="22"/>
          <w:szCs w:val="22"/>
        </w:rPr>
        <w:t>Impossibility.</w:t>
      </w:r>
      <w:r>
        <w:rPr>
          <w:sz w:val="22"/>
          <w:szCs w:val="22"/>
        </w:rPr>
        <w:t xml:space="preserve"> Due to the occurrence of a natural or man-made disaster, armed conflict, act of terrorism, riot, labor disruption or any other circumstance beyond its control after the date on which a Transaction is entered into, it becomes impossible (other than as a result of its own misconduct for such a party (which will be the Affected Party):</w:t>
      </w:r>
    </w:p>
    <w:p>
      <w:pPr>
        <w:pStyle w:val="Normal"/>
        <w:ind w:hanging="720" w:start="720" w:end="0"/>
        <w:jc w:val="both"/>
        <w:rPr>
          <w:sz w:val="22"/>
          <w:szCs w:val="22"/>
        </w:rPr>
      </w:pPr>
      <w:r>
        <w:rPr>
          <w:sz w:val="22"/>
          <w:szCs w:val="22"/>
        </w:rPr>
      </w:r>
    </w:p>
    <w:p>
      <w:pPr>
        <w:pStyle w:val="Normal"/>
        <w:ind w:firstLine="720" w:start="1440" w:end="0"/>
        <w:jc w:val="both"/>
        <w:rPr>
          <w:sz w:val="22"/>
          <w:szCs w:val="22"/>
        </w:rPr>
      </w:pPr>
      <w:r>
        <w:rPr>
          <w:sz w:val="22"/>
          <w:szCs w:val="22"/>
        </w:rPr>
        <w:t xml:space="preserve">(1) </w:t>
        <w:tab/>
        <w:t>to perform any absolute or contingent obligation, to make a payment or delivery or to receive a payment or delivery in respect of such Transaction or to comply with any other material provision of this Agreement relating to such Transaction; or</w:t>
      </w:r>
    </w:p>
    <w:p>
      <w:pPr>
        <w:pStyle w:val="Normal"/>
        <w:ind w:hanging="720" w:start="720" w:end="0"/>
        <w:jc w:val="both"/>
        <w:rPr>
          <w:sz w:val="22"/>
          <w:szCs w:val="22"/>
        </w:rPr>
      </w:pPr>
      <w:r>
        <w:rPr>
          <w:sz w:val="22"/>
          <w:szCs w:val="22"/>
        </w:rPr>
      </w:r>
    </w:p>
    <w:p>
      <w:pPr>
        <w:pStyle w:val="Normal"/>
        <w:ind w:firstLine="720" w:start="1440" w:end="0"/>
        <w:jc w:val="both"/>
        <w:rPr>
          <w:b/>
          <w:bCs/>
          <w:sz w:val="22"/>
          <w:szCs w:val="22"/>
        </w:rPr>
      </w:pPr>
      <w:r>
        <w:rPr>
          <w:sz w:val="22"/>
          <w:szCs w:val="22"/>
        </w:rPr>
        <w:t xml:space="preserve">(2) </w:t>
        <w:tab/>
        <w:t>to perform, or for any Credit Support Provider of such party to perform, any contingent or other obligation which the party (or such Credit Support Provider) has under any Credit Support Document relating to such Transaction.</w:t>
      </w:r>
    </w:p>
    <w:p>
      <w:pPr>
        <w:pStyle w:val="Normal"/>
        <w:jc w:val="both"/>
        <w:rPr>
          <w:b/>
          <w:bCs/>
          <w:sz w:val="22"/>
          <w:szCs w:val="22"/>
        </w:rPr>
      </w:pPr>
      <w:r>
        <w:rPr>
          <w:b/>
          <w:bCs/>
          <w:sz w:val="22"/>
          <w:szCs w:val="22"/>
        </w:rPr>
      </w:r>
    </w:p>
    <w:p>
      <w:pPr>
        <w:pStyle w:val="Normal"/>
        <w:widowControl/>
        <w:spacing w:before="480" w:after="0"/>
        <w:jc w:val="both"/>
        <w:rPr>
          <w:b/>
          <w:bCs/>
          <w:sz w:val="22"/>
          <w:szCs w:val="22"/>
        </w:rPr>
      </w:pPr>
      <w:r>
        <w:rPr>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eastAsia="Times New Roman" w:cs="Times New Roman"/>
          <w:b/>
          <w:bCs/>
          <w:sz w:val="22"/>
          <w:szCs w:val="22"/>
        </w:rPr>
      </w:pPr>
      <w:r>
        <w:rPr>
          <w:rFonts w:eastAsia="Times New Roman" w:cs="Times New Roman" w:ascii="Times New Roman" w:hAnsi="Times New Roman"/>
          <w:b/>
          <w:bCs/>
          <w:sz w:val="22"/>
          <w:szCs w:val="22"/>
        </w:rPr>
      </w:r>
    </w:p>
    <w:p>
      <w:pPr>
        <w:pStyle w:val="Normal"/>
        <w:widowControl/>
        <w:ind w:firstLine="720" w:end="0"/>
        <w:jc w:val="both"/>
        <w:rPr>
          <w:sz w:val="22"/>
          <w:szCs w:val="22"/>
        </w:rPr>
      </w:pPr>
      <w:r>
        <w:rPr>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(c)</w:t>
        <w:tab/>
        <w:t>Section 7.4(c)(viii) of the Commodity Definitions is hereby amended by the addition of the following at the end thereof:</w:t>
      </w:r>
    </w:p>
    <w:p>
      <w:pPr>
        <w:pStyle w:val="Normal"/>
        <w:widowControl/>
        <w:ind w:firstLine="720" w:end="0"/>
        <w:jc w:val="both"/>
        <w:rPr>
          <w:sz w:val="22"/>
          <w:szCs w:val="22"/>
        </w:rPr>
      </w:pPr>
      <w:r>
        <w:rPr>
          <w:sz w:val="22"/>
          <w:szCs w:val="22"/>
        </w:rPr>
      </w:r>
    </w:p>
    <w:p>
      <w:pPr>
        <w:pStyle w:val="Normal"/>
        <w:widowControl/>
        <w:ind w:firstLine="720" w:start="720" w:end="0"/>
        <w:jc w:val="both"/>
        <w:rPr>
          <w:sz w:val="22"/>
          <w:szCs w:val="22"/>
        </w:rPr>
      </w:pPr>
      <w:r>
        <w:rPr>
          <w:sz w:val="22"/>
          <w:szCs w:val="22"/>
        </w:rPr>
        <w:t>“</w:t>
      </w:r>
      <w:r>
        <w:rPr>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widowControl/>
        <w:ind w:firstLine="720" w:start="720" w:end="0"/>
        <w:jc w:val="both"/>
        <w:rPr>
          <w:sz w:val="22"/>
          <w:szCs w:val="22"/>
        </w:rPr>
      </w:pPr>
      <w:r>
        <w:rPr>
          <w:sz w:val="22"/>
          <w:szCs w:val="22"/>
        </w:rPr>
      </w:r>
    </w:p>
    <w:p>
      <w:pPr>
        <w:pStyle w:val="Normal"/>
        <w:widowControl/>
        <w:ind w:firstLine="720" w:end="0"/>
        <w:jc w:val="both"/>
        <w:rPr>
          <w:sz w:val="22"/>
          <w:szCs w:val="22"/>
        </w:rPr>
      </w:pPr>
      <w:r>
        <w:rPr>
          <w:sz w:val="22"/>
          <w:szCs w:val="22"/>
        </w:rPr>
        <w:t>(d)</w:t>
        <w:tab/>
        <w:t>Section 7.5(e) of the Commodity Definitions is hereby deleted.</w:t>
      </w:r>
    </w:p>
    <w:p>
      <w:pPr>
        <w:pStyle w:val="Normal"/>
        <w:widowControl/>
        <w:ind w:firstLine="720" w:end="0"/>
        <w:jc w:val="both"/>
        <w:rPr>
          <w:sz w:val="22"/>
          <w:szCs w:val="22"/>
        </w:rPr>
      </w:pPr>
      <w:r>
        <w:rPr>
          <w:sz w:val="22"/>
          <w:szCs w:val="22"/>
        </w:rPr>
      </w:r>
    </w:p>
    <w:p>
      <w:pPr>
        <w:pStyle w:val="Normal"/>
        <w:widowControl/>
        <w:ind w:firstLine="720" w:end="0"/>
        <w:jc w:val="both"/>
        <w:rPr>
          <w:sz w:val="22"/>
          <w:szCs w:val="22"/>
        </w:rPr>
      </w:pPr>
      <w:r>
        <w:rPr>
          <w:sz w:val="22"/>
          <w:szCs w:val="22"/>
        </w:rPr>
        <w:t>(e)</w:t>
        <w:tab/>
        <w:t>“Additional Market Disruption Events” shall apply only if so specified in the relevant Confirmation.</w:t>
      </w:r>
    </w:p>
    <w:p>
      <w:pPr>
        <w:pStyle w:val="Normal"/>
        <w:widowControl/>
        <w:ind w:firstLine="720" w:end="0"/>
        <w:jc w:val="both"/>
        <w:rPr>
          <w:sz w:val="22"/>
          <w:szCs w:val="22"/>
        </w:rPr>
      </w:pPr>
      <w:r>
        <w:rPr>
          <w:sz w:val="22"/>
          <w:szCs w:val="22"/>
        </w:rPr>
      </w:r>
    </w:p>
    <w:p>
      <w:pPr>
        <w:pStyle w:val="BodyTextIndent2"/>
        <w:widowControl/>
        <w:tabs>
          <w:tab w:val="clear" w:pos="1350"/>
        </w:tabs>
        <w:rPr>
          <w:rFonts w:ascii="Times New Roman" w:hAnsi="Times New Roman" w:eastAsia="Times New Roman" w:cs="Times New Roman"/>
          <w:b/>
          <w:bCs/>
        </w:rPr>
      </w:pPr>
      <w:r>
        <w:rPr>
          <w:rFonts w:eastAsia="Times New Roman" w:cs="Times New Roman" w:ascii="Times New Roman" w:hAnsi="Times New Roman"/>
        </w:rPr>
        <w:t>(f)</w:t>
        <w:tab/>
        <w:t>The following “Disruption Fallbacks” specified in Section 7.5(c) of the Commodity Definitions shall apply, in the following order, except as otherwise specified in the relevant Confirmation:</w:t>
      </w:r>
    </w:p>
    <w:p>
      <w:pPr>
        <w:pStyle w:val="BodyTextIndent2"/>
        <w:widowControl/>
        <w:tabs>
          <w:tab w:val="clear" w:pos="1350"/>
        </w:tabs>
        <w:rPr>
          <w:rFonts w:ascii="Times New Roman" w:hAnsi="Times New Roman" w:eastAsia="Times New Roman" w:cs="Times New Roman"/>
          <w:b/>
          <w:bCs/>
        </w:rPr>
      </w:pPr>
      <w:r>
        <w:rPr>
          <w:rFonts w:eastAsia="Times New Roman" w:cs="Times New Roman" w:ascii="Times New Roman" w:hAnsi="Times New Roman"/>
          <w:b/>
          <w:bCs/>
        </w:rPr>
      </w:r>
    </w:p>
    <w:p>
      <w:pPr>
        <w:pStyle w:val="BlockText"/>
        <w:widowControl/>
        <w:ind w:hanging="720" w:start="1440" w:end="720"/>
        <w:rPr/>
      </w:pPr>
      <w:r>
        <w:rPr/>
        <w:t>(i)</w:t>
        <w:tab/>
        <w:t>“Postponement”, with three (3) Commodity Business Days as the Maximum Days of Disruption;</w:t>
      </w:r>
    </w:p>
    <w:p>
      <w:pPr>
        <w:pStyle w:val="Normal"/>
        <w:widowControl/>
        <w:ind w:hanging="720" w:start="1440" w:end="720"/>
        <w:jc w:val="both"/>
        <w:rPr>
          <w:sz w:val="22"/>
          <w:szCs w:val="22"/>
        </w:rPr>
      </w:pPr>
      <w:r>
        <w:rPr>
          <w:sz w:val="22"/>
          <w:szCs w:val="22"/>
        </w:rPr>
      </w:r>
    </w:p>
    <w:p>
      <w:pPr>
        <w:pStyle w:val="BlockText"/>
        <w:widowControl/>
        <w:ind w:hanging="720" w:start="1440" w:end="720"/>
        <w:rPr/>
      </w:pPr>
      <w:r>
        <w:rPr/>
        <w:t>(ii)</w:t>
        <w:tab/>
        <w:t>“Fallback Reference Price” (if the relevant parties have specified an alternate Commodity Reference Price in the Confirmation);</w:t>
      </w:r>
    </w:p>
    <w:p>
      <w:pPr>
        <w:pStyle w:val="Normal"/>
        <w:widowControl/>
        <w:ind w:hanging="720" w:start="1440" w:end="720"/>
        <w:jc w:val="both"/>
        <w:rPr>
          <w:sz w:val="22"/>
          <w:szCs w:val="22"/>
        </w:rPr>
      </w:pPr>
      <w:r>
        <w:rPr>
          <w:sz w:val="22"/>
          <w:szCs w:val="22"/>
        </w:rPr>
      </w:r>
    </w:p>
    <w:p>
      <w:pPr>
        <w:pStyle w:val="BlockText"/>
        <w:widowControl/>
        <w:ind w:hanging="720" w:start="1440" w:end="720"/>
        <w:rPr/>
      </w:pPr>
      <w:r>
        <w:rPr/>
        <w:t>(iii)</w:t>
        <w:tab/>
        <w:t>“Negotiated Fallback” (provided that the reference in Section 7.5(c)(iv) to “fifth Business Day” shall be amended to be “twelfth Business Day”); and</w:t>
      </w:r>
    </w:p>
    <w:p>
      <w:pPr>
        <w:pStyle w:val="Normal"/>
        <w:widowControl/>
        <w:ind w:hanging="720" w:start="1440" w:end="720"/>
        <w:jc w:val="both"/>
        <w:rPr>
          <w:sz w:val="22"/>
          <w:szCs w:val="22"/>
        </w:rPr>
      </w:pPr>
      <w:r>
        <w:rPr>
          <w:sz w:val="22"/>
          <w:szCs w:val="22"/>
        </w:rPr>
      </w:r>
    </w:p>
    <w:p>
      <w:pPr>
        <w:pStyle w:val="Normal"/>
        <w:widowControl/>
        <w:ind w:hanging="720" w:start="1440" w:end="0"/>
        <w:jc w:val="both"/>
        <w:rPr/>
      </w:pPr>
      <w:r>
        <w:rPr>
          <w:sz w:val="22"/>
          <w:szCs w:val="22"/>
        </w:rPr>
        <w:t>(iv)</w:t>
        <w:tab/>
        <w:t xml:space="preserve">“Fallback Reference Dealers”; </w:t>
      </w:r>
      <w:r>
        <w:rPr>
          <w:sz w:val="22"/>
          <w:szCs w:val="22"/>
          <w:u w:val="single"/>
        </w:rPr>
        <w:t>provided however</w:t>
      </w:r>
      <w:r>
        <w:rPr>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widowControl/>
        <w:ind w:firstLine="720" w:end="0"/>
        <w:jc w:val="both"/>
        <w:rPr>
          <w:sz w:val="22"/>
          <w:szCs w:val="22"/>
        </w:rPr>
      </w:pPr>
      <w:r>
        <w:rPr>
          <w:sz w:val="22"/>
          <w:szCs w:val="22"/>
        </w:rPr>
      </w:r>
    </w:p>
    <w:p>
      <w:pPr>
        <w:pStyle w:val="Normal"/>
        <w:widowControl/>
        <w:ind w:firstLine="720" w:end="0"/>
        <w:jc w:val="both"/>
        <w:rPr>
          <w:color w:val="000000"/>
          <w:sz w:val="22"/>
          <w:szCs w:val="22"/>
        </w:rPr>
      </w:pPr>
      <w:r>
        <w:rPr>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color w:val="000000"/>
          <w:sz w:val="22"/>
          <w:szCs w:val="22"/>
        </w:rPr>
        <w:t>.</w:t>
      </w:r>
      <w:r>
        <w:rPr>
          <w:sz w:val="22"/>
          <w:szCs w:val="22"/>
        </w:rPr>
        <w:t>”</w:t>
      </w:r>
    </w:p>
    <w:p>
      <w:pPr>
        <w:pStyle w:val="Normal"/>
        <w:widowControl/>
        <w:ind w:firstLine="720" w:end="0"/>
        <w:jc w:val="both"/>
        <w:rPr>
          <w:color w:val="000000"/>
          <w:sz w:val="22"/>
          <w:szCs w:val="22"/>
        </w:rPr>
      </w:pPr>
      <w:r>
        <w:rPr>
          <w:color w:val="000000"/>
          <w:sz w:val="22"/>
          <w:szCs w:val="22"/>
        </w:rPr>
      </w:r>
    </w:p>
    <w:p>
      <w:pPr>
        <w:pStyle w:val="Justified"/>
        <w:widowControl/>
        <w:spacing w:before="0" w:after="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szCs w:val="22"/>
        </w:rPr>
      </w:r>
    </w:p>
    <w:p>
      <w:pPr>
        <w:pStyle w:val="Justified"/>
        <w:widowControl/>
        <w:spacing w:before="0" w:after="0"/>
        <w:rPr>
          <w:rFonts w:ascii="Times New Roman" w:hAnsi="Times New Roman" w:eastAsia="Times New Roman" w:cs="Times New Roman"/>
        </w:rPr>
      </w:pPr>
      <w:r>
        <w:rPr>
          <w:rFonts w:eastAsia="Times New Roman" w:cs="Times New Roman" w:ascii="Times New Roman" w:hAnsi="Times New Roman"/>
        </w:rPr>
        <w:t>EXECUTED effective as of the date first written above.</w:t>
      </w:r>
    </w:p>
    <w:p>
      <w:pPr>
        <w:pStyle w:val="Normal"/>
        <w:widowControl/>
        <w:jc w:val="both"/>
        <w:rPr>
          <w:rFonts w:ascii="Times New Roman" w:hAnsi="Times New Roman" w:eastAsia="Times New Roman" w:cs="Times New Roman"/>
          <w:sz w:val="22"/>
          <w:szCs w:val="22"/>
        </w:rPr>
      </w:pPr>
      <w:r>
        <w:rPr>
          <w:rFonts w:eastAsia="Times New Roman" w:cs="Times New Roman"/>
          <w:sz w:val="22"/>
          <w:szCs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widowControl/>
              <w:spacing w:lineRule="exact" w:line="240"/>
              <w:jc w:val="both"/>
              <w:rPr>
                <w:sz w:val="22"/>
                <w:szCs w:val="22"/>
              </w:rPr>
            </w:pPr>
            <w:r>
              <w:rPr>
                <w:b/>
                <w:bCs/>
                <w:sz w:val="22"/>
                <w:szCs w:val="22"/>
              </w:rPr>
              <w:t>ENRON NORTH AMERICA CORP.</w:t>
            </w:r>
          </w:p>
          <w:p>
            <w:pPr>
              <w:pStyle w:val="Normal"/>
              <w:keepNext w:val="true"/>
              <w:widowControl/>
              <w:spacing w:lineRule="exact" w:line="240"/>
              <w:jc w:val="both"/>
              <w:rPr>
                <w:b/>
                <w:bCs/>
                <w:sz w:val="22"/>
                <w:szCs w:val="22"/>
              </w:rPr>
            </w:pPr>
            <w:r>
              <w:rPr>
                <w:b/>
                <w:bCs/>
                <w:sz w:val="22"/>
                <w:szCs w:val="22"/>
              </w:rPr>
            </w:r>
          </w:p>
          <w:p>
            <w:pPr>
              <w:pStyle w:val="Normal"/>
              <w:keepNext w:val="true"/>
              <w:widowControl/>
              <w:spacing w:lineRule="exact" w:line="240"/>
              <w:jc w:val="both"/>
              <w:rPr>
                <w:b/>
                <w:bCs/>
                <w:sz w:val="22"/>
                <w:szCs w:val="22"/>
              </w:rPr>
            </w:pPr>
            <w:r>
              <w:rPr>
                <w:b/>
                <w:bCs/>
                <w:sz w:val="22"/>
                <w:szCs w:val="22"/>
              </w:rPr>
            </w:r>
          </w:p>
          <w:p>
            <w:pPr>
              <w:pStyle w:val="Normal"/>
              <w:keepNext w:val="true"/>
              <w:widowControl/>
              <w:spacing w:lineRule="exact" w:line="240"/>
              <w:jc w:val="both"/>
              <w:rPr/>
            </w:pPr>
            <w:r>
              <w:rPr>
                <w:sz w:val="22"/>
                <w:szCs w:val="22"/>
              </w:rPr>
              <w:t>By:</w:t>
              <w:tab/>
            </w:r>
            <w:r>
              <w:rPr>
                <w:sz w:val="22"/>
                <w:szCs w:val="22"/>
                <w:u w:val="single"/>
              </w:rPr>
              <w:tab/>
              <w:tab/>
              <w:tab/>
              <w:tab/>
              <w:tab/>
            </w:r>
          </w:p>
          <w:p>
            <w:pPr>
              <w:pStyle w:val="Normal"/>
              <w:keepNext w:val="true"/>
              <w:widowControl/>
              <w:spacing w:lineRule="exact" w:line="240"/>
              <w:jc w:val="both"/>
              <w:rPr>
                <w:sz w:val="22"/>
                <w:szCs w:val="22"/>
              </w:rPr>
            </w:pPr>
            <w:r>
              <w:rPr>
                <w:sz w:val="22"/>
                <w:szCs w:val="22"/>
              </w:rPr>
              <w:t>Name:</w:t>
              <w:tab/>
            </w:r>
            <w:r>
              <w:rPr>
                <w:sz w:val="22"/>
                <w:szCs w:val="22"/>
                <w:u w:val="single"/>
              </w:rPr>
              <w:tab/>
              <w:tab/>
              <w:tab/>
              <w:tab/>
              <w:tab/>
            </w:r>
          </w:p>
          <w:p>
            <w:pPr>
              <w:pStyle w:val="Normal"/>
              <w:keepNext w:val="true"/>
              <w:widowControl/>
              <w:tabs>
                <w:tab w:val="clear" w:pos="720"/>
                <w:tab w:val="left" w:pos="4320" w:leader="none"/>
              </w:tabs>
              <w:spacing w:lineRule="exact" w:line="240"/>
              <w:jc w:val="both"/>
              <w:rPr>
                <w:sz w:val="22"/>
                <w:szCs w:val="22"/>
              </w:rPr>
            </w:pPr>
            <w:r>
              <w:rPr>
                <w:sz w:val="22"/>
                <w:szCs w:val="22"/>
              </w:rPr>
              <w:t xml:space="preserve">Title:    </w:t>
            </w:r>
            <w:r>
              <w:rPr>
                <w:sz w:val="22"/>
                <w:szCs w:val="22"/>
                <w:u w:val="single"/>
              </w:rPr>
              <w:tab/>
            </w:r>
          </w:p>
          <w:p>
            <w:pPr>
              <w:pStyle w:val="Normal"/>
              <w:keepNext w:val="true"/>
              <w:widowControl/>
              <w:spacing w:lineRule="exact" w:line="240"/>
              <w:jc w:val="both"/>
              <w:rPr>
                <w:sz w:val="22"/>
                <w:szCs w:val="22"/>
              </w:rPr>
            </w:pPr>
            <w:r>
              <w:rPr>
                <w:sz w:val="22"/>
                <w:szCs w:val="22"/>
              </w:rPr>
              <w:t xml:space="preserve">Date:     </w:t>
            </w:r>
            <w:r>
              <w:rPr>
                <w:sz w:val="22"/>
                <w:szCs w:val="22"/>
                <w:u w:val="single"/>
              </w:rPr>
              <w:tab/>
              <w:tab/>
              <w:tab/>
              <w:tab/>
              <w:tab/>
            </w:r>
          </w:p>
        </w:tc>
        <w:tc>
          <w:tcPr>
            <w:tcW w:w="4788" w:type="dxa"/>
            <w:tcBorders/>
          </w:tcPr>
          <w:p>
            <w:pPr>
              <w:pStyle w:val="Normal"/>
              <w:keepNext w:val="true"/>
              <w:widowControl/>
              <w:spacing w:lineRule="exact" w:line="240"/>
              <w:jc w:val="both"/>
              <w:rPr>
                <w:b/>
                <w:bCs/>
                <w:sz w:val="22"/>
                <w:szCs w:val="22"/>
              </w:rPr>
            </w:pPr>
            <w:r>
              <w:rPr>
                <w:b/>
                <w:bCs/>
                <w:sz w:val="22"/>
                <w:szCs w:val="22"/>
              </w:rPr>
              <w:t>AES EASTERN ENERGY L.P.</w:t>
            </w:r>
          </w:p>
          <w:p>
            <w:pPr>
              <w:pStyle w:val="Normal"/>
              <w:keepNext w:val="true"/>
              <w:widowControl/>
              <w:spacing w:lineRule="exact" w:line="240"/>
              <w:jc w:val="both"/>
              <w:rPr>
                <w:b/>
                <w:bCs/>
                <w:sz w:val="22"/>
                <w:szCs w:val="22"/>
              </w:rPr>
            </w:pPr>
            <w:r>
              <w:rPr>
                <w:b/>
                <w:bCs/>
                <w:sz w:val="22"/>
                <w:szCs w:val="22"/>
              </w:rPr>
            </w:r>
          </w:p>
          <w:p>
            <w:pPr>
              <w:pStyle w:val="Normal"/>
              <w:keepNext w:val="true"/>
              <w:widowControl/>
              <w:spacing w:lineRule="exact" w:line="240"/>
              <w:jc w:val="both"/>
              <w:rPr/>
            </w:pPr>
            <w:r>
              <w:rPr>
                <w:b/>
                <w:bCs/>
                <w:sz w:val="22"/>
                <w:szCs w:val="22"/>
              </w:rPr>
              <w:t>By:</w:t>
              <w:tab/>
            </w:r>
            <w:r>
              <w:rPr>
                <w:b/>
                <w:bCs/>
                <w:sz w:val="22"/>
                <w:szCs w:val="22"/>
                <w:u w:val="single"/>
              </w:rPr>
              <w:tab/>
              <w:tab/>
              <w:tab/>
              <w:tab/>
              <w:tab/>
            </w:r>
            <w:r>
              <w:rPr>
                <w:b/>
                <w:bCs/>
                <w:sz w:val="22"/>
                <w:szCs w:val="22"/>
              </w:rPr>
              <w:t>,</w:t>
            </w:r>
          </w:p>
          <w:p>
            <w:pPr>
              <w:pStyle w:val="Normal"/>
              <w:keepNext w:val="true"/>
              <w:widowControl/>
              <w:spacing w:lineRule="exact" w:line="240"/>
              <w:jc w:val="both"/>
              <w:rPr>
                <w:sz w:val="22"/>
                <w:szCs w:val="22"/>
              </w:rPr>
            </w:pPr>
            <w:r>
              <w:rPr>
                <w:b/>
                <w:bCs/>
                <w:sz w:val="22"/>
                <w:szCs w:val="22"/>
              </w:rPr>
              <w:tab/>
              <w:t>its General Partner</w:t>
            </w:r>
          </w:p>
          <w:p>
            <w:pPr>
              <w:pStyle w:val="Normal"/>
              <w:keepNext w:val="true"/>
              <w:widowControl/>
              <w:spacing w:lineRule="exact" w:line="240"/>
              <w:jc w:val="both"/>
              <w:rPr>
                <w:sz w:val="22"/>
                <w:szCs w:val="22"/>
              </w:rPr>
            </w:pPr>
            <w:r>
              <w:rPr>
                <w:sz w:val="22"/>
                <w:szCs w:val="22"/>
              </w:rPr>
            </w:r>
          </w:p>
          <w:p>
            <w:pPr>
              <w:pStyle w:val="Normal"/>
              <w:keepNext w:val="true"/>
              <w:widowControl/>
              <w:spacing w:lineRule="exact" w:line="240"/>
              <w:jc w:val="both"/>
              <w:rPr>
                <w:sz w:val="22"/>
                <w:szCs w:val="22"/>
              </w:rPr>
            </w:pPr>
            <w:r>
              <w:rPr>
                <w:sz w:val="22"/>
                <w:szCs w:val="22"/>
              </w:rPr>
            </w:r>
          </w:p>
          <w:p>
            <w:pPr>
              <w:pStyle w:val="Normal"/>
              <w:keepNext w:val="true"/>
              <w:widowControl/>
              <w:spacing w:lineRule="exact" w:line="240"/>
              <w:jc w:val="both"/>
              <w:rPr/>
            </w:pPr>
            <w:r>
              <w:rPr>
                <w:sz w:val="22"/>
                <w:szCs w:val="22"/>
              </w:rPr>
              <w:tab/>
              <w:t>By:</w:t>
            </w:r>
            <w:r>
              <w:rPr>
                <w:sz w:val="22"/>
                <w:szCs w:val="22"/>
                <w:u w:val="single"/>
              </w:rPr>
              <w:tab/>
              <w:tab/>
              <w:tab/>
              <w:tab/>
              <w:tab/>
            </w:r>
          </w:p>
          <w:p>
            <w:pPr>
              <w:pStyle w:val="Normal"/>
              <w:keepNext w:val="true"/>
              <w:widowControl/>
              <w:spacing w:lineRule="exact" w:line="240"/>
              <w:jc w:val="both"/>
              <w:rPr>
                <w:sz w:val="22"/>
                <w:szCs w:val="22"/>
              </w:rPr>
            </w:pPr>
            <w:r>
              <w:rPr>
                <w:sz w:val="22"/>
                <w:szCs w:val="22"/>
              </w:rPr>
              <w:tab/>
              <w:t>Name: Richard Santoroski</w:t>
            </w:r>
          </w:p>
          <w:p>
            <w:pPr>
              <w:pStyle w:val="Normal"/>
              <w:keepNext w:val="true"/>
              <w:widowControl/>
              <w:spacing w:lineRule="exact" w:line="240"/>
              <w:jc w:val="both"/>
              <w:rPr>
                <w:sz w:val="22"/>
                <w:szCs w:val="22"/>
                <w:u w:val="single"/>
              </w:rPr>
            </w:pPr>
            <w:r>
              <w:rPr>
                <w:sz w:val="22"/>
                <w:szCs w:val="22"/>
              </w:rPr>
              <w:tab/>
              <w:t>Title: Vice President</w:t>
            </w:r>
          </w:p>
          <w:p>
            <w:pPr>
              <w:pStyle w:val="Normal"/>
              <w:keepNext w:val="true"/>
              <w:widowControl/>
              <w:spacing w:lineRule="exact" w:line="240"/>
              <w:jc w:val="both"/>
              <w:rPr>
                <w:sz w:val="22"/>
                <w:szCs w:val="22"/>
              </w:rPr>
            </w:pPr>
            <w:r>
              <w:rPr>
                <w:sz w:val="22"/>
                <w:szCs w:val="22"/>
              </w:rPr>
              <w:tab/>
              <w:t>Date:</w:t>
            </w:r>
            <w:r>
              <w:rPr>
                <w:sz w:val="22"/>
                <w:szCs w:val="22"/>
                <w:u w:val="single"/>
              </w:rPr>
              <w:tab/>
              <w:tab/>
              <w:tab/>
              <w:tab/>
              <w:tab/>
            </w:r>
          </w:p>
        </w:tc>
      </w:tr>
    </w:tbl>
    <w:p>
      <w:pPr>
        <w:pStyle w:val="Normal"/>
        <w:widowControl/>
        <w:tabs>
          <w:tab w:val="clear" w:pos="720"/>
          <w:tab w:val="left" w:pos="2880" w:leader="none"/>
        </w:tabs>
        <w:spacing w:lineRule="exact" w:line="240"/>
        <w:ind w:hanging="2880" w:start="2880" w:end="0"/>
        <w:jc w:val="both"/>
        <w:rPr>
          <w:sz w:val="22"/>
          <w:szCs w:val="22"/>
        </w:rPr>
      </w:pPr>
      <w:r>
        <w:rPr>
          <w:sz w:val="22"/>
          <w:szCs w:val="22"/>
        </w:rPr>
      </w:r>
    </w:p>
    <w:p>
      <w:pPr>
        <w:pStyle w:val="Normal"/>
        <w:widowControl/>
        <w:tabs>
          <w:tab w:val="clear" w:pos="720"/>
          <w:tab w:val="left" w:pos="2880" w:leader="none"/>
        </w:tabs>
        <w:spacing w:lineRule="exact" w:line="240"/>
        <w:ind w:hanging="2880" w:start="2880" w:end="0"/>
        <w:jc w:val="both"/>
        <w:rPr>
          <w:sz w:val="22"/>
          <w:szCs w:val="22"/>
        </w:rPr>
      </w:pPr>
      <w:r>
        <w:rPr>
          <w:sz w:val="22"/>
          <w:szCs w:val="22"/>
        </w:rPr>
      </w:r>
    </w:p>
    <w:p>
      <w:pPr>
        <w:pStyle w:val="Normal"/>
        <w:widowControl/>
        <w:tabs>
          <w:tab w:val="clear" w:pos="720"/>
          <w:tab w:val="left" w:pos="2700" w:leader="none"/>
        </w:tabs>
        <w:spacing w:lineRule="exact" w:line="240"/>
        <w:ind w:hanging="3060" w:start="3060" w:end="0"/>
        <w:jc w:val="both"/>
        <w:rPr>
          <w:sz w:val="22"/>
          <w:szCs w:val="22"/>
        </w:rPr>
      </w:pPr>
      <w:r>
        <w:rPr>
          <w:sz w:val="22"/>
          <w:szCs w:val="22"/>
        </w:rPr>
        <w:t>ANNEX A</w:t>
        <w:tab/>
        <w:t>ISDA CREDIT SUPPORT ANNEX, including Paragraph 13 thereto</w:t>
      </w:r>
    </w:p>
    <w:p>
      <w:pPr>
        <w:pStyle w:val="Normal"/>
        <w:widowControl/>
        <w:tabs>
          <w:tab w:val="clear" w:pos="720"/>
          <w:tab w:val="left" w:pos="2700" w:leader="none"/>
        </w:tabs>
        <w:spacing w:lineRule="exact" w:line="240"/>
        <w:ind w:hanging="3060" w:start="3060" w:end="0"/>
        <w:jc w:val="both"/>
        <w:rPr>
          <w:sz w:val="22"/>
          <w:szCs w:val="22"/>
        </w:rPr>
      </w:pPr>
      <w:r>
        <w:rPr>
          <w:sz w:val="22"/>
          <w:szCs w:val="22"/>
        </w:rPr>
        <w:t>SCHEDULE 1</w:t>
        <w:tab/>
        <w:t>IRREVOCABLE TRANSFERABLE STANDBY LETTER OF CREDIT</w:t>
      </w:r>
    </w:p>
    <w:p>
      <w:pPr>
        <w:pStyle w:val="Normal"/>
        <w:widowControl/>
        <w:tabs>
          <w:tab w:val="clear" w:pos="720"/>
          <w:tab w:val="left" w:pos="2700" w:leader="none"/>
        </w:tabs>
        <w:spacing w:lineRule="exact" w:line="240"/>
        <w:ind w:hanging="3060" w:start="3060" w:end="0"/>
        <w:jc w:val="both"/>
        <w:rPr>
          <w:sz w:val="22"/>
          <w:szCs w:val="22"/>
        </w:rPr>
      </w:pPr>
      <w:r>
        <w:rPr>
          <w:sz w:val="22"/>
          <w:szCs w:val="22"/>
        </w:rPr>
        <w:t>EXHIBIT A</w:t>
        <w:tab/>
        <w:t>FORM OF GUARANTY (PARTY A)</w:t>
      </w:r>
    </w:p>
    <w:p>
      <w:pPr>
        <w:pStyle w:val="Normal"/>
        <w:widowControl/>
        <w:jc w:val="center"/>
        <w:rPr>
          <w:sz w:val="22"/>
          <w:szCs w:val="22"/>
        </w:rPr>
      </w:pPr>
      <w:r>
        <w:rPr>
          <w:sz w:val="22"/>
          <w:szCs w:val="22"/>
        </w:rPr>
      </w:r>
    </w:p>
    <w:sectPr>
      <w:headerReference w:type="default" r:id="rId2"/>
      <w:footerReference w:type="default" r:id="rId3"/>
      <w:type w:val="nextPage"/>
      <w:pgSz w:w="12240" w:h="15840"/>
      <w:pgMar w:left="1080" w:right="1080" w:gutter="0" w:header="720" w:top="1440" w:footer="720" w:bottom="776"/>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 w:name="Tms Rmn">
    <w:altName w:val="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sz w:val="24"/>
        <w:szCs w:val="24"/>
      </w:rPr>
    </w:pPr>
    <w:r>
      <w:rPr>
        <w:sz w:val="24"/>
        <w:szCs w:val="24"/>
      </w:rPr>
      <w:t>Schedule 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szCs w:val="24"/>
      </w:rPr>
    </w:pPr>
    <w:r>
      <w:rPr>
        <w:sz w:val="24"/>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numPr>
        <w:ilvl w:val="1"/>
        <w:numId w:val="1"/>
      </w:numPr>
      <w:spacing w:before="0" w:after="240"/>
      <w:ind w:firstLine="720" w:start="0" w:end="0"/>
      <w:jc w:val="both"/>
      <w:outlineLvl w:val="1"/>
    </w:pPr>
    <w:rPr>
      <w:rFonts w:ascii="Arial" w:hAnsi="Arial" w:eastAsia="Arial" w:cs="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color w:val="FF0000"/>
      <w:sz w:val="22"/>
      <w:szCs w:val="22"/>
      <w:u w:val="single"/>
    </w:rPr>
  </w:style>
  <w:style w:type="paragraph" w:styleId="Heading6">
    <w:name w:val="heading 6"/>
    <w:basedOn w:val="Normal"/>
    <w:next w:val="Normal"/>
    <w:qFormat/>
    <w:pPr>
      <w:keepNext w:val="true"/>
      <w:numPr>
        <w:ilvl w:val="5"/>
        <w:numId w:val="1"/>
      </w:numPr>
      <w:jc w:val="end"/>
      <w:outlineLvl w:val="5"/>
    </w:pPr>
    <w:rPr>
      <w:b/>
      <w:bCs/>
      <w:sz w:val="22"/>
      <w:szCs w:val="22"/>
      <w:u w:val="single"/>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qFormat/>
    <w:rPr>
      <w:color w:val="0000FF"/>
      <w:sz w:val="20"/>
      <w:szCs w:val="20"/>
      <w:u w:val="single"/>
    </w:rPr>
  </w:style>
  <w:style w:type="character" w:styleId="FollowedHyperlink">
    <w:name w:val="FollowedHyperlink"/>
    <w:basedOn w:val="DefaultParagraphFont"/>
    <w:qFormat/>
    <w:rPr>
      <w:color w:val="800080"/>
      <w:sz w:val="20"/>
      <w:szCs w:val="2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spacing w:lineRule="exact" w:line="240"/>
      <w:ind w:firstLine="720" w:start="720" w:end="0"/>
      <w:jc w:val="both"/>
    </w:pPr>
    <w:rPr>
      <w:sz w:val="22"/>
      <w:szCs w:val="22"/>
    </w:rPr>
  </w:style>
  <w:style w:type="paragraph" w:styleId="Justified">
    <w:name w:val="Justified"/>
    <w:basedOn w:val="Normal"/>
    <w:next w:val="Heading2"/>
    <w:qFormat/>
    <w:pPr>
      <w:spacing w:before="0" w:after="120"/>
      <w:jc w:val="both"/>
    </w:pPr>
    <w:rPr>
      <w:rFonts w:ascii="Arial" w:hAnsi="Arial" w:eastAsia="Arial" w:cs="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tabs>
        <w:tab w:val="clear" w:pos="720"/>
        <w:tab w:val="left" w:pos="1350" w:leader="none"/>
      </w:tabs>
      <w:ind w:firstLine="720" w:start="0" w:end="0"/>
      <w:jc w:val="both"/>
    </w:pPr>
    <w:rPr>
      <w:rFonts w:ascii="Tms Rmn;Times New Roman" w:hAnsi="Tms Rmn;Times New Roman" w:eastAsia="Tms Rmn;Times New Roman" w:cs="Tms Rmn;Times New Roma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2"/>
      <w:szCs w:val="22"/>
    </w:rPr>
  </w:style>
  <w:style w:type="paragraph" w:styleId="Footer">
    <w:name w:val="footer"/>
    <w:basedOn w:val="Normal"/>
    <w:pPr>
      <w:tabs>
        <w:tab w:val="clear" w:pos="720"/>
        <w:tab w:val="center" w:pos="4320" w:leader="none"/>
        <w:tab w:val="right" w:pos="8640" w:leader="none"/>
      </w:tabs>
    </w:pPr>
    <w:rPr>
      <w:sz w:val="22"/>
      <w:szCs w:val="22"/>
    </w:rPr>
  </w:style>
  <w:style w:type="paragraph" w:styleId="FootnoteText">
    <w:name w:val="footnote text"/>
    <w:basedOn w:val="Normal"/>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2001-10-08T14:08:00Z</dcterms:created>
  <dc:creator>WEINGAEK</dc:creator>
  <dc:description/>
  <dc:language>en-CA</dc:language>
  <cp:lastModifiedBy>WEINGAEK</cp:lastModifiedBy>
  <cp:lastPrinted>2001-09-20T16:40:00Z</cp:lastPrinted>
  <dcterms:modified xsi:type="dcterms:W3CDTF">2001-10-20T12:17:00Z</dcterms:modified>
  <cp:revision>17</cp:revision>
  <dc:subject/>
  <dc:title>ISDA Schedules to Master : Enron and AES Eastern</dc:title>
</cp:coreProperties>
</file>