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30"/>
        </w:rPr>
      </w:pPr>
      <w:r>
        <w:rPr>
          <w:sz w:val="30"/>
        </w:rPr>
      </w:r>
    </w:p>
    <w:p>
      <w:pPr>
        <w:pStyle w:val="Normal"/>
        <w:jc w:val="both"/>
        <w:rPr>
          <w:sz w:val="30"/>
        </w:rPr>
      </w:pPr>
      <w:r>
        <w:rPr>
          <w:sz w:val="30"/>
        </w:rPr>
      </w:r>
    </w:p>
    <w:p>
      <w:pPr>
        <w:pStyle w:val="Normal"/>
        <w:tabs>
          <w:tab w:val="clear" w:pos="720"/>
          <w:tab w:val="center" w:pos="4680" w:leader="none"/>
        </w:tabs>
        <w:jc w:val="both"/>
        <w:rPr/>
      </w:pPr>
      <w:r>
        <w:rPr>
          <w:sz w:val="30"/>
        </w:rPr>
        <w:tab/>
      </w:r>
      <w:r>
        <w:rPr>
          <w:b/>
          <w:sz w:val="28"/>
        </w:rPr>
        <w:t>SCHEDULE</w:t>
        <w:br/>
      </w:r>
    </w:p>
    <w:p>
      <w:pPr>
        <w:pStyle w:val="Normal"/>
        <w:tabs>
          <w:tab w:val="clear" w:pos="720"/>
          <w:tab w:val="center" w:pos="4680" w:leader="none"/>
        </w:tabs>
        <w:jc w:val="both"/>
        <w:rPr>
          <w:b/>
          <w:sz w:val="28"/>
        </w:rPr>
      </w:pPr>
      <w:r>
        <w:rPr>
          <w:b/>
          <w:sz w:val="28"/>
        </w:rPr>
        <w:tab/>
        <w:t>to the</w:t>
        <w:br/>
      </w:r>
    </w:p>
    <w:p>
      <w:pPr>
        <w:pStyle w:val="Normal"/>
        <w:tabs>
          <w:tab w:val="clear" w:pos="720"/>
          <w:tab w:val="center" w:pos="4680" w:leader="none"/>
        </w:tabs>
        <w:jc w:val="both"/>
        <w:rPr>
          <w:b/>
          <w:sz w:val="28"/>
        </w:rPr>
      </w:pPr>
      <w:r>
        <w:rPr>
          <w:b/>
          <w:sz w:val="28"/>
        </w:rPr>
        <w:tab/>
        <w:t>ISDA MASTER AGREEMENT</w:t>
      </w:r>
    </w:p>
    <w:p>
      <w:pPr>
        <w:pStyle w:val="Normal"/>
        <w:tabs>
          <w:tab w:val="clear" w:pos="720"/>
          <w:tab w:val="center" w:pos="4680" w:leader="none"/>
        </w:tabs>
        <w:jc w:val="both"/>
        <w:rPr>
          <w:b/>
          <w:sz w:val="28"/>
        </w:rPr>
      </w:pPr>
      <w:r>
        <w:rPr>
          <w:b/>
          <w:sz w:val="28"/>
        </w:rPr>
        <w:tab/>
        <w:t>(Multicurrency-Cross Border)</w:t>
      </w:r>
    </w:p>
    <w:p>
      <w:pPr>
        <w:pStyle w:val="Normal"/>
        <w:jc w:val="both"/>
        <w:rPr>
          <w:b/>
          <w:sz w:val="28"/>
        </w:rPr>
      </w:pPr>
      <w:r>
        <w:rPr>
          <w:b/>
          <w:sz w:val="28"/>
        </w:rPr>
      </w:r>
    </w:p>
    <w:p>
      <w:pPr>
        <w:pStyle w:val="Normal"/>
        <w:tabs>
          <w:tab w:val="clear" w:pos="720"/>
          <w:tab w:val="center" w:pos="4680" w:leader="none"/>
        </w:tabs>
        <w:jc w:val="both"/>
        <w:rPr>
          <w:b/>
          <w:sz w:val="28"/>
        </w:rPr>
      </w:pPr>
      <w:r>
        <w:rPr>
          <w:b/>
          <w:sz w:val="28"/>
        </w:rPr>
        <w:tab/>
        <w:t>dated as of October __, 2001</w:t>
      </w:r>
    </w:p>
    <w:p>
      <w:pPr>
        <w:pStyle w:val="Normal"/>
        <w:jc w:val="both"/>
        <w:rPr>
          <w:b/>
          <w:sz w:val="28"/>
        </w:rPr>
      </w:pPr>
      <w:r>
        <w:rPr>
          <w:b/>
          <w:sz w:val="28"/>
        </w:rPr>
        <w:br/>
      </w:r>
    </w:p>
    <w:p>
      <w:pPr>
        <w:pStyle w:val="Normal"/>
        <w:tabs>
          <w:tab w:val="clear" w:pos="720"/>
          <w:tab w:val="center" w:pos="4680" w:leader="none"/>
        </w:tabs>
        <w:jc w:val="both"/>
        <w:rPr>
          <w:b/>
          <w:sz w:val="28"/>
        </w:rPr>
      </w:pPr>
      <w:r>
        <w:rPr>
          <w:b/>
          <w:sz w:val="28"/>
        </w:rPr>
        <w:tab/>
        <w:t>between</w:t>
      </w:r>
    </w:p>
    <w:p>
      <w:pPr>
        <w:pStyle w:val="Normal"/>
        <w:jc w:val="both"/>
        <w:rPr>
          <w:b/>
          <w:sz w:val="28"/>
        </w:rPr>
      </w:pPr>
      <w:r>
        <w:rPr>
          <w:b/>
          <w:sz w:val="28"/>
        </w:rPr>
        <w:br/>
      </w:r>
    </w:p>
    <w:p>
      <w:pPr>
        <w:pStyle w:val="Normal"/>
        <w:tabs>
          <w:tab w:val="clear" w:pos="720"/>
          <w:tab w:val="center" w:pos="4680" w:leader="none"/>
        </w:tabs>
        <w:jc w:val="both"/>
        <w:rPr>
          <w:b/>
          <w:sz w:val="28"/>
        </w:rPr>
      </w:pPr>
      <w:r>
        <w:rPr>
          <w:b/>
          <w:sz w:val="28"/>
        </w:rPr>
        <w:tab/>
      </w:r>
    </w:p>
    <w:p>
      <w:pPr>
        <w:pStyle w:val="Normal"/>
        <w:tabs>
          <w:tab w:val="clear" w:pos="720"/>
          <w:tab w:val="center" w:pos="4680" w:leader="none"/>
        </w:tabs>
        <w:jc w:val="center"/>
        <w:rPr>
          <w:b/>
          <w:sz w:val="28"/>
        </w:rPr>
      </w:pPr>
      <w:r>
        <w:rPr>
          <w:rFonts w:eastAsia="CG Times"/>
          <w:b/>
          <w:sz w:val="28"/>
        </w:rPr>
        <w:t xml:space="preserve"> </w:t>
      </w:r>
      <w:r>
        <w:rPr>
          <w:b/>
          <w:sz w:val="28"/>
        </w:rPr>
        <w:t xml:space="preserve">Entergy Gulf States, Inc. </w:t>
      </w:r>
    </w:p>
    <w:p>
      <w:pPr>
        <w:pStyle w:val="Normal"/>
        <w:tabs>
          <w:tab w:val="clear" w:pos="720"/>
          <w:tab w:val="center" w:pos="4680" w:leader="none"/>
        </w:tabs>
        <w:jc w:val="both"/>
        <w:rPr>
          <w:b/>
          <w:sz w:val="28"/>
        </w:rPr>
      </w:pPr>
      <w:r>
        <w:rPr>
          <w:b/>
          <w:sz w:val="28"/>
        </w:rPr>
        <w:tab/>
        <w:t>("Party A")</w:t>
      </w:r>
    </w:p>
    <w:p>
      <w:pPr>
        <w:pStyle w:val="Normal"/>
        <w:jc w:val="center"/>
        <w:rPr>
          <w:b/>
          <w:sz w:val="28"/>
        </w:rPr>
      </w:pPr>
      <w:r>
        <w:rPr>
          <w:b/>
          <w:sz w:val="28"/>
        </w:rPr>
        <w:t>a corporation organized under the laws of the State of Texas</w:t>
        <w:br/>
      </w:r>
    </w:p>
    <w:p>
      <w:pPr>
        <w:pStyle w:val="Normal"/>
        <w:tabs>
          <w:tab w:val="clear" w:pos="720"/>
          <w:tab w:val="center" w:pos="4680" w:leader="none"/>
        </w:tabs>
        <w:jc w:val="both"/>
        <w:rPr>
          <w:b/>
          <w:sz w:val="28"/>
        </w:rPr>
      </w:pPr>
      <w:r>
        <w:rPr>
          <w:b/>
          <w:sz w:val="28"/>
        </w:rPr>
        <w:tab/>
        <w:t>and</w:t>
      </w:r>
    </w:p>
    <w:p>
      <w:pPr>
        <w:pStyle w:val="BodyText2"/>
        <w:rPr/>
      </w:pPr>
      <w:r>
        <w:rPr/>
        <w:br/>
      </w:r>
    </w:p>
    <w:p>
      <w:pPr>
        <w:pStyle w:val="Normal"/>
        <w:tabs>
          <w:tab w:val="clear" w:pos="720"/>
          <w:tab w:val="center" w:pos="4680" w:leader="none"/>
        </w:tabs>
        <w:jc w:val="both"/>
        <w:rPr>
          <w:b/>
          <w:sz w:val="28"/>
        </w:rPr>
      </w:pPr>
      <w:r>
        <w:rPr>
          <w:b/>
          <w:sz w:val="28"/>
        </w:rPr>
        <w:tab/>
        <w:t>a corporation organized under the laws of the State of ________</w:t>
      </w:r>
    </w:p>
    <w:p>
      <w:pPr>
        <w:pStyle w:val="Normal"/>
        <w:tabs>
          <w:tab w:val="clear" w:pos="720"/>
          <w:tab w:val="center" w:pos="4680" w:leader="none"/>
        </w:tabs>
        <w:jc w:val="both"/>
        <w:rPr>
          <w:b/>
          <w:sz w:val="28"/>
        </w:rPr>
      </w:pPr>
      <w:r>
        <w:rPr>
          <w:rFonts w:eastAsia="CG Times"/>
          <w:b/>
          <w:sz w:val="28"/>
        </w:rPr>
        <w:t xml:space="preserve"> </w:t>
      </w:r>
      <w:r>
        <w:rPr>
          <w:b/>
          <w:sz w:val="28"/>
        </w:rPr>
        <w:tab/>
        <w:t xml:space="preserve"> ("Party B")</w:t>
      </w:r>
      <w:r>
        <w:br w:type="page"/>
      </w:r>
    </w:p>
    <w:p>
      <w:pPr>
        <w:pStyle w:val="Normal"/>
        <w:jc w:val="both"/>
        <w:rPr>
          <w:b/>
          <w:sz w:val="30"/>
        </w:rPr>
      </w:pPr>
      <w:r>
        <w:rPr>
          <w:b/>
          <w:sz w:val="30"/>
        </w:rPr>
      </w:r>
    </w:p>
    <w:p>
      <w:pPr>
        <w:pStyle w:val="Heading1"/>
        <w:ind w:hanging="0" w:start="0"/>
        <w:rPr/>
      </w:pPr>
      <w:r>
        <w:rPr/>
        <w:br/>
        <w:t>TERMINATION PROVISIONS</w:t>
      </w:r>
    </w:p>
    <w:p>
      <w:pPr>
        <w:pStyle w:val="Normal"/>
        <w:jc w:val="both"/>
        <w:rPr/>
      </w:pPr>
      <w:r>
        <w:rPr/>
      </w:r>
    </w:p>
    <w:p>
      <w:pPr>
        <w:pStyle w:val="Normal"/>
        <w:jc w:val="both"/>
        <w:rPr/>
      </w:pPr>
      <w:r>
        <w:rPr/>
        <w:t>In this Agreement:</w:t>
      </w:r>
    </w:p>
    <w:p>
      <w:pPr>
        <w:pStyle w:val="Normal"/>
        <w:jc w:val="both"/>
        <w:rPr/>
      </w:pPr>
      <w:r>
        <w:rPr/>
      </w:r>
    </w:p>
    <w:p>
      <w:pPr>
        <w:pStyle w:val="Heading2"/>
        <w:ind w:hanging="0" w:start="0"/>
        <w:rPr/>
      </w:pPr>
      <w:r>
        <w:rPr>
          <w:b/>
        </w:rPr>
        <w:t>"Specified Entity"</w:t>
      </w:r>
      <w:r>
        <w:rPr/>
        <w:t xml:space="preserve"> means in relation to Party A and Party B for the purpose of:</w:t>
      </w:r>
    </w:p>
    <w:p>
      <w:pPr>
        <w:pStyle w:val="Normal"/>
        <w:tabs>
          <w:tab w:val="clear" w:pos="720"/>
          <w:tab w:val="left" w:pos="-1440" w:leader="none"/>
        </w:tabs>
        <w:ind w:hanging="2160" w:start="2880" w:end="0"/>
        <w:jc w:val="both"/>
        <w:rPr/>
      </w:pPr>
      <w:r>
        <w:rPr/>
        <w:t>Section 5(a)(v):</w:t>
        <w:tab/>
        <w:t>Not Applicable</w:t>
      </w:r>
    </w:p>
    <w:p>
      <w:pPr>
        <w:pStyle w:val="Normal"/>
        <w:tabs>
          <w:tab w:val="clear" w:pos="720"/>
          <w:tab w:val="left" w:pos="-1440" w:leader="none"/>
        </w:tabs>
        <w:ind w:hanging="2160" w:start="2880" w:end="0"/>
        <w:jc w:val="both"/>
        <w:rPr/>
      </w:pPr>
      <w:r>
        <w:rPr/>
        <w:t>Section 5(a)(vi)</w:t>
        <w:tab/>
        <w:t>Not Applicable</w:t>
      </w:r>
    </w:p>
    <w:p>
      <w:pPr>
        <w:pStyle w:val="Normal"/>
        <w:tabs>
          <w:tab w:val="clear" w:pos="720"/>
          <w:tab w:val="left" w:pos="-1440" w:leader="none"/>
        </w:tabs>
        <w:ind w:hanging="2160" w:start="2880" w:end="0"/>
        <w:jc w:val="both"/>
        <w:rPr/>
      </w:pPr>
      <w:r>
        <w:rPr/>
        <w:t>Section 5(a)(vii):</w:t>
        <w:tab/>
        <w:t>Not Applicable</w:t>
      </w:r>
    </w:p>
    <w:p>
      <w:pPr>
        <w:pStyle w:val="Normal"/>
        <w:tabs>
          <w:tab w:val="clear" w:pos="720"/>
          <w:tab w:val="left" w:pos="-1440" w:leader="none"/>
        </w:tabs>
        <w:ind w:hanging="2160" w:start="2880" w:end="0"/>
        <w:jc w:val="both"/>
        <w:rPr/>
      </w:pPr>
      <w:r>
        <w:rPr/>
        <w:t>Section 5(b)(iv):</w:t>
        <w:tab/>
        <w:t>Not Applicable</w:t>
      </w:r>
    </w:p>
    <w:p>
      <w:pPr>
        <w:pStyle w:val="Normal"/>
        <w:jc w:val="both"/>
        <w:rPr/>
      </w:pPr>
      <w:r>
        <w:rPr/>
      </w:r>
    </w:p>
    <w:p>
      <w:pPr>
        <w:pStyle w:val="Heading2"/>
        <w:ind w:hanging="0" w:start="0"/>
        <w:rPr/>
      </w:pPr>
      <w:r>
        <w:rPr>
          <w:b/>
        </w:rPr>
        <w:t>"Specified Transaction"</w:t>
      </w:r>
      <w:r>
        <w:rPr/>
        <w:t xml:space="preserve"> will have the meaning specified in Section 14 of this Agreement.</w:t>
      </w:r>
    </w:p>
    <w:p>
      <w:pPr>
        <w:pStyle w:val="Normal"/>
        <w:ind w:firstLine="720" w:end="0"/>
        <w:jc w:val="both"/>
        <w:rPr/>
      </w:pPr>
      <w:r>
        <w:rPr>
          <w:b/>
        </w:rPr>
        <w:t>"Specified Indebtedness"</w:t>
      </w:r>
      <w:r>
        <w:rPr/>
        <w:t xml:space="preserve"> will have the meaning specified in Section 14 of this Agreement.</w:t>
      </w:r>
    </w:p>
    <w:p>
      <w:pPr>
        <w:pStyle w:val="Normal"/>
        <w:ind w:firstLine="720" w:end="0"/>
        <w:jc w:val="both"/>
        <w:rPr/>
      </w:pPr>
      <w:r>
        <w:rPr/>
      </w:r>
    </w:p>
    <w:p>
      <w:pPr>
        <w:pStyle w:val="Heading2"/>
        <w:tabs>
          <w:tab w:val="clear" w:pos="720"/>
        </w:tabs>
        <w:ind w:hanging="0" w:start="0"/>
        <w:rPr/>
      </w:pPr>
      <w:r>
        <w:rPr/>
        <w:t xml:space="preserve">The </w:t>
      </w:r>
      <w:r>
        <w:rPr>
          <w:b/>
        </w:rPr>
        <w:t>"Credit Event Upon Merger"</w:t>
      </w:r>
      <w:r>
        <w:rPr/>
        <w:t xml:space="preserve"> provisions of Section 5(b)(iv) of this Agreement will apply to Party A and Party B.  Provided however, that the phrase “materially weaker” means (i) the senior long-term debt of the resulting, surviving or transferee entity is rated less than investment grade by either Standard &amp; Poor’s Rating Group or Moody’s Investor Service, Inc., or (ii) if no such ratings exist, the Policies (as defined below) in effect at the time, of the non-Affected Party, would lead such non-Affected Party, solely as a result of a change in the nature, character, identity or condition of the Affected Party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individual entities, (2) other limits on doing business with entities domiciled in certain jurisdictions or engaging in certain activities, or (3) internal restrictions on doing business with entities with whom such party has had prior adverse business relations.</w:t>
      </w:r>
    </w:p>
    <w:p>
      <w:pPr>
        <w:pStyle w:val="Heading2"/>
        <w:tabs>
          <w:tab w:val="clear" w:pos="720"/>
        </w:tabs>
        <w:ind w:hanging="0" w:start="0"/>
        <w:rPr/>
      </w:pPr>
      <w:r>
        <w:rPr/>
        <w:t xml:space="preserve">The </w:t>
      </w:r>
      <w:r>
        <w:rPr>
          <w:b/>
        </w:rPr>
        <w:t>"Automatic Early Termination"</w:t>
      </w:r>
      <w:r>
        <w:rPr/>
        <w:t xml:space="preserve"> provisions of Section 6(a) of this Agreement will not apply to Party A and will not apply to Party B; provided, however, with respect to a party, where an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p>
    <w:p>
      <w:pPr>
        <w:pStyle w:val="Heading2"/>
        <w:tabs>
          <w:tab w:val="clear" w:pos="720"/>
        </w:tabs>
        <w:ind w:hanging="0" w:start="0"/>
        <w:rPr/>
      </w:pPr>
      <w:r>
        <w:rPr>
          <w:b/>
        </w:rPr>
        <w:t xml:space="preserve">Payments on Early Termination. </w:t>
      </w:r>
      <w:r>
        <w:rPr/>
        <w:t xml:space="preserve"> For the purpose of Section 6(e) of this Agreement:</w:t>
      </w:r>
    </w:p>
    <w:p>
      <w:pPr>
        <w:pStyle w:val="Heading3"/>
        <w:ind w:hanging="0" w:start="0"/>
        <w:rPr/>
      </w:pPr>
      <w:r>
        <w:rPr/>
        <w:t>Market Quotation will apply; and</w:t>
      </w:r>
    </w:p>
    <w:p>
      <w:pPr>
        <w:pStyle w:val="Heading3"/>
        <w:ind w:hanging="0" w:start="0"/>
        <w:rPr/>
      </w:pPr>
      <w:r>
        <w:rPr/>
        <w:t>The Second Method will apply.</w:t>
      </w:r>
    </w:p>
    <w:p>
      <w:pPr>
        <w:pStyle w:val="Heading2"/>
        <w:tabs>
          <w:tab w:val="clear" w:pos="720"/>
        </w:tabs>
        <w:ind w:hanging="0" w:start="0"/>
        <w:rPr/>
      </w:pPr>
      <w:r>
        <w:rPr>
          <w:b/>
        </w:rPr>
        <w:t>"Termination Currency"</w:t>
      </w:r>
      <w:r>
        <w:rPr/>
        <w:t xml:space="preserve"> means United States Dollars.</w:t>
      </w:r>
    </w:p>
    <w:p>
      <w:pPr>
        <w:pStyle w:val="Heading2"/>
        <w:tabs>
          <w:tab w:val="clear" w:pos="720"/>
        </w:tabs>
        <w:ind w:hanging="0" w:start="0"/>
        <w:rPr/>
      </w:pPr>
      <w:r>
        <w:rPr>
          <w:b/>
        </w:rPr>
        <w:t xml:space="preserve">Additional Termination Event </w:t>
      </w:r>
      <w:r>
        <w:rPr/>
        <w:t xml:space="preserve"> in Section 5(b)(v)  of this Agreement will not apply.</w:t>
      </w:r>
    </w:p>
    <w:p>
      <w:pPr>
        <w:pStyle w:val="Normal"/>
        <w:ind w:start="720" w:end="0"/>
        <w:rPr/>
      </w:pPr>
      <w:r>
        <w:rPr>
          <w:lang w:eastAsia="en-CA"/>
        </w:rPr>
        <w:t>(h)</w:t>
        <w:tab/>
      </w:r>
      <w:r>
        <w:rPr>
          <w:b/>
          <w:lang w:eastAsia="en-CA"/>
        </w:rPr>
        <w:t>“Contractual Currency”</w:t>
      </w:r>
      <w:r>
        <w:rPr>
          <w:lang w:eastAsia="en-CA"/>
        </w:rPr>
        <w:t xml:space="preserve"> in Section 8 of this Agreement means United States</w:t>
      </w:r>
    </w:p>
    <w:p>
      <w:pPr>
        <w:pStyle w:val="Normal"/>
        <w:rPr>
          <w:lang w:eastAsia="en-CA"/>
        </w:rPr>
      </w:pPr>
      <w:r>
        <w:rPr>
          <w:rFonts w:eastAsia="CG Times"/>
          <w:lang w:eastAsia="en-CA"/>
        </w:rPr>
        <w:t xml:space="preserve"> </w:t>
      </w:r>
      <w:r>
        <w:rPr>
          <w:lang w:eastAsia="en-CA"/>
        </w:rPr>
        <w:t>Dollars.</w:t>
      </w:r>
    </w:p>
    <w:p>
      <w:pPr>
        <w:pStyle w:val="Normal"/>
        <w:rPr>
          <w:lang w:eastAsia="en-CA"/>
        </w:rPr>
      </w:pPr>
      <w:r>
        <w:rPr>
          <w:lang w:eastAsia="en-CA"/>
        </w:rPr>
      </w:r>
    </w:p>
    <w:p>
      <w:pPr>
        <w:pStyle w:val="Heading1"/>
        <w:ind w:hanging="0" w:start="0"/>
        <w:rPr/>
      </w:pPr>
      <w:r>
        <w:rPr/>
        <w:br/>
        <w:t>TAX REPRESENTATIONS</w:t>
      </w:r>
    </w:p>
    <w:p>
      <w:pPr>
        <w:pStyle w:val="Normal"/>
        <w:jc w:val="both"/>
        <w:rPr/>
      </w:pPr>
      <w:r>
        <w:rPr/>
      </w:r>
    </w:p>
    <w:p>
      <w:pPr>
        <w:pStyle w:val="Heading2"/>
        <w:ind w:hanging="0" w:start="0"/>
        <w:rPr/>
      </w:pPr>
      <w:r>
        <w:rPr>
          <w:b/>
        </w:rPr>
        <w:t>Payee Tax Representations.</w:t>
      </w:r>
      <w:r>
        <w:rPr/>
        <w:t xml:space="preserve">  For the purpose of Section 3(f) of this Agreement, Party A and Party B make the representation(s) specified below, if any:</w:t>
      </w:r>
    </w:p>
    <w:p>
      <w:pPr>
        <w:pStyle w:val="Normal"/>
        <w:rPr/>
      </w:pPr>
      <w:r>
        <w:rPr/>
      </w:r>
    </w:p>
    <w:p>
      <w:pPr>
        <w:pStyle w:val="BodyTextFirstIndent"/>
        <w:rPr/>
      </w:pPr>
      <w:r>
        <w:rPr>
          <w:b/>
        </w:rPr>
        <w:t>Party A:</w:t>
      </w:r>
      <w:r>
        <w:rPr/>
        <w:t xml:space="preserve">  Party A is a corporation organized under the laws of the State of Texas and is a resident of the United States of America.</w:t>
      </w:r>
    </w:p>
    <w:p>
      <w:pPr>
        <w:pStyle w:val="BodyTextFirstIndent"/>
        <w:rPr/>
      </w:pPr>
      <w:r>
        <w:rPr>
          <w:b/>
        </w:rPr>
        <w:t>Party B:</w:t>
      </w:r>
      <w:r>
        <w:rPr/>
        <w:t xml:space="preserve"> Party B is a corporation organized under the laws of the State of Delaware and is a resident of the United States of America.</w:t>
      </w:r>
    </w:p>
    <w:p>
      <w:pPr>
        <w:pStyle w:val="Heading1"/>
        <w:ind w:hanging="0" w:start="0"/>
        <w:rPr/>
      </w:pPr>
      <w:r>
        <w:rPr/>
        <w:br/>
        <w:t>AGREEMENT TO DELIVER DOCUMENTS</w:t>
      </w:r>
    </w:p>
    <w:p>
      <w:pPr>
        <w:pStyle w:val="Normal"/>
        <w:jc w:val="both"/>
        <w:rPr/>
      </w:pPr>
      <w:r>
        <w:rPr/>
      </w:r>
    </w:p>
    <w:p>
      <w:pPr>
        <w:pStyle w:val="Normal"/>
        <w:jc w:val="both"/>
        <w:rPr/>
      </w:pPr>
      <w:r>
        <w:rPr/>
        <w:t>For the purpose of Section 4(a)(i) and (ii) of this Agreement, each party agrees to deliver the following documents, as applicable:</w:t>
      </w:r>
    </w:p>
    <w:p>
      <w:pPr>
        <w:pStyle w:val="Normal"/>
        <w:jc w:val="both"/>
        <w:rPr/>
      </w:pPr>
      <w:r>
        <w:rPr/>
      </w:r>
    </w:p>
    <w:p>
      <w:pPr>
        <w:pStyle w:val="Heading2"/>
        <w:ind w:hanging="0" w:start="0"/>
        <w:rPr/>
      </w:pPr>
      <w:r>
        <w:rPr/>
        <w:t>Tax forms, documents or certificates to be delivered are:</w:t>
      </w:r>
    </w:p>
    <w:p>
      <w:pPr>
        <w:pStyle w:val="Normal"/>
        <w:ind w:start="1440" w:end="0"/>
        <w:rPr/>
      </w:pPr>
      <w:r>
        <w:rPr/>
        <w:t>None other than those required under Section 4(a) (iii) of the Agreement.</w:t>
      </w:r>
    </w:p>
    <w:p>
      <w:pPr>
        <w:pStyle w:val="Normal"/>
        <w:rPr/>
      </w:pPr>
      <w:r>
        <w:rPr/>
      </w:r>
    </w:p>
    <w:p>
      <w:pPr>
        <w:pStyle w:val="Normal"/>
        <w:rPr/>
      </w:pPr>
      <w:r>
        <w:rPr/>
      </w:r>
    </w:p>
    <w:p>
      <w:pPr>
        <w:pStyle w:val="Heading1"/>
        <w:ind w:hanging="0" w:start="0"/>
        <w:rPr/>
      </w:pPr>
      <w:r>
        <w:rPr/>
        <w:br/>
        <w:t>MISCELLANEOUS</w:t>
      </w:r>
    </w:p>
    <w:p>
      <w:pPr>
        <w:pStyle w:val="Normal"/>
        <w:jc w:val="both"/>
        <w:rPr/>
      </w:pPr>
      <w:r>
        <w:rPr/>
      </w:r>
    </w:p>
    <w:p>
      <w:pPr>
        <w:pStyle w:val="Heading2"/>
        <w:ind w:hanging="0" w:start="0"/>
        <w:rPr/>
      </w:pPr>
      <w:r>
        <w:rPr>
          <w:b/>
        </w:rPr>
        <w:t>Addresses for Notices.</w:t>
      </w:r>
      <w:r>
        <w:rPr/>
        <w:t xml:space="preserve">  For the purpose of Section 12(a) of this Agreement:</w:t>
      </w:r>
    </w:p>
    <w:p>
      <w:pPr>
        <w:pStyle w:val="Normal"/>
        <w:ind w:firstLine="720" w:end="0"/>
        <w:jc w:val="both"/>
        <w:rPr/>
      </w:pPr>
      <w:r>
        <w:rPr/>
        <w:t xml:space="preserve">Address for notices or communications to </w:t>
      </w:r>
      <w:r>
        <w:rPr>
          <w:b/>
        </w:rPr>
        <w:t>Party A:</w:t>
      </w:r>
    </w:p>
    <w:p>
      <w:pPr>
        <w:pStyle w:val="Normal"/>
        <w:jc w:val="both"/>
        <w:rPr/>
      </w:pPr>
      <w:r>
        <w:rPr/>
      </w:r>
    </w:p>
    <w:p>
      <w:pPr>
        <w:pStyle w:val="Normal"/>
        <w:ind w:firstLine="720" w:end="0"/>
        <w:jc w:val="both"/>
        <w:rPr/>
      </w:pPr>
      <w:r>
        <w:rPr/>
        <w:tab/>
        <w:t>Entergy Gulf States, Inc.</w:t>
      </w:r>
    </w:p>
    <w:p>
      <w:pPr>
        <w:pStyle w:val="Normal"/>
        <w:ind w:firstLine="720" w:end="0"/>
        <w:jc w:val="both"/>
        <w:rPr/>
      </w:pPr>
      <w:r>
        <w:rPr/>
        <w:tab/>
        <w:t>10055 Grogan’s Mill Road, Suite 300</w:t>
      </w:r>
    </w:p>
    <w:p>
      <w:pPr>
        <w:pStyle w:val="Normal"/>
        <w:ind w:firstLine="720" w:end="0"/>
        <w:jc w:val="both"/>
        <w:rPr/>
      </w:pPr>
      <w:r>
        <w:rPr/>
        <w:tab/>
        <w:t>The Woodlands, TX  77381</w:t>
      </w:r>
    </w:p>
    <w:p>
      <w:pPr>
        <w:pStyle w:val="Normal"/>
        <w:ind w:firstLine="720" w:end="0"/>
        <w:jc w:val="both"/>
        <w:rPr/>
      </w:pPr>
      <w:r>
        <w:rPr/>
        <w:tab/>
        <w:t>Attn:  Contract Administration</w:t>
      </w:r>
    </w:p>
    <w:p>
      <w:pPr>
        <w:pStyle w:val="Normal"/>
        <w:ind w:firstLine="720" w:end="0"/>
        <w:jc w:val="both"/>
        <w:rPr/>
      </w:pPr>
      <w:r>
        <w:rPr/>
        <w:tab/>
        <w:t>Phone:  281-297-3582</w:t>
      </w:r>
    </w:p>
    <w:p>
      <w:pPr>
        <w:pStyle w:val="Normal"/>
        <w:ind w:firstLine="720" w:end="0"/>
        <w:jc w:val="both"/>
        <w:rPr/>
      </w:pPr>
      <w:r>
        <w:rPr/>
        <w:tab/>
        <w:t>Fax:      281-297-3882</w:t>
      </w:r>
    </w:p>
    <w:p>
      <w:pPr>
        <w:pStyle w:val="Normal"/>
        <w:ind w:firstLine="720" w:end="0"/>
        <w:jc w:val="both"/>
        <w:rPr/>
      </w:pPr>
      <w:r>
        <w:rPr/>
      </w:r>
    </w:p>
    <w:p>
      <w:pPr>
        <w:pStyle w:val="Normal"/>
        <w:ind w:firstLine="720" w:end="0"/>
        <w:jc w:val="both"/>
        <w:rPr/>
      </w:pPr>
      <w:r>
        <w:rPr/>
      </w:r>
    </w:p>
    <w:p>
      <w:pPr>
        <w:pStyle w:val="Normal"/>
        <w:jc w:val="both"/>
        <w:rPr/>
      </w:pPr>
      <w:r>
        <w:rPr/>
      </w:r>
    </w:p>
    <w:p>
      <w:pPr>
        <w:pStyle w:val="Normal"/>
        <w:ind w:firstLine="720" w:end="0"/>
        <w:jc w:val="both"/>
        <w:rPr/>
      </w:pPr>
      <w:r>
        <w:rPr/>
        <w:t xml:space="preserve">Address for notices or communications to </w:t>
      </w:r>
      <w:r>
        <w:rPr>
          <w:b/>
        </w:rPr>
        <w:t>Party B:</w:t>
      </w:r>
    </w:p>
    <w:p>
      <w:pPr>
        <w:pStyle w:val="Normal"/>
        <w:jc w:val="both"/>
        <w:rPr/>
      </w:pPr>
      <w:r>
        <w:rPr/>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keepNext w:val="true"/>
        <w:keepLines/>
        <w:ind w:hanging="0" w:start="0"/>
        <w:rPr/>
      </w:pPr>
      <w:r>
        <w:rPr>
          <w:b/>
        </w:rPr>
        <w:t>Process Agent.</w:t>
      </w:r>
      <w:r>
        <w:rPr/>
        <w:t xml:space="preserve">  For the purpose of Section 13(c) of this Agreement:</w:t>
      </w:r>
    </w:p>
    <w:p>
      <w:pPr>
        <w:pStyle w:val="Normal"/>
        <w:keepNext w:val="true"/>
        <w:keepLines/>
        <w:ind w:firstLine="1440" w:end="0"/>
        <w:jc w:val="both"/>
        <w:rPr/>
      </w:pPr>
      <w:r>
        <w:rPr/>
        <w:t>Party A’s Process Agent: Not Applicable.</w:t>
      </w:r>
    </w:p>
    <w:p>
      <w:pPr>
        <w:pStyle w:val="Normal"/>
        <w:keepNext w:val="true"/>
        <w:keepLines/>
        <w:ind w:firstLine="1440" w:end="0"/>
        <w:jc w:val="both"/>
        <w:rPr/>
      </w:pPr>
      <w:r>
        <w:rPr/>
        <w:t>Party B’s Process Agent: Not Applicable.</w:t>
      </w:r>
    </w:p>
    <w:p>
      <w:pPr>
        <w:pStyle w:val="Normal"/>
        <w:jc w:val="both"/>
        <w:rPr/>
      </w:pPr>
      <w:r>
        <w:rPr/>
      </w:r>
    </w:p>
    <w:p>
      <w:pPr>
        <w:pStyle w:val="Heading2"/>
        <w:ind w:hanging="0" w:start="0"/>
        <w:rPr/>
      </w:pPr>
      <w:r>
        <w:rPr>
          <w:b/>
        </w:rPr>
        <w:t>Offices.</w:t>
      </w:r>
      <w:r>
        <w:rPr/>
        <w:t xml:space="preserve">  The provisions of Section 10(a) will apply to this Agreement.</w:t>
      </w:r>
    </w:p>
    <w:p>
      <w:pPr>
        <w:pStyle w:val="Heading2"/>
        <w:ind w:hanging="0" w:start="0"/>
        <w:rPr/>
      </w:pPr>
      <w:r>
        <w:rPr>
          <w:b/>
        </w:rPr>
        <w:t>Multibranch Party</w:t>
      </w:r>
      <w:r>
        <w:rPr/>
        <w:t>.  Neither Party A nor Party B is a Multibranch Party.</w:t>
      </w:r>
    </w:p>
    <w:p>
      <w:pPr>
        <w:pStyle w:val="Heading2"/>
        <w:ind w:hanging="0" w:start="0"/>
        <w:rPr/>
      </w:pPr>
      <w:r>
        <w:rPr>
          <w:b/>
        </w:rPr>
        <w:t>Calculation Agent.</w:t>
      </w:r>
      <w:r>
        <w:rPr/>
        <w:t xml:space="preserve">  The Calculation Agent is Party A unless Party A is the Defaulting Party in which case Party B will be the Calculation Agent.  Provided, however, that if a calculation or determination is disputed by the party who is not the Calculation Agent, the parties shall first endeavor to resolve such dispute and, if they are unable to do so within a commercially reasonable time, they shall mutually select a dealer in the applicable commodity or in swaps involving the applicable commodity to act as Calculation Agent with respect to the issue in dispute. The failure of a party to perform its obligations as a Calculation Agent hereunder shall not be construed as an Event of Default or Termination Event.</w:t>
      </w:r>
    </w:p>
    <w:p>
      <w:pPr>
        <w:pStyle w:val="Heading2"/>
        <w:keepLines/>
        <w:ind w:hanging="0" w:start="0"/>
        <w:rPr/>
      </w:pPr>
      <w:r>
        <w:rPr>
          <w:b/>
        </w:rPr>
        <w:t>Governing Law.</w:t>
      </w:r>
      <w:r>
        <w:rPr/>
        <w:t xml:space="preserve">  This Agreement will be governed by and construed in accordance with the laws of the State of New York (without reference to choice of law doctrine). </w:t>
      </w:r>
    </w:p>
    <w:p>
      <w:pPr>
        <w:pStyle w:val="Heading2"/>
        <w:ind w:hanging="0" w:start="0"/>
        <w:rPr/>
      </w:pPr>
      <w:r>
        <w:rPr>
          <w:b/>
        </w:rPr>
        <w:t>Jurisdiction.</w:t>
      </w:r>
      <w:r>
        <w:rPr/>
        <w:t xml:space="preserve">  Section 13(b) of this Agreement is hereby deleted in its entirety and replaced with the following:</w:t>
      </w:r>
    </w:p>
    <w:p>
      <w:pPr>
        <w:pStyle w:val="BodyTextIndent"/>
        <w:rPr/>
      </w:pPr>
      <w:r>
        <w:rPr/>
        <w:t>(b)</w:t>
        <w:tab/>
        <w:t>Jurisdiction.  With respect to any suit, action, claim or proceeding relating to this Agreement (“Proceedings”), neither party waives any objection which it may have at any time to the laying of venue of any Proceedings brought in any court, waives any claim that such Proceedings have been brought in an inconvenient forum, nor waives the right to object, with respect to such Proceedings, that a court does not have any jurisdiction over such party.</w:t>
      </w:r>
    </w:p>
    <w:p>
      <w:pPr>
        <w:pStyle w:val="BodyTextFirstIndent"/>
        <w:rPr/>
      </w:pPr>
      <w:r>
        <w:rPr/>
        <w:t>Nothing in this Agreement precludes either party from bringing Proceedings in any jurisdiction, nor will the bringing of Proceedings in any one or more jurisdictions preclude the bringing of Proceedings in any other jurisdiction.</w:t>
      </w:r>
    </w:p>
    <w:p>
      <w:pPr>
        <w:pStyle w:val="Heading2"/>
        <w:ind w:hanging="0" w:start="0"/>
        <w:rPr/>
      </w:pPr>
      <w:r>
        <w:rPr>
          <w:b/>
        </w:rPr>
        <w:t xml:space="preserve">Waiver of Jury Trial.  </w:t>
      </w:r>
      <w:r>
        <w:rPr/>
        <w:t>Section 13 of this Agreement is hereby amended to add the following as a new Section 13(e) of this Agreement:</w:t>
      </w:r>
    </w:p>
    <w:p>
      <w:pPr>
        <w:pStyle w:val="Normal"/>
        <w:tabs>
          <w:tab w:val="clear" w:pos="720"/>
          <w:tab w:val="left" w:pos="-1440" w:leader="none"/>
        </w:tabs>
        <w:ind w:hanging="720" w:start="1440" w:end="0"/>
        <w:jc w:val="both"/>
        <w:rPr/>
      </w:pPr>
      <w:r>
        <w:rPr/>
        <w:t>“</w:t>
      </w:r>
      <w:r>
        <w:rPr/>
        <w:t>(e)</w:t>
      </w:r>
      <w:r>
        <w:rPr>
          <w:b/>
        </w:rPr>
        <w:tab/>
        <w:t>WAIVER OF JURY TRIAL.  EACH PARTY WAIVES, TO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SUCH A SUIT, ACTION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tabs>
          <w:tab w:val="clear" w:pos="720"/>
          <w:tab w:val="left" w:pos="-1440" w:leader="none"/>
        </w:tabs>
        <w:ind w:hanging="720" w:start="1440" w:end="0"/>
        <w:jc w:val="both"/>
        <w:rPr>
          <w:b/>
        </w:rPr>
      </w:pPr>
      <w:r>
        <w:rPr>
          <w:b/>
        </w:rPr>
      </w:r>
    </w:p>
    <w:p>
      <w:pPr>
        <w:pStyle w:val="Heading2"/>
        <w:ind w:hanging="0" w:start="0"/>
        <w:rPr/>
      </w:pPr>
      <w:r>
        <w:rPr>
          <w:b/>
        </w:rPr>
        <w:t>Netting of Payments.</w:t>
      </w:r>
      <w:r>
        <w:rPr/>
        <w:t xml:space="preserve">  Sub-paragraph (ii) of Section 2(c) will not apply. </w:t>
      </w:r>
    </w:p>
    <w:p>
      <w:pPr>
        <w:pStyle w:val="Heading2"/>
        <w:ind w:hanging="0" w:start="0"/>
        <w:rPr/>
      </w:pPr>
      <w:r>
        <w:rPr>
          <w:b/>
        </w:rPr>
        <w:t>"Affiliate"</w:t>
      </w:r>
      <w:r>
        <w:rPr/>
        <w:t xml:space="preserve"> will have the meaning specified in Section 14 of this Agreement.</w:t>
      </w:r>
    </w:p>
    <w:p>
      <w:pPr>
        <w:pStyle w:val="Heading1"/>
        <w:keepNext w:val="true"/>
        <w:keepLines/>
        <w:ind w:hanging="0" w:start="0"/>
        <w:rPr/>
      </w:pPr>
      <w:r>
        <w:rPr/>
        <w:br/>
        <w:t>OTHER PROVISIONS</w:t>
      </w:r>
    </w:p>
    <w:p>
      <w:pPr>
        <w:pStyle w:val="Heading2"/>
        <w:keepNext w:val="true"/>
        <w:keepLines/>
        <w:ind w:hanging="0" w:start="0"/>
        <w:rPr/>
      </w:pPr>
      <w:r>
        <w:rPr>
          <w:b/>
        </w:rPr>
        <w:t>Absence of Litigation</w:t>
      </w:r>
      <w:r>
        <w:rPr/>
        <w:t>.  Section 3(c) of this Agreement is hereby amended by: (i) adding in the second line thereof after the word “governmental” the words “or regulatory” and (ii) adding the words “in any material respect” immediately prior to the end of the section.</w:t>
      </w:r>
    </w:p>
    <w:p>
      <w:pPr>
        <w:pStyle w:val="Heading2"/>
        <w:ind w:hanging="0" w:start="0"/>
        <w:rPr/>
      </w:pPr>
      <w:r>
        <w:rPr>
          <w:b/>
        </w:rPr>
        <w:t>Additional Representations.</w:t>
      </w:r>
      <w:r>
        <w:rPr/>
        <w:t xml:space="preserve">  Section 3 of this Agreement is hereby amended by adding at the end thereof the following Subparagraphs (g):</w:t>
      </w:r>
    </w:p>
    <w:p>
      <w:pPr>
        <w:pStyle w:val="Normal"/>
        <w:tabs>
          <w:tab w:val="clear" w:pos="720"/>
          <w:tab w:val="left" w:pos="-1440" w:leader="none"/>
        </w:tabs>
        <w:ind w:firstLine="720" w:start="720" w:end="0"/>
        <w:jc w:val="both"/>
        <w:rPr/>
      </w:pPr>
      <w:r>
        <w:rPr/>
      </w:r>
    </w:p>
    <w:p>
      <w:pPr>
        <w:pStyle w:val="Normal"/>
        <w:tabs>
          <w:tab w:val="clear" w:pos="720"/>
          <w:tab w:val="left" w:pos="-1440" w:leader="none"/>
        </w:tabs>
        <w:ind w:firstLine="720" w:start="720" w:end="0"/>
        <w:jc w:val="both"/>
        <w:rPr/>
      </w:pPr>
      <w:r>
        <w:rPr/>
        <w:t>(g)</w:t>
        <w:tab/>
      </w:r>
      <w:r>
        <w:rPr>
          <w:b/>
        </w:rPr>
        <w:t>No Reliance</w:t>
      </w:r>
      <w:r>
        <w:rPr/>
        <w:t>.  In connection with the negotiation of, the entering into, and the confirming of the execution of this Agreement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(iv) the other party has not given to it (directly or indirectly through any other person) any advice, counsel, assurance, guaranty, or representation whatsoever as to the expected or projected success, profitability, return, performance, result, effect, consequence, or benefit (either legal, regulatory, tax, financial, accounting, or otherwise) of this Agreement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and such Transaction with a full understanding of all of the risks hereof and thereof (economic and otherwise), and it is capable of assuming and willing to assume (financially and otherwise) those risks.</w:t>
      </w:r>
    </w:p>
    <w:p>
      <w:pPr>
        <w:pStyle w:val="Normal"/>
        <w:jc w:val="both"/>
        <w:rPr/>
      </w:pPr>
      <w:r>
        <w:rPr/>
      </w:r>
    </w:p>
    <w:p>
      <w:pPr>
        <w:pStyle w:val="Heading2"/>
        <w:ind w:hanging="0" w:start="0"/>
        <w:rPr/>
      </w:pPr>
      <w:r>
        <w:rPr>
          <w:b/>
        </w:rPr>
        <w:t>Inconsistency.</w:t>
      </w:r>
      <w:r>
        <w:rPr/>
        <w:t xml:space="preserve">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Heading2"/>
        <w:ind w:hanging="0" w:start="0"/>
        <w:rPr/>
      </w:pPr>
      <w:r>
        <w:rPr>
          <w:b/>
        </w:rPr>
        <w:t>Accounts.</w:t>
      </w:r>
      <w:r>
        <w:rPr/>
        <w:t xml:space="preserve">  If a Confirmation does not state the account to which, or the currency in which, payments are to be made, they shall be made in United States Dollars to the following accounts:</w:t>
      </w:r>
    </w:p>
    <w:p>
      <w:pPr>
        <w:pStyle w:val="Normal"/>
        <w:ind w:firstLine="720" w:end="0"/>
        <w:jc w:val="both"/>
        <w:rPr>
          <w:b/>
        </w:rPr>
      </w:pPr>
      <w:r>
        <w:rPr>
          <w:b/>
        </w:rPr>
        <w:t>Party A</w:t>
      </w:r>
    </w:p>
    <w:p>
      <w:pPr>
        <w:pStyle w:val="Normal"/>
        <w:ind w:firstLine="720" w:end="0"/>
        <w:jc w:val="both"/>
        <w:rPr/>
      </w:pPr>
      <w:r>
        <w:rPr/>
      </w:r>
    </w:p>
    <w:p>
      <w:pPr>
        <w:pStyle w:val="Normal"/>
        <w:ind w:firstLine="720" w:end="0"/>
        <w:jc w:val="both"/>
        <w:rPr/>
      </w:pPr>
      <w:r>
        <w:rPr/>
        <w:t>Pay:</w:t>
        <w:tab/>
        <w:tab/>
        <w:tab/>
        <w:tab/>
        <w:t>Hibernia Bank</w:t>
      </w:r>
    </w:p>
    <w:p>
      <w:pPr>
        <w:pStyle w:val="Normal"/>
        <w:ind w:firstLine="720" w:end="0"/>
        <w:jc w:val="both"/>
        <w:rPr/>
      </w:pPr>
      <w:r>
        <w:rPr/>
        <w:t>For the Account of:</w:t>
        <w:tab/>
        <w:tab/>
        <w:t>EGSI-LA</w:t>
      </w:r>
    </w:p>
    <w:p>
      <w:pPr>
        <w:pStyle w:val="Normal"/>
        <w:ind w:firstLine="720" w:end="0"/>
        <w:jc w:val="both"/>
        <w:rPr/>
      </w:pPr>
      <w:r>
        <w:rPr/>
        <w:t>Account No/CHIPS UID:</w:t>
        <w:tab/>
        <w:t>Account No. 812342241</w:t>
      </w:r>
    </w:p>
    <w:p>
      <w:pPr>
        <w:pStyle w:val="Normal"/>
        <w:ind w:firstLine="720" w:end="0"/>
        <w:jc w:val="both"/>
        <w:rPr/>
      </w:pPr>
      <w:r>
        <w:rPr/>
        <w:t>Fed. ABA No.:</w:t>
        <w:tab/>
        <w:tab/>
        <w:t>065-000090</w:t>
      </w:r>
    </w:p>
    <w:p>
      <w:pPr>
        <w:pStyle w:val="Normal"/>
        <w:jc w:val="both"/>
        <w:rPr/>
      </w:pPr>
      <w:r>
        <w:rPr/>
      </w:r>
    </w:p>
    <w:p>
      <w:pPr>
        <w:pStyle w:val="Normal"/>
        <w:ind w:firstLine="720" w:end="0"/>
        <w:jc w:val="both"/>
        <w:rPr>
          <w:b/>
        </w:rPr>
      </w:pPr>
      <w:r>
        <w:rPr>
          <w:b/>
        </w:rPr>
        <w:t>Party B</w:t>
      </w:r>
    </w:p>
    <w:p>
      <w:pPr>
        <w:pStyle w:val="Normal"/>
        <w:ind w:firstLine="720" w:end="0"/>
        <w:jc w:val="both"/>
        <w:rPr/>
      </w:pPr>
      <w:r>
        <w:rPr/>
      </w:r>
    </w:p>
    <w:p>
      <w:pPr>
        <w:pStyle w:val="Normal"/>
        <w:ind w:firstLine="720" w:end="0"/>
        <w:jc w:val="both"/>
        <w:rPr/>
      </w:pPr>
      <w:r>
        <w:rPr/>
        <w:t>Pay:</w:t>
        <w:tab/>
        <w:tab/>
        <w:tab/>
        <w:tab/>
      </w:r>
    </w:p>
    <w:p>
      <w:pPr>
        <w:pStyle w:val="Normal"/>
        <w:ind w:firstLine="720" w:end="0"/>
        <w:jc w:val="both"/>
        <w:rPr/>
      </w:pPr>
      <w:r>
        <w:rPr/>
        <w:t>For the Account of:</w:t>
        <w:tab/>
        <w:tab/>
      </w:r>
    </w:p>
    <w:p>
      <w:pPr>
        <w:pStyle w:val="Normal"/>
        <w:ind w:firstLine="720" w:end="0"/>
        <w:jc w:val="both"/>
        <w:rPr/>
      </w:pPr>
      <w:r>
        <w:rPr/>
        <w:t>Account No/CHIPS UID:</w:t>
        <w:tab/>
      </w:r>
    </w:p>
    <w:p>
      <w:pPr>
        <w:pStyle w:val="Normal"/>
        <w:ind w:firstLine="720" w:end="0"/>
        <w:jc w:val="both"/>
        <w:rPr/>
      </w:pPr>
      <w:r>
        <w:rPr/>
        <w:t>Fed. ABA No.:</w:t>
        <w:tab/>
        <w:tab/>
      </w:r>
    </w:p>
    <w:p>
      <w:pPr>
        <w:pStyle w:val="Normal"/>
        <w:ind w:firstLine="720" w:end="0"/>
        <w:jc w:val="both"/>
        <w:rPr/>
      </w:pPr>
      <w:r>
        <w:rPr/>
      </w:r>
    </w:p>
    <w:p>
      <w:pPr>
        <w:pStyle w:val="Heading2"/>
        <w:ind w:hanging="0" w:start="0"/>
        <w:rPr/>
      </w:pPr>
      <w:r>
        <w:rPr>
          <w:b/>
        </w:rPr>
        <w:t>Limitation of Rate.</w:t>
      </w:r>
      <w:r>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w:t>
      </w:r>
    </w:p>
    <w:p>
      <w:pPr>
        <w:pStyle w:val="Heading2"/>
        <w:ind w:hanging="0" w:start="0"/>
        <w:rPr>
          <w:b/>
        </w:rPr>
      </w:pPr>
      <w:r>
        <w:rPr>
          <w:b/>
        </w:rPr>
        <w:t>LIMITATION OF LIABILITY.  WITH RESPECT TO CLAIMS UNDER THIS AGREEMENT, NO PARTY SHALL BE REQUIRED TO PAY OR BE LIABLE FOR EXEMPLARY, PUNITIVE,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Heading2"/>
        <w:ind w:hanging="0" w:start="0"/>
        <w:rPr/>
      </w:pPr>
      <w:r>
        <w:rPr/>
        <w:t>Confidentiality.  Any information made available by one party to the other party or with respect to this Agreement or any Transaction hereunder is confidential and shall not be discussed with or disclosed to any third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in a manner that did not violate its obligations to the other party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t>
      </w:r>
    </w:p>
    <w:p>
      <w:pPr>
        <w:pStyle w:val="Heading2"/>
        <w:ind w:hanging="0" w:start="0"/>
        <w:rPr/>
      </w:pPr>
      <w:r>
        <w:rPr>
          <w:b/>
        </w:rPr>
        <w:t>Procedures for Entering into Transactions.</w:t>
      </w:r>
      <w:r>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resolve the dispute in good faith.  If Party B has not accepted or disputed the Confirmation in the manner set forth above within two (2) Local Business Days after it was sent to Party B, the Confirmation shall be deemed binding as sent, absent manifest error.  Failure to send or to return an executed Confirmation or any objection regarding a Confirmation by either party shall not invalidate the Transaction agreed to by the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Parties agree to amend Section 9(e) by adding thereto the following subparagraph (iii) and (iv):</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t>Should the parties come to an understanding regarding a particular Transaction, the Transaction will be formed and effectuated by a recorded telephone conversation between the parties occurring on any Business Day whereby a bid or offer and acceptance shall constitute the agreement of the parties to a Transaction as evidenced by a tape recording of the conversation effectuated in accordance with this subparagraph ("Transaction Tape").  The parties shall be legally bound by each such Transaction and shall be entitled to rely thereon in doing business related to such Transaction from the time they agree to its terms in accordance with this subparagraph until a written Confirmation is executed by both parties.  The Transaction Tape is adopted by the parties as a means by which a Transaction is reduced to tangible form, and the parties to a Transaction are identified and authenticate a Transaction.  Any Transaction formed and effectuated pursuant to the foregoing shall be considered "writing" or "in writing" and to have been "signed" and any Transaction Tape shall be considered to constitute an "original" document evidencing the Transaction until it is superceded by a written Confirmation executed by both the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(iv)</w:t>
        <w:tab/>
        <w:t xml:space="preserve">The parties agree not to contest or assert a defense to the validity or enforceability of telephonic Transactions entered into in accordance with this Schedule under laws relating to (a) whether certain agreements are to be in writing or signed by the party to be thereby bound or (b) the authority of any employee of the party if the employee name is stated in the Transaction Tape.  </w:t>
      </w:r>
    </w:p>
    <w:p>
      <w:pPr>
        <w:pStyle w:val="Normal"/>
        <w:rPr/>
      </w:pPr>
      <w:r>
        <w:rPr/>
      </w:r>
    </w:p>
    <w:p>
      <w:pPr>
        <w:pStyle w:val="Heading2"/>
        <w:ind w:hanging="0" w:start="0"/>
        <w:rPr>
          <w:rFonts w:ascii="Times New Roman" w:hAnsi="Times New Roman" w:cs="Times New Roman"/>
        </w:rPr>
      </w:pPr>
      <w:r>
        <w:rPr>
          <w:b/>
        </w:rPr>
        <w:t xml:space="preserve">Consent to Recording.  </w:t>
      </w:r>
      <w:r>
        <w:rPr>
          <w:rFonts w:cs="Times New Roman" w:ascii="Times New Roman" w:hAnsi="Times New Roman"/>
        </w:rPr>
        <w:t xml:space="preserve">The parties agree to amend </w:t>
      </w:r>
      <w:r>
        <w:rPr>
          <w:rFonts w:cs="Times New Roman" w:ascii="Times New Roman" w:hAnsi="Times New Roman"/>
          <w:u w:val="single"/>
        </w:rPr>
        <w:t>Section 9</w:t>
      </w:r>
      <w:r>
        <w:rPr>
          <w:rFonts w:cs="Times New Roman" w:ascii="Times New Roman" w:hAnsi="Times New Roman"/>
        </w:rPr>
        <w:t xml:space="preserve"> by adding a new </w:t>
      </w:r>
      <w:r>
        <w:rPr>
          <w:rFonts w:cs="Times New Roman" w:ascii="Times New Roman" w:hAnsi="Times New Roman"/>
          <w:u w:val="single"/>
        </w:rPr>
        <w:t>Section 9(h)</w:t>
      </w:r>
      <w:r>
        <w:rPr>
          <w:rFonts w:cs="Times New Roman" w:ascii="Times New Roman" w:hAnsi="Times New Roman"/>
        </w:rPr>
        <w:t xml:space="preserve"> as follows:</w:t>
      </w:r>
    </w:p>
    <w:p>
      <w:pPr>
        <w:pStyle w:val="Normal"/>
        <w:ind w:start="504" w:end="0"/>
        <w:jc w:val="both"/>
        <w:rPr/>
      </w:pPr>
      <w:r>
        <w:rPr>
          <w:rFonts w:cs="Times New Roman" w:ascii="Times New Roman" w:hAnsi="Times New Roman"/>
        </w:rPr>
        <w:t xml:space="preserve">         </w:t>
      </w:r>
      <w:r>
        <w:rPr>
          <w:rFonts w:cs="Times New Roman" w:ascii="Times New Roman" w:hAnsi="Times New Roman"/>
        </w:rPr>
        <w:t>(h)</w:t>
        <w:tab/>
      </w:r>
      <w:r>
        <w:rPr>
          <w:rFonts w:cs="Times New Roman" w:ascii="Times New Roman" w:hAnsi="Times New Roman"/>
          <w:b/>
        </w:rPr>
        <w:t>Consent to Recording</w:t>
      </w:r>
      <w:r>
        <w:rPr>
          <w:rFonts w:cs="Times New Roman" w:ascii="Times New Roman" w:hAnsi="Times New Roman"/>
        </w:rPr>
        <w:t>.  The parties agree that each may electronically record all telephone conversations between them regarding any Transaction and the terms thereof, with or without the use of a warning tone, and that any such recordings may be submitted in evidence to any court or in any Proceeding for the purpose of establishing the formation or existence of any Transaction and the terms thereof.  Each party hereby consents to such recording and agrees to obtain any necessary consent to, and provide notice of such recording to, its personnel.</w:t>
      </w:r>
    </w:p>
    <w:p>
      <w:pPr>
        <w:pStyle w:val="Normal"/>
        <w:ind w:start="504" w:end="0"/>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b/>
        </w:rPr>
        <w:t>Settlement Amount</w:t>
      </w:r>
      <w:r>
        <w:rPr/>
        <w:t>.  The definition of “Settlement Amount” in Section 14 is hereby amended by deleting in the third and fourth lines of Subparagraph (b) thereof the words “or would not (in the reasonable belief of the party making the determination) produce a commercially reasonable result”.</w:t>
      </w:r>
    </w:p>
    <w:p>
      <w:pPr>
        <w:pStyle w:val="Heading2"/>
        <w:ind w:hanging="0" w:start="0"/>
        <w:rPr>
          <w:rFonts w:ascii="Times New Roman" w:hAnsi="Times New Roman" w:cs="Times New Roman"/>
        </w:rPr>
      </w:pPr>
      <w:r>
        <w:rPr>
          <w:rFonts w:cs="Times New Roman" w:ascii="Times New Roman" w:hAnsi="Times New Roman"/>
          <w:b/>
        </w:rPr>
        <w:t>Transfer</w:t>
      </w:r>
      <w:r>
        <w:rPr>
          <w:b/>
        </w:rPr>
        <w:t>.</w:t>
      </w:r>
      <w:r>
        <w:rPr/>
        <w:t xml:space="preserve">  The consent referred to in Section 7 shall not be unreasonably withheld.</w:t>
      </w:r>
    </w:p>
    <w:p>
      <w:pPr>
        <w:pStyle w:val="Heading2"/>
        <w:ind w:hanging="0" w:start="0"/>
        <w:rPr/>
      </w:pPr>
      <w:r>
        <w:rPr>
          <w:b/>
        </w:rPr>
        <w:t>Termination of Agreement.</w:t>
      </w:r>
      <w:r>
        <w:rPr/>
        <w:t xml:space="preserve">  If no Transactions are (or any present or future obligations, contingent or otherwise, thereunder) outstanding under this Agreement, either party may terminate this Agreement upon thirty (30) days advance written notice to the other party.</w:t>
      </w:r>
    </w:p>
    <w:p>
      <w:pPr>
        <w:pStyle w:val="Heading2"/>
        <w:ind w:hanging="0" w:start="0"/>
        <w:rPr/>
      </w:pPr>
      <w:r>
        <w:rPr>
          <w:b/>
        </w:rPr>
        <w:t>Transactions Covered.</w:t>
      </w:r>
      <w:r>
        <w:rPr/>
        <w:t xml:space="preserve">  Upon execution of this Agreement, unless otherwise agreed to in writing, all Specified Transactions then outstanding and all future Specified Transactions between the parties shall be subject to the terms hereof.</w:t>
      </w:r>
    </w:p>
    <w:p>
      <w:pPr>
        <w:pStyle w:val="Heading2"/>
        <w:keepLines/>
        <w:ind w:hanging="0" w:start="0"/>
        <w:rPr/>
      </w:pPr>
      <w:r>
        <w:rPr>
          <w:b/>
        </w:rPr>
        <w:t>Severability.</w:t>
      </w:r>
      <w:r>
        <w:rPr/>
        <w:t xml:space="preserve">  If any one or more of the provisions contained in this Agreement should be held invalid, illegal, or unenforceable in any respect, the validity, legality and enforceability of the remaining provisions contained herein shall not in any way be affected or impaired thereby.  The parties shall endeavor in good faith negotiations, to replace the invalid, illegal or unenforceable provisions with valid provisions the economic effect of which comes as close as possible to that of the invalid, illegal or unenforceable provisions.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r>
      <w:r>
        <w:rPr>
          <w:b/>
        </w:rPr>
        <w:t>In Witness Whereof</w:t>
      </w:r>
      <w:r>
        <w:rPr/>
        <w:t xml:space="preserve"> the parties have executed this document on the respective dates specified below with effect from the date specified on the first page of this document.  </w:t>
      </w:r>
    </w:p>
    <w:p>
      <w:pPr>
        <w:pStyle w:val="Normal"/>
        <w:rPr/>
      </w:pPr>
      <w:r>
        <w:rPr/>
      </w:r>
    </w:p>
    <w:p>
      <w:pPr>
        <w:pStyle w:val="Normal"/>
        <w:tabs>
          <w:tab w:val="clear" w:pos="720"/>
          <w:tab w:val="right" w:pos="3420" w:leader="none"/>
          <w:tab w:val="left" w:pos="4320" w:leader="none"/>
          <w:tab w:val="right" w:pos="7920" w:leader="none"/>
        </w:tabs>
        <w:rPr/>
      </w:pPr>
      <w:r>
        <w:rPr/>
        <w:t xml:space="preserve">ENTERGY GULF STATES, INC. </w:t>
        <w:tab/>
        <w:tab/>
      </w:r>
    </w:p>
    <w:p>
      <w:pPr>
        <w:pStyle w:val="Normal"/>
        <w:tabs>
          <w:tab w:val="clear" w:pos="720"/>
          <w:tab w:val="right" w:pos="3420" w:leader="none"/>
          <w:tab w:val="left" w:pos="4320" w:leader="none"/>
          <w:tab w:val="right" w:pos="7920" w:leader="none"/>
        </w:tabs>
        <w:rPr/>
      </w:pPr>
      <w:r>
        <w:rPr/>
        <w:tab/>
        <w:br/>
        <w:br/>
        <w:t xml:space="preserve">By: </w:t>
      </w:r>
      <w:r>
        <w:rPr>
          <w:u w:val="single"/>
        </w:rPr>
        <w:tab/>
      </w:r>
      <w:r>
        <w:rPr/>
        <w:tab/>
        <w:t>By:</w:t>
      </w:r>
      <w:r>
        <w:rPr>
          <w:u w:val="single"/>
        </w:rPr>
        <w:tab/>
      </w:r>
      <w:r>
        <w:rPr/>
        <w:br/>
        <w:t>Name:  James F. Kenney</w:t>
        <w:tab/>
        <w:tab/>
        <w:t xml:space="preserve">Name: </w:t>
      </w:r>
    </w:p>
    <w:p>
      <w:pPr>
        <w:pStyle w:val="Normal"/>
        <w:tabs>
          <w:tab w:val="clear" w:pos="720"/>
          <w:tab w:val="right" w:pos="3420" w:leader="none"/>
          <w:tab w:val="left" w:pos="4320" w:leader="none"/>
          <w:tab w:val="right" w:pos="7920" w:leader="none"/>
        </w:tabs>
        <w:rPr/>
      </w:pPr>
      <w:r>
        <w:rPr/>
        <w:t>Title:    Vice President, Energy Mgmt.</w:t>
        <w:tab/>
        <w:t xml:space="preserve">Title:   </w:t>
      </w:r>
    </w:p>
    <w:p>
      <w:pPr>
        <w:pStyle w:val="Normal"/>
        <w:tabs>
          <w:tab w:val="clear" w:pos="720"/>
          <w:tab w:val="right" w:pos="3420" w:leader="none"/>
          <w:tab w:val="left" w:pos="4320" w:leader="none"/>
          <w:tab w:val="right" w:pos="7920" w:leader="none"/>
        </w:tabs>
        <w:rPr/>
      </w:pPr>
      <w:r>
        <w:rPr/>
        <w:t>Date:</w:t>
        <w:tab/>
        <w:tab/>
        <w:t>Date:</w:t>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p>
      <w:pPr>
        <w:pStyle w:val="Normal"/>
        <w:tabs>
          <w:tab w:val="clear" w:pos="720"/>
          <w:tab w:val="right" w:pos="3420" w:leader="none"/>
          <w:tab w:val="left" w:pos="4320" w:leader="none"/>
          <w:tab w:val="right" w:pos="7920" w:leader="none"/>
        </w:tabs>
        <w:rPr/>
      </w:pPr>
      <w:r>
        <w:rPr/>
      </w:r>
    </w:p>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360"/>
      <w:jc w:val="both"/>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6319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63195" cy="161925"/>
                      </a:xfrm>
                      <a:prstGeom prst="rect"/>
                      <a:solidFill>
                        <a:srgbClr val="FFFFFF">
                          <a:alpha val="0"/>
                        </a:srgbClr>
                      </a:solidFill>
                    </wps:spPr>
                    <wps:txbx>
                      <w:txbxContent>
                        <w:p>
                          <w:pPr>
                            <w:pStyle w:val="Normal"/>
                            <w:jc w:val="center"/>
                            <w:rPr/>
                          </w:pPr>
                          <w:r>
                            <w:rPr>
                              <w:sz w:val="22"/>
                            </w:rPr>
                            <w:t>-</w:t>
                          </w:r>
                          <w:r>
                            <w:rPr>
                              <w:sz w:val="22"/>
                            </w:rPr>
                            <w:fldChar w:fldCharType="begin"/>
                          </w:r>
                          <w:r>
                            <w:rPr>
                              <w:sz w:val="22"/>
                            </w:rPr>
                            <w:instrText xml:space="preserve"> PAGE </w:instrText>
                          </w:r>
                          <w:r>
                            <w:rPr>
                              <w:sz w:val="22"/>
                            </w:rPr>
                            <w:fldChar w:fldCharType="separate"/>
                          </w:r>
                          <w:r>
                            <w:rPr>
                              <w:sz w:val="22"/>
                            </w:rPr>
                            <w:t>9</w:t>
                          </w:r>
                          <w:r>
                            <w:rPr>
                              <w:sz w:val="22"/>
                            </w:rPr>
                            <w:fldChar w:fldCharType="end"/>
                          </w:r>
                          <w:r>
                            <w:rPr>
                              <w:sz w:val="22"/>
                            </w:rPr>
                            <w:t>-</w:t>
                          </w:r>
                        </w:p>
                      </w:txbxContent>
                    </wps:txbx>
                    <wps:bodyPr anchor="t" lIns="0" tIns="0" rIns="0" bIns="0">
                      <a:noAutofit/>
                    </wps:bodyPr>
                  </wps:wsp>
                </a:graphicData>
              </a:graphic>
            </wp:anchor>
          </w:drawing>
        </mc:Choice>
        <mc:Fallback>
          <w:pict>
            <v:rect fillcolor="#FFFFFF" style="position:absolute;rotation:-0;width:12.85pt;height:12.75pt;mso-wrap-distance-left:0pt;mso-wrap-distance-right:0pt;mso-wrap-distance-top:0pt;mso-wrap-distance-bottom:0pt;margin-top:0.05pt;mso-position-vertical-relative:text;margin-left:227.6pt;mso-position-horizontal:center;mso-position-horizontal-relative:margin">
              <v:fill opacity="0f"/>
              <v:textbox inset="0in,0in,0in,0in">
                <w:txbxContent>
                  <w:p>
                    <w:pPr>
                      <w:pStyle w:val="Normal"/>
                      <w:jc w:val="center"/>
                      <w:rPr/>
                    </w:pPr>
                    <w:r>
                      <w:rPr>
                        <w:sz w:val="22"/>
                      </w:rPr>
                      <w:t>-</w:t>
                    </w:r>
                    <w:r>
                      <w:rPr>
                        <w:sz w:val="22"/>
                      </w:rPr>
                      <w:fldChar w:fldCharType="begin"/>
                    </w:r>
                    <w:r>
                      <w:rPr>
                        <w:sz w:val="22"/>
                      </w:rPr>
                      <w:instrText xml:space="preserve"> PAGE </w:instrText>
                    </w:r>
                    <w:r>
                      <w:rPr>
                        <w:sz w:val="22"/>
                      </w:rPr>
                      <w:fldChar w:fldCharType="separate"/>
                    </w:r>
                    <w:r>
                      <w:rPr>
                        <w:sz w:val="22"/>
                      </w:rPr>
                      <w:t>9</w:t>
                    </w:r>
                    <w:r>
                      <w:rPr>
                        <w:sz w:val="22"/>
                      </w:rPr>
                      <w:fldChar w:fldCharType="end"/>
                    </w:r>
                    <w:r>
                      <w:rPr>
                        <w:sz w:val="22"/>
                      </w:rPr>
                      <w:t>-</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u w:val="single"/>
      </w:rPr>
      <w:t>Schedule-ISDA Master Agreement</w:t>
    </w:r>
  </w:p>
  <w:p>
    <w:pPr>
      <w:pStyle w:val="Normal"/>
      <w:tabs>
        <w:tab w:val="clear" w:pos="720"/>
        <w:tab w:val="right" w:pos="9360" w:leader="none"/>
      </w:tabs>
      <w:jc w:val="both"/>
      <w:rPr/>
    </w:pPr>
    <w:r>
      <w:rPr>
        <w:b/>
      </w:rPr>
      <w:tab/>
    </w:r>
    <w:r>
      <w:rPr>
        <w:b/>
        <w:u w:val="single"/>
      </w:rPr>
      <w:t>(Multicurrency-Cross Border)</w: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Part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lowerLetter"/>
      <w:lvlText w:val="(%2)"/>
      <w:lvlJc w:val="start"/>
      <w:pPr>
        <w:tabs>
          <w:tab w:val="num" w:pos="0"/>
        </w:tabs>
        <w:ind w:start="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Roman"/>
      <w:lvlText w:val="(%3)"/>
      <w:lvlJc w:val="start"/>
      <w:pPr>
        <w:tabs>
          <w:tab w:val="num" w:pos="0"/>
        </w:tabs>
        <w:ind w:start="144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SWAllFollowNumberWith" w:val="0|3|3|"/>
    <w:docVar w:name="SWAllNumberFont" w:val="1|||10000000000000~~0|0|0|100|0|0|@@2|||00000000000000~~0|0|0|100|0|0|@@3|||00000000000000~~0|0|0|100|0|0|@@"/>
    <w:docVar w:name="SWAllNumberStyle" w:val="1|5|3|"/>
    <w:docVar w:name="SWAllRestartAfterHigher" w:val="1|1|1|"/>
    <w:docVar w:name="SWAllStyleThatFollows" w:val="Normal|Normal|Normal|"/>
    <w:docVar w:name="SWAllTextAfter" w:val="|)|)|"/>
    <w:docVar w:name="SWAllTextBefore" w:val="Partº|(|(|"/>
    <w:docVar w:name="SWConformFont" w:val="1||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numPr>
        <w:ilvl w:val="0"/>
        <w:numId w:val="1"/>
      </w:numPr>
      <w:spacing w:before="0" w:after="240"/>
      <w:jc w:val="center"/>
      <w:outlineLvl w:val="0"/>
    </w:pPr>
    <w:rPr>
      <w:b/>
      <w:lang w:eastAsia="en-CA"/>
    </w:rPr>
  </w:style>
  <w:style w:type="paragraph" w:styleId="Heading2">
    <w:name w:val="heading 2"/>
    <w:basedOn w:val="Normal"/>
    <w:next w:val="Normal"/>
    <w:qFormat/>
    <w:pPr>
      <w:numPr>
        <w:ilvl w:val="1"/>
        <w:numId w:val="1"/>
      </w:numPr>
      <w:spacing w:before="0" w:after="240"/>
      <w:jc w:val="both"/>
      <w:outlineLvl w:val="1"/>
    </w:pPr>
    <w:rPr>
      <w:lang w:eastAsia="en-CA"/>
    </w:rPr>
  </w:style>
  <w:style w:type="paragraph" w:styleId="Heading3">
    <w:name w:val="heading 3"/>
    <w:basedOn w:val="Normal"/>
    <w:next w:val="Normal"/>
    <w:qFormat/>
    <w:pPr>
      <w:numPr>
        <w:ilvl w:val="2"/>
        <w:numId w:val="1"/>
      </w:numPr>
      <w:spacing w:before="0" w:after="240"/>
      <w:jc w:val="both"/>
      <w:outlineLvl w:val="2"/>
    </w:pPr>
    <w:rPr>
      <w:lang w:eastAsia="en-CA"/>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lang w:eastAsia="en-CA"/>
    </w:rPr>
  </w:style>
  <w:style w:type="paragraph" w:styleId="Heading5">
    <w:name w:val="heading 5"/>
    <w:basedOn w:val="Normal"/>
    <w:next w:val="Normal"/>
    <w:qFormat/>
    <w:pPr>
      <w:numPr>
        <w:ilvl w:val="4"/>
        <w:numId w:val="1"/>
      </w:numPr>
      <w:spacing w:before="240" w:after="60"/>
      <w:outlineLvl w:val="4"/>
    </w:pPr>
    <w:rPr>
      <w:sz w:val="22"/>
      <w:lang w:eastAsia="en-CA"/>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lang w:eastAsia="en-CA"/>
    </w:rPr>
  </w:style>
  <w:style w:type="paragraph" w:styleId="Heading7">
    <w:name w:val="heading 7"/>
    <w:basedOn w:val="Normal"/>
    <w:next w:val="Normal"/>
    <w:qFormat/>
    <w:pPr>
      <w:numPr>
        <w:ilvl w:val="6"/>
        <w:numId w:val="1"/>
      </w:numPr>
      <w:spacing w:before="240" w:after="60"/>
      <w:outlineLvl w:val="6"/>
    </w:pPr>
    <w:rPr>
      <w:rFonts w:ascii="Arial" w:hAnsi="Arial" w:cs="Arial"/>
      <w:sz w:val="20"/>
      <w:lang w:eastAsia="en-CA"/>
    </w:rPr>
  </w:style>
  <w:style w:type="paragraph" w:styleId="Heading8">
    <w:name w:val="heading 8"/>
    <w:basedOn w:val="Normal"/>
    <w:next w:val="Normal"/>
    <w:qFormat/>
    <w:pPr>
      <w:numPr>
        <w:ilvl w:val="7"/>
        <w:numId w:val="1"/>
      </w:numPr>
      <w:spacing w:before="240" w:after="60"/>
      <w:outlineLvl w:val="7"/>
    </w:pPr>
    <w:rPr>
      <w:rFonts w:ascii="Arial" w:hAnsi="Arial" w:cs="Arial"/>
      <w:i/>
      <w:sz w:val="20"/>
      <w:lang w:eastAsia="en-CA"/>
    </w:rPr>
  </w:style>
  <w:style w:type="paragraph" w:styleId="Heading9">
    <w:name w:val="heading 9"/>
    <w:basedOn w:val="Normal"/>
    <w:next w:val="Normal"/>
    <w:qFormat/>
    <w:pPr>
      <w:numPr>
        <w:ilvl w:val="8"/>
        <w:numId w:val="1"/>
      </w:numPr>
      <w:spacing w:before="240" w:after="60"/>
      <w:outlineLvl w:val="8"/>
    </w:pPr>
    <w:rPr>
      <w:rFonts w:ascii="Arial" w:hAnsi="Arial" w:cs="Arial"/>
      <w:b/>
      <w:i/>
      <w:sz w:val="18"/>
      <w:lang w:eastAsia="en-C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3z0">
    <w:name w:val="WW8Num13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3z1">
    <w:name w:val="WW8Num13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4z0">
    <w:name w:val="WW8Num14z0"/>
    <w:qFormat/>
    <w:rPr/>
  </w:style>
  <w:style w:type="character" w:styleId="WW8Num15z0">
    <w:name w:val="WW8Num15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6z0">
    <w:name w:val="WW8Num16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7z0">
    <w:name w:val="WW8Num17z0"/>
    <w:qFormat/>
    <w:rPr/>
  </w:style>
  <w:style w:type="character" w:styleId="WW8Num18z0">
    <w:name w:val="WW8Num18z0"/>
    <w:qFormat/>
    <w:rPr>
      <w:rFonts w:ascii="CG Times" w:hAnsi="CG Times" w:cs="CG Times"/>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firstLine="144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style>
  <w:style w:type="paragraph" w:styleId="TOC1">
    <w:name w:val="toc 1"/>
    <w:basedOn w:val="Normal"/>
    <w:next w:val="Normal"/>
    <w:pPr/>
    <w:rPr>
      <w:lang w:eastAsia="en-CA"/>
    </w:rPr>
  </w:style>
  <w:style w:type="paragraph" w:styleId="TOC2">
    <w:name w:val="toc 2"/>
    <w:basedOn w:val="Normal"/>
    <w:next w:val="Normal"/>
    <w:pPr>
      <w:ind w:hanging="0" w:start="240" w:end="0"/>
    </w:pPr>
    <w:rPr>
      <w:lang w:eastAsia="en-CA"/>
    </w:rPr>
  </w:style>
  <w:style w:type="paragraph" w:styleId="TOC3">
    <w:name w:val="toc 3"/>
    <w:basedOn w:val="Normal"/>
    <w:next w:val="Normal"/>
    <w:pPr>
      <w:ind w:hanging="0" w:start="480" w:end="0"/>
    </w:pPr>
    <w:rPr>
      <w:lang w:eastAsia="en-CA"/>
    </w:rPr>
  </w:style>
  <w:style w:type="paragraph" w:styleId="TOC4">
    <w:name w:val="toc 4"/>
    <w:basedOn w:val="Normal"/>
    <w:next w:val="Normal"/>
    <w:pPr>
      <w:ind w:hanging="0" w:start="720" w:end="0"/>
    </w:pPr>
    <w:rPr>
      <w:lang w:eastAsia="en-CA"/>
    </w:rPr>
  </w:style>
  <w:style w:type="paragraph" w:styleId="TOC5">
    <w:name w:val="toc 5"/>
    <w:basedOn w:val="Normal"/>
    <w:next w:val="Normal"/>
    <w:pPr>
      <w:ind w:hanging="0" w:start="960" w:end="0"/>
    </w:pPr>
    <w:rPr>
      <w:lang w:eastAsia="en-CA"/>
    </w:rPr>
  </w:style>
  <w:style w:type="paragraph" w:styleId="TOC6">
    <w:name w:val="toc 6"/>
    <w:basedOn w:val="Normal"/>
    <w:next w:val="Normal"/>
    <w:pPr>
      <w:ind w:hanging="0" w:start="1200" w:end="0"/>
    </w:pPr>
    <w:rPr>
      <w:lang w:eastAsia="en-CA"/>
    </w:rPr>
  </w:style>
  <w:style w:type="paragraph" w:styleId="TOC7">
    <w:name w:val="toc 7"/>
    <w:basedOn w:val="Normal"/>
    <w:next w:val="Normal"/>
    <w:pPr>
      <w:ind w:hanging="0" w:start="1440" w:end="0"/>
    </w:pPr>
    <w:rPr>
      <w:lang w:eastAsia="en-CA"/>
    </w:rPr>
  </w:style>
  <w:style w:type="paragraph" w:styleId="TOC8">
    <w:name w:val="toc 8"/>
    <w:basedOn w:val="Normal"/>
    <w:next w:val="Normal"/>
    <w:pPr>
      <w:ind w:hanging="0" w:start="1680" w:end="0"/>
    </w:pPr>
    <w:rPr>
      <w:lang w:eastAsia="en-CA"/>
    </w:rPr>
  </w:style>
  <w:style w:type="paragraph" w:styleId="TOC9">
    <w:name w:val="toc 9"/>
    <w:basedOn w:val="Normal"/>
    <w:next w:val="Normal"/>
    <w:pPr>
      <w:ind w:hanging="0" w:start="1920" w:end="0"/>
    </w:pPr>
    <w:rPr>
      <w:lang w:eastAsia="en-CA"/>
    </w:rPr>
  </w:style>
  <w:style w:type="paragraph" w:styleId="BodyTextFirstIndent">
    <w:name w:val="Body Text First Indent"/>
    <w:basedOn w:val="BodyText"/>
    <w:qFormat/>
    <w:pPr>
      <w:spacing w:before="0" w:after="240"/>
      <w:ind w:firstLine="720" w:start="0" w:end="0"/>
      <w:jc w:val="both"/>
    </w:pPr>
    <w:rPr/>
  </w:style>
  <w:style w:type="paragraph" w:styleId="Signature">
    <w:name w:val="Signature"/>
    <w:basedOn w:val="Normal"/>
    <w:pPr>
      <w:ind w:hanging="0" w:start="4320" w:end="0"/>
    </w:pPr>
    <w:rPr>
      <w:rFonts w:ascii="Times New Roman" w:hAnsi="Times New Roman" w:cs="Times New Roman"/>
    </w:rPr>
  </w:style>
  <w:style w:type="paragraph" w:styleId="CommentText">
    <w:name w:val="Comment Text"/>
    <w:basedOn w:val="Normal"/>
    <w:qFormat/>
    <w:pPr/>
    <w:rPr>
      <w:sz w:val="20"/>
    </w:rPr>
  </w:style>
  <w:style w:type="paragraph" w:styleId="BodyText2">
    <w:name w:val="Body Text 2"/>
    <w:basedOn w:val="Normal"/>
    <w:qFormat/>
    <w:pPr>
      <w:jc w:val="center"/>
    </w:pPr>
    <w:rPr>
      <w:b/>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2001-09-20T17:07:00Z</dcterms:created>
  <dc:creator>Gerald Balboa</dc:creator>
  <dc:description/>
  <dc:language>en-CA</dc:language>
  <cp:lastModifiedBy>dsommer</cp:lastModifiedBy>
  <cp:lastPrinted>2001-08-06T09:35:00Z</cp:lastPrinted>
  <dcterms:modified xsi:type="dcterms:W3CDTF">2001-10-04T16:42:00Z</dcterms:modified>
  <cp:revision>3</cp:revision>
  <dc:subject/>
  <dc:title>1</dc:title>
</cp:coreProperties>
</file>