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6480" w:leader="none"/>
        </w:tabs>
        <w:jc w:val="center"/>
        <w:rPr>
          <w:sz w:val="22"/>
          <w:lang w:val="en-US"/>
        </w:rPr>
      </w:pPr>
      <w:r>
        <w:rPr>
          <w:sz w:val="22"/>
          <w:lang w:val="en-US"/>
        </w:rPr>
        <w:t>SCHEDULE</w:t>
      </w:r>
    </w:p>
    <w:p>
      <w:pPr>
        <w:pStyle w:val="Normal"/>
        <w:tabs>
          <w:tab w:val="left" w:pos="720" w:leader="none"/>
          <w:tab w:val="left" w:pos="1440" w:leader="none"/>
          <w:tab w:val="left" w:pos="6480" w:leader="none"/>
        </w:tabs>
        <w:rPr>
          <w:sz w:val="22"/>
          <w:lang w:val="en-US"/>
        </w:rPr>
      </w:pPr>
      <w:r>
        <w:rPr>
          <w:sz w:val="22"/>
          <w:lang w:val="en-US"/>
        </w:rPr>
      </w:r>
    </w:p>
    <w:p>
      <w:pPr>
        <w:pStyle w:val="Normal"/>
        <w:tabs>
          <w:tab w:val="right" w:pos="687" w:leader="none"/>
          <w:tab w:val="left" w:pos="720" w:leader="none"/>
          <w:tab w:val="left" w:pos="1440" w:leader="none"/>
          <w:tab w:val="left" w:pos="6480" w:leader="none"/>
        </w:tabs>
        <w:jc w:val="center"/>
        <w:rPr>
          <w:b/>
          <w:sz w:val="22"/>
          <w:lang w:val="en-US"/>
        </w:rPr>
      </w:pPr>
      <w:r>
        <w:rPr>
          <w:b/>
          <w:sz w:val="22"/>
          <w:lang w:val="en-US"/>
        </w:rPr>
        <w:t>to the</w:t>
      </w:r>
    </w:p>
    <w:p>
      <w:pPr>
        <w:pStyle w:val="Normal"/>
        <w:tabs>
          <w:tab w:val="right" w:pos="687" w:leader="none"/>
          <w:tab w:val="left" w:pos="720" w:leader="none"/>
          <w:tab w:val="left" w:pos="1440" w:leader="none"/>
          <w:tab w:val="left" w:pos="6480" w:leader="none"/>
        </w:tabs>
        <w:rPr>
          <w:b/>
          <w:sz w:val="22"/>
          <w:lang w:val="en-US"/>
        </w:rPr>
      </w:pPr>
      <w:r>
        <w:rPr>
          <w:b/>
          <w:sz w:val="22"/>
          <w:lang w:val="en-US"/>
        </w:rPr>
      </w:r>
    </w:p>
    <w:p>
      <w:pPr>
        <w:pStyle w:val="Normal"/>
        <w:tabs>
          <w:tab w:val="left" w:pos="720" w:leader="none"/>
          <w:tab w:val="left" w:pos="1440" w:leader="none"/>
          <w:tab w:val="right" w:pos="2075" w:leader="none"/>
          <w:tab w:val="left" w:pos="6480" w:leader="none"/>
        </w:tabs>
        <w:jc w:val="center"/>
        <w:rPr/>
      </w:pPr>
      <w:r>
        <w:rPr>
          <w:sz w:val="22"/>
          <w:lang w:val="en-US"/>
        </w:rPr>
        <w:t>ISDA</w:t>
      </w:r>
      <w:r>
        <w:rPr>
          <w:b/>
          <w:sz w:val="22"/>
          <w:lang w:val="en-US"/>
        </w:rPr>
        <w:t xml:space="preserve"> </w:t>
      </w:r>
      <w:r>
        <w:rPr>
          <w:sz w:val="22"/>
          <w:lang w:val="en-US"/>
        </w:rPr>
        <w:t>Master Agreement</w:t>
      </w:r>
    </w:p>
    <w:p>
      <w:pPr>
        <w:pStyle w:val="Normal"/>
        <w:tabs>
          <w:tab w:val="left" w:pos="720" w:leader="none"/>
          <w:tab w:val="left" w:pos="1440" w:leader="none"/>
          <w:tab w:val="right" w:pos="2075" w:leader="none"/>
          <w:tab w:val="left" w:pos="6480" w:leader="none"/>
        </w:tabs>
        <w:rPr>
          <w:sz w:val="22"/>
          <w:lang w:val="en-US"/>
        </w:rPr>
      </w:pPr>
      <w:r>
        <w:rPr>
          <w:sz w:val="22"/>
          <w:lang w:val="en-US"/>
        </w:rPr>
      </w:r>
    </w:p>
    <w:p>
      <w:pPr>
        <w:pStyle w:val="Normal"/>
        <w:tabs>
          <w:tab w:val="left" w:pos="720" w:leader="none"/>
          <w:tab w:val="left" w:pos="1440" w:leader="none"/>
          <w:tab w:val="right" w:pos="2697" w:leader="none"/>
          <w:tab w:val="left" w:pos="6480" w:leader="none"/>
        </w:tabs>
        <w:jc w:val="center"/>
        <w:rPr>
          <w:b/>
          <w:sz w:val="22"/>
          <w:lang w:val="en-US"/>
        </w:rPr>
      </w:pPr>
      <w:r>
        <w:rPr>
          <w:b/>
          <w:sz w:val="22"/>
          <w:lang w:val="en-US"/>
        </w:rPr>
        <w:t>dated as of December 28, 1999</w:t>
      </w:r>
    </w:p>
    <w:p>
      <w:pPr>
        <w:pStyle w:val="Normal"/>
        <w:tabs>
          <w:tab w:val="left" w:pos="720" w:leader="none"/>
          <w:tab w:val="left" w:pos="1440" w:leader="none"/>
          <w:tab w:val="right" w:pos="2697" w:leader="none"/>
          <w:tab w:val="left" w:pos="6480" w:leader="none"/>
        </w:tabs>
        <w:rPr>
          <w:b/>
          <w:sz w:val="22"/>
          <w:lang w:val="en-US"/>
        </w:rPr>
      </w:pPr>
      <w:r>
        <w:rPr>
          <w:b/>
          <w:sz w:val="22"/>
          <w:lang w:val="en-US"/>
        </w:rPr>
      </w:r>
    </w:p>
    <w:p>
      <w:pPr>
        <w:pStyle w:val="Normal"/>
        <w:tabs>
          <w:tab w:val="left" w:pos="720" w:leader="none"/>
          <w:tab w:val="left" w:pos="1440" w:leader="none"/>
          <w:tab w:val="right" w:pos="2697" w:leader="none"/>
          <w:tab w:val="left" w:pos="6480" w:leader="none"/>
        </w:tabs>
        <w:jc w:val="center"/>
        <w:rPr>
          <w:sz w:val="22"/>
          <w:lang w:val="en-US"/>
        </w:rPr>
      </w:pPr>
      <w:r>
        <w:rPr>
          <w:sz w:val="22"/>
          <w:lang w:val="en-US"/>
        </w:rPr>
        <w:t>between</w:t>
      </w:r>
    </w:p>
    <w:p>
      <w:pPr>
        <w:pStyle w:val="Normal"/>
        <w:tabs>
          <w:tab w:val="left" w:pos="720" w:leader="none"/>
          <w:tab w:val="left" w:pos="1440" w:leader="none"/>
          <w:tab w:val="left" w:pos="1747" w:leader="none"/>
          <w:tab w:val="left" w:pos="6480" w:leader="none"/>
          <w:tab w:val="right" w:pos="8592" w:leader="none"/>
        </w:tabs>
        <w:ind w:hanging="1747" w:start="1747" w:end="0"/>
        <w:rPr>
          <w:sz w:val="22"/>
          <w:lang w:val="en-US"/>
        </w:rPr>
      </w:pPr>
      <w:r>
        <w:rPr>
          <w:sz w:val="22"/>
          <w:lang w:val="en-US"/>
        </w:rPr>
      </w:r>
    </w:p>
    <w:p>
      <w:pPr>
        <w:pStyle w:val="BodyTextIndent"/>
        <w:rPr/>
      </w:pPr>
      <w:r>
        <w:rPr/>
        <w:t>MERRILL LYNCH CAPITAL SERVICES, INC.</w:t>
        <w:tab/>
        <w:t xml:space="preserve">and </w:t>
        <w:tab/>
        <w:t>ENRON POWER MARKETING, INC.</w:t>
      </w:r>
    </w:p>
    <w:p>
      <w:pPr>
        <w:pStyle w:val="Normal"/>
        <w:tabs>
          <w:tab w:val="left" w:pos="720" w:leader="none"/>
          <w:tab w:val="left" w:pos="1440" w:leader="none"/>
          <w:tab w:val="left" w:pos="1747" w:leader="none"/>
          <w:tab w:val="left" w:pos="6480" w:leader="none"/>
          <w:tab w:val="right" w:pos="8592" w:leader="none"/>
        </w:tabs>
        <w:rPr>
          <w:sz w:val="22"/>
          <w:lang w:val="en-US"/>
        </w:rPr>
      </w:pPr>
      <w:r>
        <w:rPr>
          <w:sz w:val="22"/>
          <w:lang w:val="en-US"/>
        </w:rPr>
      </w:r>
    </w:p>
    <w:p>
      <w:pPr>
        <w:pStyle w:val="Normal"/>
        <w:tabs>
          <w:tab w:val="left" w:pos="720" w:leader="none"/>
          <w:tab w:val="left" w:pos="1440" w:leader="none"/>
          <w:tab w:val="left" w:pos="6480" w:leader="none"/>
        </w:tabs>
        <w:rPr>
          <w:sz w:val="22"/>
          <w:lang w:val="en-US"/>
        </w:rPr>
      </w:pPr>
      <w:r>
        <w:rPr>
          <w:b/>
          <w:sz w:val="22"/>
          <w:lang w:val="en-US"/>
        </w:rPr>
        <w:tab/>
        <w:t>(Party A)</w:t>
        <w:tab/>
        <w:t>(Party B)</w:t>
      </w:r>
    </w:p>
    <w:p>
      <w:pPr>
        <w:pStyle w:val="Normal"/>
        <w:tabs>
          <w:tab w:val="left" w:pos="720" w:leader="none"/>
          <w:tab w:val="left" w:pos="1440" w:leader="none"/>
          <w:tab w:val="right" w:pos="4754" w:leader="none"/>
          <w:tab w:val="left" w:pos="6480" w:leader="none"/>
        </w:tabs>
        <w:rPr>
          <w:sz w:val="22"/>
          <w:lang w:val="en-US"/>
        </w:rPr>
      </w:pPr>
      <w:r>
        <w:rPr>
          <w:sz w:val="22"/>
          <w:lang w:val="en-US"/>
        </w:rPr>
      </w:r>
    </w:p>
    <w:p>
      <w:pPr>
        <w:pStyle w:val="Normal"/>
        <w:tabs>
          <w:tab w:val="left" w:pos="720" w:leader="none"/>
          <w:tab w:val="left" w:pos="1440" w:leader="none"/>
          <w:tab w:val="left" w:pos="6480" w:leader="none"/>
        </w:tabs>
        <w:jc w:val="center"/>
        <w:rPr>
          <w:b/>
          <w:sz w:val="22"/>
          <w:lang w:val="en-US"/>
        </w:rPr>
      </w:pPr>
      <w:r>
        <w:rPr>
          <w:b/>
          <w:sz w:val="22"/>
          <w:lang w:val="en-US"/>
        </w:rPr>
        <w:t>Part 1</w:t>
      </w:r>
    </w:p>
    <w:p>
      <w:pPr>
        <w:pStyle w:val="Normal"/>
        <w:tabs>
          <w:tab w:val="left" w:pos="720" w:leader="none"/>
          <w:tab w:val="left" w:pos="1440" w:leader="none"/>
          <w:tab w:val="left" w:pos="6480" w:leader="none"/>
        </w:tabs>
        <w:rPr>
          <w:b/>
          <w:sz w:val="22"/>
          <w:lang w:val="en-US"/>
        </w:rPr>
      </w:pPr>
      <w:r>
        <w:rPr>
          <w:b/>
          <w:sz w:val="22"/>
          <w:lang w:val="en-US"/>
        </w:rPr>
      </w:r>
    </w:p>
    <w:p>
      <w:pPr>
        <w:pStyle w:val="Normal"/>
        <w:tabs>
          <w:tab w:val="left" w:pos="720" w:leader="none"/>
          <w:tab w:val="left" w:pos="1440" w:leader="none"/>
          <w:tab w:val="right" w:pos="2202" w:leader="none"/>
          <w:tab w:val="left" w:pos="6480" w:leader="none"/>
        </w:tabs>
        <w:jc w:val="center"/>
        <w:rPr>
          <w:b/>
          <w:sz w:val="22"/>
          <w:lang w:val="en-US"/>
        </w:rPr>
      </w:pPr>
      <w:r>
        <w:rPr>
          <w:b/>
          <w:sz w:val="22"/>
          <w:lang w:val="en-US"/>
        </w:rPr>
        <w:t>Termination Provisions</w:t>
      </w:r>
    </w:p>
    <w:p>
      <w:pPr>
        <w:pStyle w:val="Normal"/>
        <w:tabs>
          <w:tab w:val="left" w:pos="720" w:leader="none"/>
          <w:tab w:val="left" w:pos="1440" w:leader="none"/>
          <w:tab w:val="right" w:pos="2202" w:leader="none"/>
          <w:tab w:val="left" w:pos="6480" w:leader="none"/>
        </w:tabs>
        <w:rPr>
          <w:b/>
          <w:sz w:val="22"/>
          <w:lang w:val="en-US"/>
        </w:rPr>
      </w:pPr>
      <w:r>
        <w:rPr>
          <w:b/>
          <w:sz w:val="22"/>
          <w:lang w:val="en-US"/>
        </w:rPr>
      </w:r>
    </w:p>
    <w:p>
      <w:pPr>
        <w:pStyle w:val="Normal"/>
        <w:tabs>
          <w:tab w:val="left" w:pos="720" w:leader="none"/>
          <w:tab w:val="left" w:pos="1440" w:leader="none"/>
          <w:tab w:val="right" w:pos="2202" w:leader="none"/>
          <w:tab w:val="left" w:pos="6480" w:leader="none"/>
        </w:tabs>
        <w:rPr>
          <w:sz w:val="22"/>
          <w:lang w:val="en-US"/>
        </w:rPr>
      </w:pPr>
      <w:r>
        <w:rPr>
          <w:sz w:val="22"/>
          <w:lang w:val="en-US"/>
        </w:rPr>
        <w:t>In this Agreement:</w:t>
      </w:r>
    </w:p>
    <w:p>
      <w:pPr>
        <w:pStyle w:val="Normal"/>
        <w:tabs>
          <w:tab w:val="left" w:pos="720" w:leader="none"/>
          <w:tab w:val="left" w:pos="1440" w:leader="none"/>
          <w:tab w:val="right" w:pos="2202" w:leader="none"/>
          <w:tab w:val="left" w:pos="6480" w:leader="none"/>
        </w:tabs>
        <w:rPr>
          <w:sz w:val="22"/>
          <w:lang w:val="en-US"/>
        </w:rPr>
      </w:pPr>
      <w:r>
        <w:rPr>
          <w:sz w:val="22"/>
          <w:lang w:val="en-US"/>
        </w:rPr>
      </w:r>
    </w:p>
    <w:p>
      <w:pPr>
        <w:pStyle w:val="Normal"/>
        <w:tabs>
          <w:tab w:val="left" w:pos="720" w:leader="none"/>
          <w:tab w:val="left" w:pos="1440" w:leader="none"/>
          <w:tab w:val="left" w:pos="6480" w:leader="none"/>
          <w:tab w:val="right" w:pos="6599" w:leader="none"/>
        </w:tabs>
        <w:rPr/>
      </w:pPr>
      <w:r>
        <w:rPr>
          <w:sz w:val="22"/>
          <w:lang w:val="en-US"/>
        </w:rPr>
        <w:t>(a)</w:t>
        <w:tab/>
      </w:r>
      <w:r>
        <w:rPr>
          <w:b/>
          <w:sz w:val="22"/>
          <w:lang w:val="en-US"/>
        </w:rPr>
        <w:t xml:space="preserve">"Specified Entity" </w:t>
      </w:r>
      <w:r>
        <w:rPr>
          <w:sz w:val="22"/>
          <w:lang w:val="en-US"/>
        </w:rPr>
        <w:t>means in relation to Party A for the purpose of:</w:t>
      </w:r>
    </w:p>
    <w:p>
      <w:pPr>
        <w:pStyle w:val="Normal"/>
        <w:tabs>
          <w:tab w:val="left" w:pos="720" w:leader="none"/>
          <w:tab w:val="left" w:pos="1440" w:leader="none"/>
          <w:tab w:val="left" w:pos="6480" w:leader="none"/>
          <w:tab w:val="right" w:pos="6599" w:leader="none"/>
        </w:tabs>
        <w:rPr>
          <w:sz w:val="22"/>
          <w:lang w:val="en-US"/>
        </w:rPr>
      </w:pPr>
      <w:r>
        <w:rPr>
          <w:sz w:val="22"/>
          <w:lang w:val="en-US"/>
        </w:rPr>
      </w:r>
    </w:p>
    <w:p>
      <w:pPr>
        <w:pStyle w:val="Normal"/>
        <w:tabs>
          <w:tab w:val="left" w:pos="720" w:leader="none"/>
          <w:tab w:val="left" w:pos="1440" w:leader="none"/>
          <w:tab w:val="right" w:pos="4881" w:leader="none"/>
          <w:tab w:val="left" w:pos="6480" w:leader="none"/>
        </w:tabs>
        <w:rPr>
          <w:sz w:val="22"/>
          <w:lang w:val="en-US"/>
        </w:rPr>
      </w:pPr>
      <w:r>
        <w:rPr>
          <w:sz w:val="22"/>
          <w:lang w:val="en-US"/>
        </w:rPr>
        <w:t xml:space="preserve">Section 5(a)(v), Merrill Lynch &amp; Co., Inc. ("ML &amp; Co.") </w:t>
      </w:r>
    </w:p>
    <w:p>
      <w:pPr>
        <w:pStyle w:val="Normal"/>
        <w:tabs>
          <w:tab w:val="left" w:pos="720" w:leader="none"/>
          <w:tab w:val="left" w:pos="1440" w:leader="none"/>
          <w:tab w:val="right" w:pos="4881" w:leader="none"/>
          <w:tab w:val="left" w:pos="6480" w:leader="none"/>
        </w:tabs>
        <w:rPr>
          <w:sz w:val="22"/>
          <w:lang w:val="en-US"/>
        </w:rPr>
      </w:pPr>
      <w:r>
        <w:rPr>
          <w:sz w:val="22"/>
          <w:lang w:val="en-US"/>
        </w:rPr>
        <w:t xml:space="preserve">Section 5(a)(vi), ML &amp; Co. </w:t>
      </w:r>
    </w:p>
    <w:p>
      <w:pPr>
        <w:pStyle w:val="Normal"/>
        <w:tabs>
          <w:tab w:val="left" w:pos="720" w:leader="none"/>
          <w:tab w:val="left" w:pos="1440" w:leader="none"/>
          <w:tab w:val="right" w:pos="4881" w:leader="none"/>
          <w:tab w:val="left" w:pos="6480" w:leader="none"/>
        </w:tabs>
        <w:rPr>
          <w:sz w:val="22"/>
          <w:lang w:val="en-US"/>
        </w:rPr>
      </w:pPr>
      <w:r>
        <w:rPr>
          <w:sz w:val="22"/>
          <w:lang w:val="en-US"/>
        </w:rPr>
        <w:t xml:space="preserve">Section 5(a)(vii), ML &amp; Co. </w:t>
      </w:r>
    </w:p>
    <w:p>
      <w:pPr>
        <w:pStyle w:val="Normal"/>
        <w:tabs>
          <w:tab w:val="left" w:pos="720" w:leader="none"/>
          <w:tab w:val="left" w:pos="1440" w:leader="none"/>
          <w:tab w:val="right" w:pos="4881" w:leader="none"/>
          <w:tab w:val="left" w:pos="6480" w:leader="none"/>
        </w:tabs>
        <w:rPr>
          <w:sz w:val="22"/>
          <w:lang w:val="en-US"/>
        </w:rPr>
      </w:pPr>
      <w:r>
        <w:rPr>
          <w:sz w:val="22"/>
          <w:lang w:val="en-US"/>
        </w:rPr>
        <w:t>Section 5(b)(iv), ML &amp; Co.</w:t>
      </w:r>
    </w:p>
    <w:p>
      <w:pPr>
        <w:pStyle w:val="Normal"/>
        <w:tabs>
          <w:tab w:val="left" w:pos="720" w:leader="none"/>
          <w:tab w:val="left" w:pos="1440" w:leader="none"/>
          <w:tab w:val="right" w:pos="4881" w:leader="none"/>
          <w:tab w:val="left" w:pos="6480" w:leader="none"/>
        </w:tabs>
        <w:rPr>
          <w:sz w:val="22"/>
          <w:lang w:val="en-US"/>
        </w:rPr>
      </w:pPr>
      <w:r>
        <w:rPr>
          <w:sz w:val="22"/>
          <w:lang w:val="en-US"/>
        </w:rPr>
      </w:r>
    </w:p>
    <w:p>
      <w:pPr>
        <w:pStyle w:val="Normal"/>
        <w:tabs>
          <w:tab w:val="left" w:pos="720" w:leader="none"/>
          <w:tab w:val="left" w:pos="1440" w:leader="none"/>
          <w:tab w:val="right" w:pos="3722" w:leader="none"/>
          <w:tab w:val="left" w:pos="6480" w:leader="none"/>
        </w:tabs>
        <w:rPr>
          <w:sz w:val="22"/>
          <w:lang w:val="en-US"/>
        </w:rPr>
      </w:pPr>
      <w:r>
        <w:rPr>
          <w:sz w:val="22"/>
          <w:lang w:val="en-US"/>
        </w:rPr>
        <w:tab/>
        <w:t>in relation to Party B for the purpose of:</w:t>
      </w:r>
    </w:p>
    <w:p>
      <w:pPr>
        <w:pStyle w:val="Normal"/>
        <w:tabs>
          <w:tab w:val="left" w:pos="720" w:leader="none"/>
          <w:tab w:val="left" w:pos="1440" w:leader="none"/>
          <w:tab w:val="right" w:pos="3722" w:leader="none"/>
          <w:tab w:val="left" w:pos="6480" w:leader="none"/>
        </w:tabs>
        <w:rPr>
          <w:sz w:val="22"/>
          <w:lang w:val="en-US"/>
        </w:rPr>
      </w:pPr>
      <w:r>
        <w:rPr>
          <w:sz w:val="22"/>
          <w:lang w:val="en-US"/>
        </w:rPr>
      </w:r>
    </w:p>
    <w:p>
      <w:pPr>
        <w:pStyle w:val="Normal"/>
        <w:tabs>
          <w:tab w:val="left" w:pos="720" w:leader="none"/>
          <w:tab w:val="left" w:pos="1440" w:leader="none"/>
          <w:tab w:val="right" w:pos="3677" w:leader="none"/>
          <w:tab w:val="left" w:pos="6480" w:leader="none"/>
        </w:tabs>
        <w:rPr>
          <w:sz w:val="22"/>
          <w:lang w:val="en-US"/>
        </w:rPr>
      </w:pPr>
      <w:r>
        <w:rPr>
          <w:sz w:val="22"/>
          <w:lang w:val="en-US"/>
        </w:rPr>
        <w:t>Section 5(a)(v), Enron Corp. ("Enron") and Enron North America Corp. ("ENA")</w:t>
      </w:r>
    </w:p>
    <w:p>
      <w:pPr>
        <w:pStyle w:val="Normal"/>
        <w:tabs>
          <w:tab w:val="left" w:pos="720" w:leader="none"/>
          <w:tab w:val="left" w:pos="1440" w:leader="none"/>
          <w:tab w:val="right" w:pos="3677" w:leader="none"/>
          <w:tab w:val="left" w:pos="6480" w:leader="none"/>
        </w:tabs>
        <w:rPr>
          <w:sz w:val="22"/>
          <w:lang w:val="en-US"/>
        </w:rPr>
      </w:pPr>
      <w:r>
        <w:rPr>
          <w:sz w:val="22"/>
          <w:lang w:val="en-US"/>
        </w:rPr>
        <w:t>Section 5(a)(vi), Enron and ENA</w:t>
      </w:r>
    </w:p>
    <w:p>
      <w:pPr>
        <w:pStyle w:val="Normal"/>
        <w:tabs>
          <w:tab w:val="left" w:pos="720" w:leader="none"/>
          <w:tab w:val="left" w:pos="1440" w:leader="none"/>
          <w:tab w:val="right" w:pos="3677" w:leader="none"/>
          <w:tab w:val="left" w:pos="6480" w:leader="none"/>
        </w:tabs>
        <w:rPr>
          <w:sz w:val="22"/>
          <w:lang w:val="en-US"/>
        </w:rPr>
      </w:pPr>
      <w:r>
        <w:rPr>
          <w:sz w:val="22"/>
          <w:lang w:val="en-US"/>
        </w:rPr>
        <w:t>Section 5(a)(vii), Enron and ENA</w:t>
      </w:r>
    </w:p>
    <w:p>
      <w:pPr>
        <w:pStyle w:val="Normal"/>
        <w:tabs>
          <w:tab w:val="left" w:pos="720" w:leader="none"/>
          <w:tab w:val="left" w:pos="1440" w:leader="none"/>
          <w:tab w:val="right" w:pos="3677" w:leader="none"/>
          <w:tab w:val="left" w:pos="6480" w:leader="none"/>
        </w:tabs>
        <w:rPr>
          <w:sz w:val="22"/>
          <w:lang w:val="en-US"/>
        </w:rPr>
      </w:pPr>
      <w:r>
        <w:rPr>
          <w:sz w:val="22"/>
          <w:lang w:val="en-US"/>
        </w:rPr>
        <w:t>Section 5(b)(iv), Enron and ENA</w:t>
      </w:r>
    </w:p>
    <w:p>
      <w:pPr>
        <w:pStyle w:val="Normal"/>
        <w:tabs>
          <w:tab w:val="left" w:pos="720" w:leader="none"/>
          <w:tab w:val="left" w:pos="1440" w:leader="none"/>
          <w:tab w:val="right" w:pos="3677" w:leader="none"/>
          <w:tab w:val="left" w:pos="6480" w:leader="none"/>
        </w:tabs>
        <w:rPr>
          <w:sz w:val="22"/>
          <w:lang w:val="en-US"/>
        </w:rPr>
      </w:pPr>
      <w:r>
        <w:rPr>
          <w:sz w:val="22"/>
          <w:lang w:val="en-US"/>
        </w:rPr>
      </w:r>
    </w:p>
    <w:p>
      <w:pPr>
        <w:pStyle w:val="Normal"/>
        <w:tabs>
          <w:tab w:val="left" w:pos="720" w:leader="none"/>
          <w:tab w:val="left" w:pos="1440" w:leader="none"/>
          <w:tab w:val="left" w:pos="6480" w:leader="none"/>
          <w:tab w:val="right" w:pos="9480" w:leader="none"/>
        </w:tabs>
        <w:jc w:val="both"/>
        <w:rPr/>
      </w:pPr>
      <w:r>
        <w:rPr>
          <w:sz w:val="22"/>
          <w:lang w:val="en-US"/>
        </w:rPr>
        <w:t>(b)</w:t>
        <w:tab/>
      </w:r>
      <w:r>
        <w:rPr>
          <w:b/>
          <w:sz w:val="22"/>
          <w:lang w:val="en-US"/>
        </w:rPr>
        <w:t xml:space="preserve">"Specified Transaction" </w:t>
      </w:r>
      <w:r>
        <w:rPr>
          <w:sz w:val="22"/>
          <w:lang w:val="en-US"/>
        </w:rPr>
        <w:t>will have the meaning specified in Section 14 of this Agreement unless another meaning is specified here: No change from Section 14.</w:t>
      </w:r>
    </w:p>
    <w:p>
      <w:pPr>
        <w:pStyle w:val="Normal"/>
        <w:tabs>
          <w:tab w:val="left" w:pos="720" w:leader="none"/>
          <w:tab w:val="left" w:pos="1440" w:leader="none"/>
          <w:tab w:val="left" w:pos="6480" w:leader="none"/>
          <w:tab w:val="right" w:pos="9480" w:leader="none"/>
        </w:tabs>
        <w:jc w:val="both"/>
        <w:rPr>
          <w:sz w:val="22"/>
          <w:lang w:val="en-US"/>
        </w:rPr>
      </w:pPr>
      <w:r>
        <w:rPr>
          <w:sz w:val="22"/>
          <w:lang w:val="en-US"/>
        </w:rPr>
      </w:r>
    </w:p>
    <w:p>
      <w:pPr>
        <w:pStyle w:val="Normal"/>
        <w:tabs>
          <w:tab w:val="left" w:pos="720" w:leader="none"/>
          <w:tab w:val="left" w:pos="1440" w:leader="none"/>
          <w:tab w:val="left" w:pos="6480" w:leader="none"/>
          <w:tab w:val="right" w:pos="8391" w:leader="none"/>
        </w:tabs>
        <w:jc w:val="both"/>
        <w:rPr/>
      </w:pPr>
      <w:r>
        <w:rPr>
          <w:sz w:val="22"/>
          <w:lang w:val="en-US"/>
        </w:rPr>
        <w:t>(c)</w:t>
        <w:tab/>
        <w:t xml:space="preserve">The </w:t>
      </w:r>
      <w:r>
        <w:rPr>
          <w:b/>
          <w:sz w:val="22"/>
          <w:lang w:val="en-US"/>
        </w:rPr>
        <w:t xml:space="preserve">"Cross Default" </w:t>
      </w:r>
      <w:r>
        <w:rPr>
          <w:sz w:val="22"/>
          <w:lang w:val="en-US"/>
        </w:rPr>
        <w:t>provisions of Section 5(a)(vi) will apply to Party A and to Party B.</w:t>
      </w:r>
    </w:p>
    <w:p>
      <w:pPr>
        <w:pStyle w:val="Normal"/>
        <w:tabs>
          <w:tab w:val="left" w:pos="720" w:leader="none"/>
          <w:tab w:val="left" w:pos="1440" w:leader="none"/>
          <w:tab w:val="left" w:pos="6480" w:leader="none"/>
          <w:tab w:val="right" w:pos="8391" w:leader="none"/>
        </w:tabs>
        <w:jc w:val="both"/>
        <w:rPr>
          <w:sz w:val="22"/>
          <w:lang w:val="en-US"/>
        </w:rPr>
      </w:pPr>
      <w:r>
        <w:rPr>
          <w:sz w:val="22"/>
          <w:lang w:val="en-US"/>
        </w:rPr>
      </w:r>
    </w:p>
    <w:p>
      <w:pPr>
        <w:pStyle w:val="Justified"/>
        <w:widowControl/>
        <w:tabs>
          <w:tab w:val="left" w:pos="720" w:leader="none"/>
          <w:tab w:val="left" w:pos="1440" w:leader="none"/>
          <w:tab w:val="right" w:pos="2202" w:leader="none"/>
          <w:tab w:val="left" w:pos="6480" w:leader="none"/>
        </w:tabs>
        <w:spacing w:before="0" w:after="0"/>
        <w:rPr>
          <w:rFonts w:ascii="Times New Roman" w:hAnsi="Times New Roman" w:cs="Times New Roman"/>
        </w:rPr>
      </w:pPr>
      <w:r>
        <w:rPr>
          <w:rFonts w:cs="Times New Roman" w:ascii="Times New Roman" w:hAnsi="Times New Roman"/>
        </w:rPr>
        <w:t>If such provisions apply:</w:t>
      </w:r>
    </w:p>
    <w:p>
      <w:pPr>
        <w:pStyle w:val="Normal"/>
        <w:tabs>
          <w:tab w:val="left" w:pos="720" w:leader="none"/>
          <w:tab w:val="left" w:pos="1440" w:leader="none"/>
          <w:tab w:val="right" w:pos="2202" w:leader="none"/>
          <w:tab w:val="left" w:pos="6480" w:leader="none"/>
        </w:tabs>
        <w:jc w:val="both"/>
        <w:rPr>
          <w:rFonts w:ascii="Times New Roman" w:hAnsi="Times New Roman" w:cs="Times New Roman"/>
          <w:sz w:val="22"/>
          <w:lang w:val="en-US"/>
        </w:rPr>
      </w:pPr>
      <w:r>
        <w:rPr>
          <w:rFonts w:cs="Times New Roman"/>
          <w:sz w:val="22"/>
          <w:lang w:val="en-US"/>
        </w:rPr>
      </w:r>
    </w:p>
    <w:p>
      <w:pPr>
        <w:pStyle w:val="Normal"/>
        <w:tabs>
          <w:tab w:val="left" w:pos="720" w:leader="none"/>
          <w:tab w:val="left" w:pos="1440" w:leader="none"/>
          <w:tab w:val="left" w:pos="6480" w:leader="none"/>
          <w:tab w:val="right" w:pos="9482" w:leader="none"/>
        </w:tabs>
        <w:jc w:val="both"/>
        <w:rPr/>
      </w:pPr>
      <w:r>
        <w:rPr>
          <w:b/>
          <w:sz w:val="22"/>
          <w:lang w:val="en-US"/>
        </w:rPr>
        <w:t xml:space="preserve">"Specified Indebtedness" </w:t>
      </w:r>
      <w:r>
        <w:rPr>
          <w:sz w:val="22"/>
          <w:lang w:val="en-US"/>
        </w:rPr>
        <w:t>will have the meaning specified in Section 14 of this Agreement unless another meaning is specified here: No change from Section 14.</w:t>
      </w:r>
    </w:p>
    <w:p>
      <w:pPr>
        <w:pStyle w:val="Normal"/>
        <w:tabs>
          <w:tab w:val="left" w:pos="720" w:leader="none"/>
          <w:tab w:val="left" w:pos="1440" w:leader="none"/>
          <w:tab w:val="left" w:pos="6480" w:leader="none"/>
          <w:tab w:val="right" w:pos="9482" w:leader="none"/>
        </w:tabs>
        <w:jc w:val="both"/>
        <w:rPr>
          <w:sz w:val="22"/>
          <w:lang w:val="en-US"/>
        </w:rPr>
      </w:pPr>
      <w:r>
        <w:rPr>
          <w:sz w:val="22"/>
          <w:lang w:val="en-US"/>
        </w:rPr>
      </w:r>
    </w:p>
    <w:p>
      <w:pPr>
        <w:pStyle w:val="Normal"/>
        <w:tabs>
          <w:tab w:val="left" w:pos="720" w:leader="none"/>
          <w:tab w:val="left" w:pos="1440" w:leader="none"/>
          <w:tab w:val="left" w:pos="6480" w:leader="none"/>
          <w:tab w:val="right" w:pos="9482" w:leader="none"/>
        </w:tabs>
        <w:jc w:val="both"/>
        <w:rPr/>
      </w:pPr>
      <w:r>
        <w:rPr>
          <w:b/>
          <w:sz w:val="22"/>
          <w:lang w:val="en-US"/>
        </w:rPr>
        <w:t xml:space="preserve">"Threshold Amount" </w:t>
      </w:r>
      <w:r>
        <w:rPr>
          <w:sz w:val="22"/>
          <w:lang w:val="en-US"/>
        </w:rPr>
        <w:t>means,</w:t>
      </w:r>
      <w:r>
        <w:rPr>
          <w:b/>
          <w:sz w:val="22"/>
          <w:lang w:val="en-US"/>
        </w:rPr>
        <w:t xml:space="preserve"> </w:t>
      </w:r>
      <w:r>
        <w:rPr>
          <w:sz w:val="22"/>
          <w:lang w:val="en-US"/>
        </w:rPr>
        <w:t>in respect of Party A’s Credit Support Provider, U.S. $100,000,000 or its equivalent in other currencies, and in respect of Party B’s Credit Support Provider, U.S. $50,000,000 or its equivalent in other currencies.</w:t>
      </w:r>
    </w:p>
    <w:p>
      <w:pPr>
        <w:pStyle w:val="Normal"/>
        <w:tabs>
          <w:tab w:val="left" w:pos="720" w:leader="none"/>
          <w:tab w:val="left" w:pos="1440" w:leader="none"/>
          <w:tab w:val="left" w:pos="6480" w:leader="none"/>
          <w:tab w:val="right" w:pos="9482" w:leader="none"/>
        </w:tabs>
        <w:jc w:val="both"/>
        <w:rPr>
          <w:sz w:val="22"/>
          <w:lang w:val="en-US"/>
        </w:rPr>
      </w:pPr>
      <w:r>
        <w:rPr>
          <w:sz w:val="22"/>
          <w:lang w:val="en-US"/>
        </w:rPr>
      </w:r>
    </w:p>
    <w:p>
      <w:pPr>
        <w:pStyle w:val="Normal"/>
        <w:tabs>
          <w:tab w:val="left" w:pos="720" w:leader="none"/>
          <w:tab w:val="left" w:pos="1440" w:leader="none"/>
          <w:tab w:val="left" w:pos="6480" w:leader="none"/>
          <w:tab w:val="right" w:pos="9574" w:leader="none"/>
        </w:tabs>
        <w:jc w:val="both"/>
        <w:rPr>
          <w:sz w:val="22"/>
          <w:lang w:val="en-US"/>
        </w:rPr>
      </w:pPr>
      <w:r>
        <w:rPr>
          <w:sz w:val="22"/>
          <w:lang w:val="en-US"/>
        </w:rPr>
        <w:t>(d)</w:t>
        <w:tab/>
        <w:t>Section 5(a)(viii) is hereby amended by deleting the introductory paragraph in its entirety and replacing it with the following:</w:t>
      </w:r>
    </w:p>
    <w:p>
      <w:pPr>
        <w:pStyle w:val="Normal"/>
        <w:tabs>
          <w:tab w:val="left" w:pos="720" w:leader="none"/>
          <w:tab w:val="left" w:pos="1440" w:leader="none"/>
          <w:tab w:val="right" w:pos="1912" w:leader="none"/>
          <w:tab w:val="left" w:pos="6480" w:leader="none"/>
        </w:tabs>
        <w:rPr>
          <w:sz w:val="22"/>
          <w:lang w:val="en-US"/>
        </w:rPr>
      </w:pPr>
      <w:r>
        <w:rPr>
          <w:sz w:val="22"/>
          <w:lang w:val="en-US"/>
        </w:rPr>
      </w:r>
    </w:p>
    <w:p>
      <w:pPr>
        <w:pStyle w:val="Normal"/>
        <w:tabs>
          <w:tab w:val="left" w:pos="720" w:leader="none"/>
          <w:tab w:val="left" w:pos="1440" w:leader="none"/>
          <w:tab w:val="left" w:pos="6480" w:leader="none"/>
          <w:tab w:val="right" w:pos="8816" w:leader="none"/>
        </w:tabs>
        <w:ind w:start="720" w:end="0"/>
        <w:jc w:val="both"/>
        <w:rPr>
          <w:sz w:val="22"/>
          <w:lang w:val="en-US"/>
        </w:rPr>
      </w:pPr>
      <w:r>
        <w:rPr>
          <w:sz w:val="22"/>
          <w:lang w:val="en-US"/>
        </w:rPr>
        <w:t>The party or any Credit Support Provider of such party consolidates or amalgamates with, or merges with or into, or transfers all or substantially all its assets to, or reorganizes, incorporates, reincorporates, or reconstitutes into or as, another entity and, at the time of such consolidation, amalgamation, merger, transfer, reorganization, incorporation, reincorporation, or reconstitution:</w:t>
      </w:r>
    </w:p>
    <w:p>
      <w:pPr>
        <w:pStyle w:val="Normal"/>
        <w:tabs>
          <w:tab w:val="left" w:pos="720" w:leader="none"/>
          <w:tab w:val="left" w:pos="1440" w:leader="none"/>
          <w:tab w:val="left" w:pos="6480" w:leader="none"/>
          <w:tab w:val="right" w:pos="8816" w:leader="none"/>
        </w:tabs>
        <w:rPr>
          <w:sz w:val="22"/>
          <w:lang w:val="en-US"/>
        </w:rPr>
      </w:pPr>
      <w:r>
        <w:rPr>
          <w:sz w:val="22"/>
          <w:lang w:val="en-US"/>
        </w:rPr>
      </w:r>
    </w:p>
    <w:p>
      <w:pPr>
        <w:pStyle w:val="Normal"/>
        <w:tabs>
          <w:tab w:val="left" w:pos="50" w:leader="none"/>
          <w:tab w:val="left" w:pos="720" w:leader="none"/>
          <w:tab w:val="left" w:pos="1440" w:leader="none"/>
          <w:tab w:val="left" w:pos="6480" w:leader="none"/>
          <w:tab w:val="right" w:pos="9616" w:leader="none"/>
        </w:tabs>
        <w:rPr>
          <w:sz w:val="22"/>
          <w:lang w:val="en-US"/>
        </w:rPr>
      </w:pPr>
      <w:r>
        <w:rPr>
          <w:sz w:val="22"/>
          <w:lang w:val="en-US"/>
        </w:rPr>
        <w:t>(e)</w:t>
        <w:tab/>
        <w:t>Section 5(a)(viii) is hereby amended by adding in the first line of subparagraph (1) thereof and in the second line of Subparagraph (2) thereof between the words "surviving" and "or" the words, "reorganized, reincorporated, reconstituted".</w:t>
      </w:r>
    </w:p>
    <w:p>
      <w:pPr>
        <w:pStyle w:val="Normal"/>
        <w:tabs>
          <w:tab w:val="left" w:pos="720" w:leader="none"/>
          <w:tab w:val="left" w:pos="1440" w:leader="none"/>
          <w:tab w:val="left" w:pos="6480" w:leader="none"/>
          <w:tab w:val="right" w:pos="9616" w:leader="none"/>
        </w:tabs>
        <w:rPr>
          <w:sz w:val="22"/>
          <w:lang w:val="en-US"/>
        </w:rPr>
      </w:pPr>
      <w:r>
        <w:rPr>
          <w:sz w:val="22"/>
          <w:lang w:val="en-US"/>
        </w:rPr>
      </w:r>
    </w:p>
    <w:p>
      <w:pPr>
        <w:pStyle w:val="Normal"/>
        <w:tabs>
          <w:tab w:val="left" w:pos="720" w:leader="none"/>
          <w:tab w:val="left" w:pos="1440" w:leader="none"/>
          <w:tab w:val="left" w:pos="6480" w:leader="none"/>
          <w:tab w:val="right" w:pos="9538" w:leader="none"/>
        </w:tabs>
        <w:jc w:val="both"/>
        <w:rPr/>
      </w:pPr>
      <w:r>
        <w:rPr>
          <w:sz w:val="22"/>
          <w:lang w:val="en-US"/>
        </w:rPr>
        <w:t>(f)</w:t>
        <w:tab/>
        <w:t xml:space="preserve">The </w:t>
      </w:r>
      <w:r>
        <w:rPr>
          <w:b/>
          <w:sz w:val="22"/>
          <w:lang w:val="en-US"/>
        </w:rPr>
        <w:t>"Credit Event Upon Merger"</w:t>
      </w:r>
      <w:r>
        <w:rPr>
          <w:sz w:val="22"/>
          <w:lang w:val="en-US"/>
        </w:rPr>
        <w:t xml:space="preserve"> provisions of Section 5(b)(iv) will apply to Party A and Party B; provided, however that a Credit Event Upon Merger shall not deemed be to have occurred as to Party A and Party B, if after such action at least 50% of the outstanding equity securities (including as outstanding those securities which are outstanding and convertible or exercisable into such equity securities) of Party A or Party B, as the case may be, is directly or indirectly owned by its Credit Support Provider or a wholly</w:t>
        <w:noBreakHyphen/>
        <w:t>owned subsidiary thereof and the Credit Support Documents supporting the applicable party's obligations remain in full force and effect.</w:t>
      </w:r>
    </w:p>
    <w:p>
      <w:pPr>
        <w:pStyle w:val="Normal"/>
        <w:tabs>
          <w:tab w:val="left" w:pos="720" w:leader="none"/>
          <w:tab w:val="left" w:pos="1440" w:leader="none"/>
          <w:tab w:val="left" w:pos="6480" w:leader="none"/>
          <w:tab w:val="right" w:pos="9538" w:leader="none"/>
        </w:tabs>
        <w:rPr>
          <w:sz w:val="22"/>
          <w:lang w:val="en-US"/>
        </w:rPr>
      </w:pPr>
      <w:r>
        <w:rPr>
          <w:sz w:val="22"/>
          <w:lang w:val="en-US"/>
        </w:rPr>
      </w:r>
    </w:p>
    <w:p>
      <w:pPr>
        <w:pStyle w:val="Normal"/>
        <w:tabs>
          <w:tab w:val="left" w:pos="720" w:leader="none"/>
          <w:tab w:val="left" w:pos="1440" w:leader="none"/>
          <w:tab w:val="left" w:pos="6480" w:leader="none"/>
          <w:tab w:val="right" w:pos="8050" w:leader="none"/>
        </w:tabs>
        <w:rPr/>
      </w:pPr>
      <w:r>
        <w:rPr>
          <w:sz w:val="22"/>
          <w:lang w:val="en-US"/>
        </w:rPr>
        <w:t>(g)</w:t>
        <w:tab/>
        <w:t xml:space="preserve">The </w:t>
      </w:r>
      <w:r>
        <w:rPr>
          <w:b/>
          <w:sz w:val="22"/>
          <w:lang w:val="en-US"/>
        </w:rPr>
        <w:t xml:space="preserve">"Automatic Early Termination" </w:t>
      </w:r>
      <w:r>
        <w:rPr>
          <w:sz w:val="22"/>
          <w:lang w:val="en-US"/>
        </w:rPr>
        <w:t>provision of Section 6(a) will not apply to Party A or to Party B.</w:t>
      </w:r>
    </w:p>
    <w:p>
      <w:pPr>
        <w:pStyle w:val="Normal"/>
        <w:tabs>
          <w:tab w:val="left" w:pos="720" w:leader="none"/>
          <w:tab w:val="left" w:pos="1440" w:leader="none"/>
          <w:tab w:val="left" w:pos="6480" w:leader="none"/>
          <w:tab w:val="right" w:pos="8050" w:leader="none"/>
        </w:tabs>
        <w:rPr>
          <w:sz w:val="22"/>
          <w:lang w:val="en-US"/>
        </w:rPr>
      </w:pPr>
      <w:r>
        <w:rPr>
          <w:sz w:val="22"/>
          <w:lang w:val="en-US"/>
        </w:rPr>
      </w:r>
    </w:p>
    <w:p>
      <w:pPr>
        <w:pStyle w:val="Normal"/>
        <w:tabs>
          <w:tab w:val="left" w:pos="50" w:leader="none"/>
          <w:tab w:val="left" w:pos="720" w:leader="none"/>
          <w:tab w:val="left" w:pos="1440" w:leader="none"/>
          <w:tab w:val="left" w:pos="6480" w:leader="none"/>
          <w:tab w:val="right" w:pos="8329" w:leader="none"/>
        </w:tabs>
        <w:rPr/>
      </w:pPr>
      <w:r>
        <w:rPr>
          <w:sz w:val="22"/>
          <w:lang w:val="en-US"/>
        </w:rPr>
        <w:t>(h)</w:t>
        <w:tab/>
      </w:r>
      <w:r>
        <w:rPr>
          <w:b/>
          <w:sz w:val="22"/>
          <w:lang w:val="en-US"/>
        </w:rPr>
        <w:t xml:space="preserve">Payments on Early Termination. </w:t>
      </w:r>
      <w:r>
        <w:rPr>
          <w:sz w:val="22"/>
          <w:lang w:val="en-US"/>
        </w:rPr>
        <w:t xml:space="preserve"> For the purpose of Section 6(e) of this Agreement:</w:t>
      </w:r>
    </w:p>
    <w:p>
      <w:pPr>
        <w:pStyle w:val="Normal"/>
        <w:tabs>
          <w:tab w:val="left" w:pos="50" w:leader="none"/>
          <w:tab w:val="left" w:pos="720" w:leader="none"/>
          <w:tab w:val="left" w:pos="1440" w:leader="none"/>
          <w:tab w:val="left" w:pos="6480" w:leader="none"/>
          <w:tab w:val="right" w:pos="8329" w:leader="none"/>
        </w:tabs>
        <w:rPr>
          <w:sz w:val="22"/>
          <w:lang w:val="en-US"/>
        </w:rPr>
      </w:pPr>
      <w:r>
        <w:rPr>
          <w:sz w:val="22"/>
          <w:lang w:val="en-US"/>
        </w:rPr>
      </w:r>
    </w:p>
    <w:p>
      <w:pPr>
        <w:pStyle w:val="Normal"/>
        <w:tabs>
          <w:tab w:val="left" w:pos="720" w:leader="none"/>
          <w:tab w:val="left" w:pos="1440" w:leader="none"/>
          <w:tab w:val="right" w:pos="3109" w:leader="none"/>
          <w:tab w:val="left" w:pos="6480" w:leader="none"/>
        </w:tabs>
        <w:rPr>
          <w:sz w:val="22"/>
          <w:lang w:val="en-US"/>
        </w:rPr>
      </w:pPr>
      <w:r>
        <w:rPr>
          <w:sz w:val="22"/>
          <w:lang w:val="en-US"/>
        </w:rPr>
        <w:tab/>
        <w:t>(i)</w:t>
        <w:tab/>
        <w:t>Loss will apply.</w:t>
      </w:r>
    </w:p>
    <w:p>
      <w:pPr>
        <w:pStyle w:val="Normal"/>
        <w:tabs>
          <w:tab w:val="left" w:pos="720" w:leader="none"/>
          <w:tab w:val="left" w:pos="1440" w:leader="none"/>
          <w:tab w:val="right" w:pos="3109" w:leader="none"/>
          <w:tab w:val="left" w:pos="6480" w:leader="none"/>
        </w:tabs>
        <w:rPr>
          <w:sz w:val="22"/>
          <w:lang w:val="en-US"/>
        </w:rPr>
      </w:pPr>
      <w:r>
        <w:rPr>
          <w:sz w:val="22"/>
          <w:lang w:val="en-US"/>
        </w:rPr>
      </w:r>
    </w:p>
    <w:p>
      <w:pPr>
        <w:pStyle w:val="Normal"/>
        <w:tabs>
          <w:tab w:val="left" w:pos="720" w:leader="none"/>
          <w:tab w:val="left" w:pos="1440" w:leader="none"/>
          <w:tab w:val="right" w:pos="3306" w:leader="none"/>
          <w:tab w:val="left" w:pos="6480" w:leader="none"/>
        </w:tabs>
        <w:rPr>
          <w:sz w:val="22"/>
          <w:lang w:val="en-US"/>
        </w:rPr>
      </w:pPr>
      <w:r>
        <w:rPr>
          <w:sz w:val="22"/>
          <w:lang w:val="en-US"/>
        </w:rPr>
        <w:tab/>
        <w:t>(ii)</w:t>
        <w:tab/>
        <w:t>The Second Method will apply.</w:t>
      </w:r>
    </w:p>
    <w:p>
      <w:pPr>
        <w:pStyle w:val="Normal"/>
        <w:tabs>
          <w:tab w:val="left" w:pos="720" w:leader="none"/>
          <w:tab w:val="left" w:pos="1440" w:leader="none"/>
          <w:tab w:val="right" w:pos="3306" w:leader="none"/>
          <w:tab w:val="left" w:pos="6480" w:leader="none"/>
        </w:tabs>
        <w:rPr>
          <w:sz w:val="22"/>
          <w:lang w:val="en-US"/>
        </w:rPr>
      </w:pPr>
      <w:r>
        <w:rPr>
          <w:sz w:val="22"/>
          <w:lang w:val="en-US"/>
        </w:rPr>
      </w:r>
    </w:p>
    <w:p>
      <w:pPr>
        <w:pStyle w:val="Normal"/>
        <w:tabs>
          <w:tab w:val="left" w:pos="50" w:leader="none"/>
          <w:tab w:val="left" w:pos="720" w:leader="none"/>
          <w:tab w:val="left" w:pos="1440" w:leader="none"/>
          <w:tab w:val="right" w:pos="5496" w:leader="none"/>
          <w:tab w:val="left" w:pos="6480" w:leader="none"/>
        </w:tabs>
        <w:rPr/>
      </w:pPr>
      <w:r>
        <w:rPr>
          <w:sz w:val="22"/>
          <w:lang w:val="en-US"/>
        </w:rPr>
        <w:t>(i)</w:t>
        <w:tab/>
      </w:r>
      <w:r>
        <w:rPr>
          <w:b/>
          <w:sz w:val="22"/>
          <w:lang w:val="en-US"/>
        </w:rPr>
        <w:t>"Termination Currency"</w:t>
      </w:r>
      <w:r>
        <w:rPr>
          <w:sz w:val="22"/>
          <w:lang w:val="en-US"/>
        </w:rPr>
        <w:t xml:space="preserve"> means United States Dollars.</w:t>
      </w:r>
    </w:p>
    <w:p>
      <w:pPr>
        <w:pStyle w:val="Normal"/>
        <w:tabs>
          <w:tab w:val="left" w:pos="50" w:leader="none"/>
          <w:tab w:val="left" w:pos="720" w:leader="none"/>
          <w:tab w:val="left" w:pos="1440" w:leader="none"/>
          <w:tab w:val="right" w:pos="5496" w:leader="none"/>
          <w:tab w:val="left" w:pos="6480" w:leader="none"/>
        </w:tabs>
        <w:rPr>
          <w:sz w:val="22"/>
          <w:lang w:val="en-US"/>
        </w:rPr>
      </w:pPr>
      <w:r>
        <w:rPr>
          <w:sz w:val="22"/>
          <w:lang w:val="en-US"/>
        </w:rPr>
      </w:r>
    </w:p>
    <w:p>
      <w:pPr>
        <w:pStyle w:val="Normal"/>
        <w:tabs>
          <w:tab w:val="left" w:pos="50" w:leader="none"/>
          <w:tab w:val="left" w:pos="720" w:leader="none"/>
          <w:tab w:val="left" w:pos="1440" w:leader="none"/>
          <w:tab w:val="right" w:pos="4731" w:leader="none"/>
          <w:tab w:val="left" w:pos="6480" w:leader="none"/>
        </w:tabs>
        <w:rPr/>
      </w:pPr>
      <w:r>
        <w:rPr>
          <w:sz w:val="22"/>
          <w:lang w:val="en-US"/>
        </w:rPr>
        <w:t>(j)</w:t>
        <w:tab/>
      </w:r>
      <w:r>
        <w:rPr>
          <w:b/>
          <w:sz w:val="22"/>
          <w:lang w:val="en-US"/>
        </w:rPr>
        <w:t>Additional Termination Event</w:t>
      </w:r>
      <w:r>
        <w:rPr>
          <w:sz w:val="22"/>
          <w:lang w:val="en-US"/>
        </w:rPr>
        <w:t xml:space="preserve"> will not apply.</w:t>
      </w:r>
    </w:p>
    <w:p>
      <w:pPr>
        <w:pStyle w:val="Normal"/>
        <w:tabs>
          <w:tab w:val="clear" w:pos="720"/>
          <w:tab w:val="left" w:pos="50" w:leader="none"/>
          <w:tab w:val="left" w:pos="1440" w:leader="none"/>
          <w:tab w:val="right" w:pos="4731" w:leader="none"/>
          <w:tab w:val="left" w:pos="6480" w:leader="none"/>
        </w:tabs>
        <w:rPr>
          <w:sz w:val="22"/>
          <w:lang w:val="en-US"/>
        </w:rPr>
      </w:pPr>
      <w:r>
        <w:rPr>
          <w:sz w:val="22"/>
          <w:lang w:val="en-US"/>
        </w:rPr>
      </w:r>
    </w:p>
    <w:p>
      <w:pPr>
        <w:pStyle w:val="Normal"/>
        <w:numPr>
          <w:ilvl w:val="0"/>
          <w:numId w:val="2"/>
        </w:numPr>
        <w:tabs>
          <w:tab w:val="left" w:pos="720" w:leader="none"/>
          <w:tab w:val="left" w:pos="1440" w:leader="none"/>
          <w:tab w:val="right" w:pos="4731" w:leader="none"/>
          <w:tab w:val="left" w:pos="6480" w:leader="none"/>
        </w:tabs>
        <w:ind w:hanging="0" w:start="0" w:end="0"/>
        <w:rPr>
          <w:sz w:val="22"/>
          <w:lang w:val="en-US"/>
        </w:rPr>
      </w:pPr>
      <w:r>
        <w:rPr>
          <w:b/>
          <w:sz w:val="22"/>
          <w:lang w:val="en-US"/>
        </w:rPr>
        <w:t xml:space="preserve">Additional Event of Default.  </w:t>
      </w:r>
      <w:r>
        <w:rPr>
          <w:sz w:val="22"/>
          <w:lang w:val="en-US"/>
        </w:rPr>
        <w:t>The following will constitute an additional Event of Default for purposes of Section 5(a):</w:t>
      </w:r>
    </w:p>
    <w:p>
      <w:pPr>
        <w:pStyle w:val="Normal"/>
        <w:tabs>
          <w:tab w:val="left" w:pos="720" w:leader="none"/>
          <w:tab w:val="left" w:pos="1440" w:leader="none"/>
          <w:tab w:val="right" w:pos="4731" w:leader="none"/>
          <w:tab w:val="left" w:pos="6480" w:leader="none"/>
        </w:tabs>
        <w:rPr>
          <w:sz w:val="22"/>
          <w:lang w:val="en-US"/>
        </w:rPr>
      </w:pPr>
      <w:r>
        <w:rPr>
          <w:sz w:val="22"/>
          <w:lang w:val="en-US"/>
        </w:rPr>
      </w:r>
    </w:p>
    <w:p>
      <w:pPr>
        <w:pStyle w:val="WW-BodyText21"/>
        <w:jc w:val="both"/>
        <w:rPr/>
      </w:pPr>
      <w:r>
        <w:rPr/>
        <w:t>(ix)</w:t>
        <w:tab/>
        <w:t>The occurrence or existence of a default, event of default or other similar condition or event (however described) in respect of such Defaulting Party or any Credit Support Provider of such Defaulting Party under one or more other agreements or instruments by and (i) between Party A and Party B and (ii) between Party A and Party B's Credit Support Provider or (iii) between Party B and Party A's Credit Support Provider or (iv) between Party A's Credit Support Provider and Party B's Credit Support Provider..</w:t>
      </w:r>
    </w:p>
    <w:p>
      <w:pPr>
        <w:pStyle w:val="Normal"/>
        <w:tabs>
          <w:tab w:val="left" w:pos="50" w:leader="none"/>
          <w:tab w:val="left" w:pos="720" w:leader="none"/>
          <w:tab w:val="left" w:pos="1440" w:leader="none"/>
          <w:tab w:val="right" w:pos="4731" w:leader="none"/>
          <w:tab w:val="left" w:pos="6480" w:leader="none"/>
        </w:tabs>
        <w:jc w:val="center"/>
        <w:rPr>
          <w:b/>
          <w:sz w:val="22"/>
          <w:lang w:val="en-US"/>
        </w:rPr>
      </w:pPr>
      <w:r>
        <w:rPr>
          <w:b/>
          <w:sz w:val="22"/>
          <w:lang w:val="en-US"/>
        </w:rPr>
      </w:r>
    </w:p>
    <w:p>
      <w:pPr>
        <w:pStyle w:val="Normal"/>
        <w:tabs>
          <w:tab w:val="left" w:pos="50" w:leader="none"/>
          <w:tab w:val="left" w:pos="720" w:leader="none"/>
          <w:tab w:val="left" w:pos="1440" w:leader="none"/>
          <w:tab w:val="right" w:pos="4731" w:leader="none"/>
          <w:tab w:val="left" w:pos="6480" w:leader="none"/>
        </w:tabs>
        <w:jc w:val="center"/>
        <w:rPr>
          <w:b/>
          <w:sz w:val="22"/>
          <w:lang w:val="en-US"/>
        </w:rPr>
      </w:pPr>
      <w:r>
        <w:rPr>
          <w:b/>
          <w:sz w:val="22"/>
          <w:lang w:val="en-US"/>
        </w:rPr>
        <w:t>Part 2</w:t>
      </w:r>
    </w:p>
    <w:p>
      <w:pPr>
        <w:pStyle w:val="Normal"/>
        <w:tabs>
          <w:tab w:val="left" w:pos="720" w:leader="none"/>
          <w:tab w:val="left" w:pos="1440" w:leader="none"/>
          <w:tab w:val="left" w:pos="6480" w:leader="none"/>
        </w:tabs>
        <w:rPr>
          <w:b/>
          <w:sz w:val="22"/>
          <w:lang w:val="en-US"/>
        </w:rPr>
      </w:pPr>
      <w:r>
        <w:rPr>
          <w:b/>
          <w:sz w:val="22"/>
          <w:lang w:val="en-US"/>
        </w:rPr>
      </w:r>
    </w:p>
    <w:p>
      <w:pPr>
        <w:pStyle w:val="Normal"/>
        <w:tabs>
          <w:tab w:val="left" w:pos="720" w:leader="none"/>
          <w:tab w:val="left" w:pos="1440" w:leader="none"/>
          <w:tab w:val="right" w:pos="1898" w:leader="none"/>
          <w:tab w:val="left" w:pos="6480" w:leader="none"/>
        </w:tabs>
        <w:jc w:val="center"/>
        <w:rPr>
          <w:b/>
          <w:sz w:val="22"/>
          <w:lang w:val="en-US"/>
        </w:rPr>
      </w:pPr>
      <w:r>
        <w:rPr>
          <w:b/>
          <w:sz w:val="22"/>
          <w:lang w:val="en-US"/>
        </w:rPr>
        <w:t>Tax Representations</w:t>
      </w:r>
    </w:p>
    <w:p>
      <w:pPr>
        <w:pStyle w:val="Normal"/>
        <w:tabs>
          <w:tab w:val="left" w:pos="720" w:leader="none"/>
          <w:tab w:val="left" w:pos="1440" w:leader="none"/>
          <w:tab w:val="right" w:pos="1898" w:leader="none"/>
          <w:tab w:val="left" w:pos="6480" w:leader="none"/>
        </w:tabs>
        <w:rPr>
          <w:b/>
          <w:sz w:val="22"/>
          <w:lang w:val="en-US"/>
        </w:rPr>
      </w:pPr>
      <w:r>
        <w:rPr>
          <w:b/>
          <w:sz w:val="22"/>
          <w:lang w:val="en-US"/>
        </w:rPr>
      </w:r>
    </w:p>
    <w:p>
      <w:pPr>
        <w:pStyle w:val="Normal"/>
        <w:tabs>
          <w:tab w:val="left" w:pos="720" w:leader="none"/>
          <w:tab w:val="left" w:pos="1440" w:leader="none"/>
          <w:tab w:val="left" w:pos="6480" w:leader="none"/>
          <w:tab w:val="right" w:pos="9517" w:leader="none"/>
        </w:tabs>
        <w:jc w:val="both"/>
        <w:rPr/>
      </w:pPr>
      <w:r>
        <w:rPr>
          <w:sz w:val="22"/>
          <w:lang w:val="en-US"/>
        </w:rPr>
        <w:t>(a)</w:t>
        <w:tab/>
      </w:r>
      <w:r>
        <w:rPr>
          <w:b/>
          <w:sz w:val="22"/>
          <w:lang w:val="en-US"/>
        </w:rPr>
        <w:t xml:space="preserve">Payer Representations.  </w:t>
      </w:r>
      <w:r>
        <w:rPr>
          <w:sz w:val="22"/>
          <w:lang w:val="en-US"/>
        </w:rPr>
        <w:t>For the purpose of Section 3(e) of this Agreement, Party A will make the following representation and Party B will make the following representation:</w:t>
      </w:r>
    </w:p>
    <w:p>
      <w:pPr>
        <w:pStyle w:val="Normal"/>
        <w:tabs>
          <w:tab w:val="left" w:pos="720" w:leader="none"/>
          <w:tab w:val="left" w:pos="1440" w:leader="none"/>
          <w:tab w:val="left" w:pos="6480" w:leader="none"/>
          <w:tab w:val="right" w:pos="9517" w:leader="none"/>
        </w:tabs>
        <w:rPr>
          <w:sz w:val="22"/>
          <w:lang w:val="en-US"/>
        </w:rPr>
      </w:pPr>
      <w:r>
        <w:rPr>
          <w:sz w:val="22"/>
          <w:lang w:val="en-US"/>
        </w:rPr>
      </w:r>
    </w:p>
    <w:p>
      <w:pPr>
        <w:pStyle w:val="Normal"/>
        <w:tabs>
          <w:tab w:val="left" w:pos="720" w:leader="none"/>
          <w:tab w:val="left" w:pos="1440" w:leader="none"/>
          <w:tab w:val="left" w:pos="6480" w:leader="none"/>
          <w:tab w:val="right" w:pos="8807" w:leader="none"/>
        </w:tabs>
        <w:ind w:start="720" w:end="0"/>
        <w:jc w:val="both"/>
        <w:rPr/>
      </w:pPr>
      <w:r>
        <w:rPr>
          <w:sz w:val="22"/>
          <w:lang w:val="en-US"/>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w:t>
      </w:r>
      <w:r>
        <w:rPr>
          <w:sz w:val="22"/>
          <w:u w:val="single"/>
          <w:lang w:val="en-US"/>
        </w:rPr>
        <w:t xml:space="preserve">provided </w:t>
      </w:r>
      <w:r>
        <w:rPr>
          <w:sz w:val="22"/>
          <w:lang w:val="en-US"/>
        </w:rPr>
        <w:t>that it shall not be a breach of this representation where reliance is placed on clause (ii) and the other party does not deliver a form or document under Section 4(a)(iii) by reason of material prejudice to its legal or commercial position.</w:t>
      </w:r>
    </w:p>
    <w:p>
      <w:pPr>
        <w:pStyle w:val="Normal"/>
        <w:tabs>
          <w:tab w:val="left" w:pos="720" w:leader="none"/>
          <w:tab w:val="left" w:pos="1440" w:leader="none"/>
          <w:tab w:val="left" w:pos="6480" w:leader="none"/>
          <w:tab w:val="right" w:pos="8807" w:leader="none"/>
        </w:tabs>
        <w:rPr>
          <w:sz w:val="22"/>
          <w:lang w:val="en-US"/>
        </w:rPr>
      </w:pPr>
      <w:r>
        <w:rPr>
          <w:sz w:val="22"/>
          <w:lang w:val="en-US"/>
        </w:rPr>
      </w:r>
    </w:p>
    <w:p>
      <w:pPr>
        <w:pStyle w:val="Normal"/>
        <w:tabs>
          <w:tab w:val="left" w:pos="50" w:leader="none"/>
          <w:tab w:val="left" w:pos="720" w:leader="none"/>
          <w:tab w:val="left" w:pos="1440" w:leader="none"/>
          <w:tab w:val="left" w:pos="6480" w:leader="none"/>
          <w:tab w:val="right" w:pos="9618" w:leader="none"/>
        </w:tabs>
        <w:rPr/>
      </w:pPr>
      <w:r>
        <w:rPr>
          <w:sz w:val="22"/>
          <w:lang w:val="en-US"/>
        </w:rPr>
        <w:t>(b)</w:t>
      </w:r>
      <w:r>
        <w:rPr>
          <w:b/>
          <w:sz w:val="22"/>
          <w:lang w:val="en-US"/>
        </w:rPr>
        <w:tab/>
        <w:t xml:space="preserve">Payee Representations.  </w:t>
      </w:r>
      <w:r>
        <w:rPr>
          <w:sz w:val="22"/>
          <w:lang w:val="en-US"/>
        </w:rPr>
        <w:t>For the purpose of Section 3(f) of this Agreement, Party A and Party B make the representations specified below:</w:t>
      </w:r>
    </w:p>
    <w:p>
      <w:pPr>
        <w:pStyle w:val="Normal"/>
        <w:tabs>
          <w:tab w:val="left" w:pos="720" w:leader="none"/>
          <w:tab w:val="left" w:pos="1440" w:leader="none"/>
          <w:tab w:val="right" w:pos="3272" w:leader="none"/>
          <w:tab w:val="left" w:pos="6480" w:leader="none"/>
        </w:tabs>
        <w:rPr>
          <w:sz w:val="22"/>
          <w:lang w:val="en-US"/>
        </w:rPr>
      </w:pPr>
      <w:r>
        <w:rPr>
          <w:sz w:val="22"/>
          <w:lang w:val="en-US"/>
        </w:rPr>
      </w:r>
    </w:p>
    <w:p>
      <w:pPr>
        <w:pStyle w:val="Normal"/>
        <w:tabs>
          <w:tab w:val="left" w:pos="720" w:leader="none"/>
          <w:tab w:val="left" w:pos="1440" w:leader="none"/>
          <w:tab w:val="left" w:pos="6480" w:leader="none"/>
          <w:tab w:val="right" w:pos="8247" w:leader="none"/>
        </w:tabs>
        <w:rPr/>
      </w:pPr>
      <w:r>
        <w:rPr>
          <w:sz w:val="22"/>
          <w:lang w:val="en-US"/>
        </w:rPr>
        <w:t>(i)</w:t>
        <w:tab/>
        <w:t xml:space="preserve">The following representation </w:t>
      </w:r>
      <w:r>
        <w:rPr>
          <w:b/>
          <w:sz w:val="22"/>
          <w:lang w:val="en-US"/>
        </w:rPr>
        <w:t>will not</w:t>
      </w:r>
      <w:r>
        <w:rPr>
          <w:sz w:val="22"/>
          <w:lang w:val="en-US"/>
        </w:rPr>
        <w:t xml:space="preserve"> apply to Party A and </w:t>
      </w:r>
      <w:r>
        <w:rPr>
          <w:b/>
          <w:sz w:val="22"/>
          <w:lang w:val="en-US"/>
        </w:rPr>
        <w:t>will not</w:t>
      </w:r>
      <w:r>
        <w:rPr>
          <w:sz w:val="22"/>
          <w:lang w:val="en-US"/>
        </w:rPr>
        <w:t xml:space="preserve"> apply to Party B:</w:t>
      </w:r>
    </w:p>
    <w:p>
      <w:pPr>
        <w:pStyle w:val="Normal"/>
        <w:tabs>
          <w:tab w:val="left" w:pos="50" w:leader="none"/>
          <w:tab w:val="left" w:pos="720" w:leader="none"/>
          <w:tab w:val="left" w:pos="1440" w:leader="none"/>
          <w:tab w:val="left" w:pos="6480" w:leader="none"/>
          <w:tab w:val="right" w:pos="8247" w:leader="none"/>
        </w:tabs>
        <w:rPr>
          <w:sz w:val="22"/>
          <w:lang w:val="en-US"/>
        </w:rPr>
      </w:pPr>
      <w:r>
        <w:rPr>
          <w:sz w:val="22"/>
          <w:lang w:val="en-US"/>
        </w:rPr>
      </w:r>
    </w:p>
    <w:p>
      <w:pPr>
        <w:pStyle w:val="BodyText2"/>
        <w:rPr>
          <w:sz w:val="22"/>
        </w:rPr>
      </w:pPr>
      <w:r>
        <w:rPr>
          <w:sz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tabs>
          <w:tab w:val="left" w:pos="720" w:leader="none"/>
          <w:tab w:val="left" w:pos="1440" w:leader="none"/>
          <w:tab w:val="left" w:pos="6480" w:leader="none"/>
          <w:tab w:val="right" w:pos="8807" w:leader="none"/>
        </w:tabs>
        <w:rPr>
          <w:sz w:val="22"/>
          <w:lang w:val="en-US"/>
        </w:rPr>
      </w:pPr>
      <w:r>
        <w:rPr>
          <w:sz w:val="22"/>
          <w:lang w:val="en-US"/>
        </w:rPr>
      </w:r>
    </w:p>
    <w:p>
      <w:pPr>
        <w:pStyle w:val="Normal"/>
        <w:tabs>
          <w:tab w:val="left" w:pos="720" w:leader="none"/>
          <w:tab w:val="left" w:pos="1440" w:leader="none"/>
          <w:tab w:val="left" w:pos="6480" w:leader="none"/>
          <w:tab w:val="right" w:pos="8259" w:leader="none"/>
        </w:tabs>
        <w:rPr/>
      </w:pPr>
      <w:r>
        <w:rPr>
          <w:sz w:val="22"/>
          <w:lang w:val="en-US"/>
        </w:rPr>
        <w:t>(ii)</w:t>
        <w:tab/>
        <w:t xml:space="preserve">The following representation </w:t>
      </w:r>
      <w:r>
        <w:rPr>
          <w:b/>
          <w:sz w:val="22"/>
          <w:lang w:val="en-US"/>
        </w:rPr>
        <w:t>will not</w:t>
      </w:r>
      <w:r>
        <w:rPr>
          <w:sz w:val="22"/>
          <w:lang w:val="en-US"/>
        </w:rPr>
        <w:t xml:space="preserve"> apply to Party A and </w:t>
      </w:r>
      <w:r>
        <w:rPr>
          <w:b/>
          <w:sz w:val="22"/>
          <w:lang w:val="en-US"/>
        </w:rPr>
        <w:t>will not</w:t>
      </w:r>
      <w:r>
        <w:rPr>
          <w:sz w:val="22"/>
          <w:lang w:val="en-US"/>
        </w:rPr>
        <w:t xml:space="preserve"> apply to Party B:</w:t>
      </w:r>
    </w:p>
    <w:p>
      <w:pPr>
        <w:pStyle w:val="Normal"/>
        <w:tabs>
          <w:tab w:val="left" w:pos="50" w:leader="none"/>
          <w:tab w:val="left" w:pos="720" w:leader="none"/>
          <w:tab w:val="left" w:pos="1440" w:leader="none"/>
          <w:tab w:val="left" w:pos="6480" w:leader="none"/>
          <w:tab w:val="right" w:pos="8259" w:leader="none"/>
        </w:tabs>
        <w:rPr>
          <w:sz w:val="22"/>
          <w:lang w:val="en-US"/>
        </w:rPr>
      </w:pPr>
      <w:r>
        <w:rPr>
          <w:sz w:val="22"/>
          <w:lang w:val="en-US"/>
        </w:rPr>
      </w:r>
    </w:p>
    <w:p>
      <w:pPr>
        <w:pStyle w:val="BodyText2"/>
        <w:rPr>
          <w:sz w:val="22"/>
        </w:rPr>
      </w:pPr>
      <w:r>
        <w:rPr>
          <w:sz w:val="22"/>
        </w:rPr>
        <w:t>Each payment received or to be received by it in connection with this Agreement will be effectively connected with its conduct of a trade or business in the Specified Jurisdiction.</w:t>
      </w:r>
    </w:p>
    <w:p>
      <w:pPr>
        <w:pStyle w:val="Normal"/>
        <w:tabs>
          <w:tab w:val="left" w:pos="720" w:leader="none"/>
          <w:tab w:val="left" w:pos="1440" w:leader="none"/>
          <w:tab w:val="left" w:pos="6480" w:leader="none"/>
          <w:tab w:val="right" w:pos="8807" w:leader="none"/>
        </w:tabs>
        <w:rPr>
          <w:sz w:val="22"/>
          <w:lang w:val="en-US"/>
        </w:rPr>
      </w:pPr>
      <w:r>
        <w:rPr>
          <w:sz w:val="22"/>
          <w:lang w:val="en-US"/>
        </w:rPr>
      </w:r>
    </w:p>
    <w:p>
      <w:pPr>
        <w:pStyle w:val="Normal"/>
        <w:tabs>
          <w:tab w:val="left" w:pos="50" w:leader="none"/>
          <w:tab w:val="left" w:pos="720" w:leader="none"/>
          <w:tab w:val="left" w:pos="1440" w:leader="none"/>
          <w:tab w:val="left" w:pos="6480" w:leader="none"/>
          <w:tab w:val="right" w:pos="8246" w:leader="none"/>
        </w:tabs>
        <w:rPr/>
      </w:pPr>
      <w:r>
        <w:rPr>
          <w:sz w:val="22"/>
          <w:lang w:val="en-US"/>
        </w:rPr>
        <w:t>(iii)</w:t>
        <w:tab/>
        <w:t xml:space="preserve">The following representation </w:t>
      </w:r>
      <w:r>
        <w:rPr>
          <w:b/>
          <w:sz w:val="22"/>
          <w:lang w:val="en-US"/>
        </w:rPr>
        <w:t>will not</w:t>
      </w:r>
      <w:r>
        <w:rPr>
          <w:sz w:val="22"/>
          <w:lang w:val="en-US"/>
        </w:rPr>
        <w:t xml:space="preserve"> apply to Party A and </w:t>
      </w:r>
      <w:r>
        <w:rPr>
          <w:b/>
          <w:sz w:val="22"/>
          <w:lang w:val="en-US"/>
        </w:rPr>
        <w:t>will not</w:t>
      </w:r>
      <w:r>
        <w:rPr>
          <w:sz w:val="22"/>
          <w:lang w:val="en-US"/>
        </w:rPr>
        <w:t xml:space="preserve"> apply to Party B:</w:t>
      </w:r>
    </w:p>
    <w:p>
      <w:pPr>
        <w:pStyle w:val="Normal"/>
        <w:tabs>
          <w:tab w:val="left" w:pos="50" w:leader="none"/>
          <w:tab w:val="left" w:pos="720" w:leader="none"/>
          <w:tab w:val="left" w:pos="1440" w:leader="none"/>
          <w:tab w:val="left" w:pos="6480" w:leader="none"/>
          <w:tab w:val="right" w:pos="8246" w:leader="none"/>
        </w:tabs>
        <w:rPr>
          <w:sz w:val="22"/>
          <w:lang w:val="en-US"/>
        </w:rPr>
      </w:pPr>
      <w:r>
        <w:rPr>
          <w:sz w:val="22"/>
          <w:lang w:val="en-US"/>
        </w:rPr>
      </w:r>
    </w:p>
    <w:p>
      <w:pPr>
        <w:pStyle w:val="BodyText2"/>
        <w:rPr>
          <w:sz w:val="22"/>
        </w:rPr>
      </w:pPr>
      <w:r>
        <w:rPr>
          <w:sz w:val="22"/>
        </w:rPr>
        <w:t>(A) It is entering into each Transaction in the ordinary course of its trades as, and is, either (1) a recognized U.K. bank or (2) a recognized U.K. swaps dealer (in either case (1) or (2), for purposes of the United Kingdom Inland Revenue extra statutory concession C17 on interest and currency swaps dated March 14, 1989), and (B) it will bring into account payments made and received in respect of each Transaction in computing its income for United Kingdom tax purposes.</w:t>
      </w:r>
    </w:p>
    <w:p>
      <w:pPr>
        <w:pStyle w:val="Normal"/>
        <w:tabs>
          <w:tab w:val="left" w:pos="720" w:leader="none"/>
          <w:tab w:val="left" w:pos="1440" w:leader="none"/>
          <w:tab w:val="left" w:pos="6480" w:leader="none"/>
          <w:tab w:val="right" w:pos="8807" w:leader="none"/>
        </w:tabs>
        <w:rPr>
          <w:sz w:val="22"/>
          <w:lang w:val="en-US"/>
        </w:rPr>
      </w:pPr>
      <w:r>
        <w:rPr>
          <w:sz w:val="22"/>
          <w:lang w:val="en-US"/>
        </w:rPr>
      </w:r>
    </w:p>
    <w:p>
      <w:pPr>
        <w:pStyle w:val="Normal"/>
        <w:tabs>
          <w:tab w:val="left" w:pos="50" w:leader="none"/>
          <w:tab w:val="left" w:pos="720" w:leader="none"/>
          <w:tab w:val="left" w:pos="1440" w:leader="none"/>
          <w:tab w:val="right" w:pos="4076" w:leader="none"/>
          <w:tab w:val="left" w:pos="6480" w:leader="none"/>
        </w:tabs>
        <w:rPr>
          <w:sz w:val="22"/>
          <w:lang w:val="en-US"/>
        </w:rPr>
      </w:pPr>
      <w:r>
        <w:rPr>
          <w:sz w:val="22"/>
          <w:lang w:val="en-US"/>
        </w:rPr>
        <w:t>(iv)</w:t>
        <w:tab/>
        <w:t>Other Payee Representations:  None.</w:t>
      </w:r>
    </w:p>
    <w:p>
      <w:pPr>
        <w:pStyle w:val="Normal"/>
        <w:tabs>
          <w:tab w:val="left" w:pos="50" w:leader="none"/>
          <w:tab w:val="left" w:pos="720" w:leader="none"/>
          <w:tab w:val="left" w:pos="1440" w:leader="none"/>
          <w:tab w:val="right" w:pos="4076" w:leader="none"/>
          <w:tab w:val="left" w:pos="6480" w:leader="none"/>
        </w:tabs>
        <w:rPr>
          <w:sz w:val="22"/>
          <w:lang w:val="en-US"/>
        </w:rPr>
      </w:pPr>
      <w:r>
        <w:rPr>
          <w:sz w:val="22"/>
          <w:lang w:val="en-US"/>
        </w:rPr>
      </w:r>
    </w:p>
    <w:p>
      <w:pPr>
        <w:pStyle w:val="Normal"/>
        <w:tabs>
          <w:tab w:val="right" w:pos="375" w:leader="none"/>
          <w:tab w:val="left" w:pos="720" w:leader="none"/>
          <w:tab w:val="left" w:pos="1440" w:leader="none"/>
          <w:tab w:val="left" w:pos="6480" w:leader="none"/>
        </w:tabs>
        <w:jc w:val="center"/>
        <w:rPr>
          <w:b/>
          <w:sz w:val="22"/>
          <w:lang w:val="en-US"/>
        </w:rPr>
      </w:pPr>
      <w:r>
        <w:rPr>
          <w:b/>
          <w:sz w:val="22"/>
          <w:lang w:val="en-US"/>
        </w:rPr>
        <w:t>Part 3</w:t>
      </w:r>
    </w:p>
    <w:p>
      <w:pPr>
        <w:pStyle w:val="Normal"/>
        <w:tabs>
          <w:tab w:val="left" w:pos="720" w:leader="none"/>
          <w:tab w:val="left" w:pos="1440" w:leader="none"/>
          <w:tab w:val="left" w:pos="6480" w:leader="none"/>
        </w:tabs>
        <w:rPr>
          <w:b/>
          <w:sz w:val="22"/>
          <w:lang w:val="en-US"/>
        </w:rPr>
      </w:pPr>
      <w:r>
        <w:rPr>
          <w:b/>
          <w:sz w:val="22"/>
          <w:lang w:val="en-US"/>
        </w:rPr>
      </w:r>
    </w:p>
    <w:p>
      <w:pPr>
        <w:pStyle w:val="Normal"/>
        <w:tabs>
          <w:tab w:val="left" w:pos="720" w:leader="none"/>
          <w:tab w:val="left" w:pos="1440" w:leader="none"/>
          <w:tab w:val="right" w:pos="2992" w:leader="none"/>
          <w:tab w:val="left" w:pos="6480" w:leader="none"/>
        </w:tabs>
        <w:jc w:val="center"/>
        <w:rPr>
          <w:b/>
          <w:sz w:val="22"/>
          <w:lang w:val="en-US"/>
        </w:rPr>
      </w:pPr>
      <w:r>
        <w:rPr>
          <w:b/>
          <w:sz w:val="22"/>
          <w:lang w:val="en-US"/>
        </w:rPr>
        <w:t>Agreement to Deliver Documents</w:t>
      </w:r>
    </w:p>
    <w:p>
      <w:pPr>
        <w:pStyle w:val="Normal"/>
        <w:tabs>
          <w:tab w:val="left" w:pos="720" w:leader="none"/>
          <w:tab w:val="left" w:pos="1440" w:leader="none"/>
          <w:tab w:val="right" w:pos="2992" w:leader="none"/>
          <w:tab w:val="left" w:pos="6480" w:leader="none"/>
        </w:tabs>
        <w:rPr>
          <w:b/>
          <w:sz w:val="22"/>
          <w:lang w:val="en-US"/>
        </w:rPr>
      </w:pPr>
      <w:r>
        <w:rPr>
          <w:b/>
          <w:sz w:val="22"/>
          <w:lang w:val="en-US"/>
        </w:rPr>
      </w:r>
    </w:p>
    <w:p>
      <w:pPr>
        <w:pStyle w:val="BodyText"/>
        <w:rPr>
          <w:sz w:val="22"/>
        </w:rPr>
      </w:pPr>
      <w:r>
        <w:rPr>
          <w:sz w:val="22"/>
        </w:rPr>
        <w:t>For the purpose of Section 4(a) of this Agreement, each party agrees to deliver the following documents as applicable:</w:t>
      </w:r>
    </w:p>
    <w:p>
      <w:pPr>
        <w:pStyle w:val="Normal"/>
        <w:tabs>
          <w:tab w:val="left" w:pos="720" w:leader="none"/>
          <w:tab w:val="left" w:pos="1440" w:leader="none"/>
          <w:tab w:val="left" w:pos="6480" w:leader="none"/>
          <w:tab w:val="right" w:pos="9514" w:leader="none"/>
        </w:tabs>
        <w:rPr>
          <w:sz w:val="22"/>
          <w:lang w:val="en-US"/>
        </w:rPr>
      </w:pPr>
      <w:r>
        <w:rPr>
          <w:sz w:val="22"/>
          <w:lang w:val="en-US"/>
        </w:rPr>
      </w:r>
    </w:p>
    <w:p>
      <w:pPr>
        <w:pStyle w:val="Normal"/>
        <w:tabs>
          <w:tab w:val="left" w:pos="720" w:leader="none"/>
          <w:tab w:val="left" w:pos="1440" w:leader="none"/>
          <w:tab w:val="right" w:pos="6430" w:leader="none"/>
          <w:tab w:val="left" w:pos="6480" w:leader="none"/>
        </w:tabs>
        <w:rPr>
          <w:sz w:val="22"/>
          <w:lang w:val="en-US"/>
        </w:rPr>
      </w:pPr>
      <w:r>
        <w:rPr>
          <w:sz w:val="22"/>
          <w:lang w:val="en-US"/>
        </w:rPr>
        <w:t>(a)</w:t>
        <w:tab/>
        <w:t>Tax forms, documents or certificates to be delivered are:  None.</w:t>
      </w:r>
    </w:p>
    <w:p>
      <w:pPr>
        <w:pStyle w:val="Normal"/>
        <w:tabs>
          <w:tab w:val="left" w:pos="720" w:leader="none"/>
          <w:tab w:val="left" w:pos="1440" w:leader="none"/>
          <w:tab w:val="right" w:pos="6430" w:leader="none"/>
          <w:tab w:val="left" w:pos="6480" w:leader="none"/>
        </w:tabs>
        <w:rPr>
          <w:sz w:val="22"/>
          <w:lang w:val="en-US"/>
        </w:rPr>
      </w:pPr>
      <w:r>
        <w:rPr>
          <w:sz w:val="22"/>
          <w:lang w:val="en-US"/>
        </w:rPr>
      </w:r>
    </w:p>
    <w:p>
      <w:pPr>
        <w:pStyle w:val="Normal"/>
        <w:tabs>
          <w:tab w:val="left" w:pos="720" w:leader="none"/>
          <w:tab w:val="left" w:pos="1440" w:leader="none"/>
          <w:tab w:val="right" w:pos="4063" w:leader="none"/>
          <w:tab w:val="left" w:pos="6480" w:leader="none"/>
        </w:tabs>
        <w:rPr>
          <w:sz w:val="22"/>
          <w:lang w:val="en-US"/>
        </w:rPr>
      </w:pPr>
      <w:r>
        <w:rPr>
          <w:sz w:val="22"/>
          <w:lang w:val="en-US"/>
        </w:rPr>
        <w:t>(b)</w:t>
        <w:tab/>
        <w:t>Other documents to be delivered are:</w:t>
      </w:r>
    </w:p>
    <w:p>
      <w:pPr>
        <w:pStyle w:val="Normal"/>
        <w:tabs>
          <w:tab w:val="left" w:pos="720" w:leader="none"/>
          <w:tab w:val="left" w:pos="1440" w:leader="none"/>
          <w:tab w:val="right" w:pos="4063" w:leader="none"/>
          <w:tab w:val="left" w:pos="6480" w:leader="none"/>
        </w:tabs>
        <w:rPr>
          <w:sz w:val="22"/>
          <w:lang w:val="en-US"/>
        </w:rPr>
      </w:pPr>
      <w:r>
        <w:rPr>
          <w:sz w:val="22"/>
          <w:lang w:val="en-US"/>
        </w:rPr>
      </w:r>
    </w:p>
    <w:tbl>
      <w:tblPr>
        <w:tblW w:w="10008" w:type="dxa"/>
        <w:jc w:val="start"/>
        <w:tblInd w:w="0" w:type="dxa"/>
        <w:tblLayout w:type="fixed"/>
        <w:tblCellMar>
          <w:top w:w="0" w:type="dxa"/>
          <w:start w:w="108" w:type="dxa"/>
          <w:bottom w:w="0" w:type="dxa"/>
          <w:end w:w="108" w:type="dxa"/>
        </w:tblCellMar>
      </w:tblPr>
      <w:tblGrid>
        <w:gridCol w:w="2482"/>
        <w:gridCol w:w="3656"/>
        <w:gridCol w:w="1980"/>
        <w:gridCol w:w="1890"/>
      </w:tblGrid>
      <w:tr>
        <w:trPr>
          <w:tblHeader w:val="true"/>
        </w:trPr>
        <w:tc>
          <w:tcPr>
            <w:tcW w:w="2482" w:type="dxa"/>
            <w:tcBorders>
              <w:bottom w:val="single" w:sz="6" w:space="0" w:color="000000"/>
            </w:tcBorders>
          </w:tcPr>
          <w:p>
            <w:pPr>
              <w:pStyle w:val="Normal"/>
              <w:tabs>
                <w:tab w:val="left" w:pos="720" w:leader="none"/>
                <w:tab w:val="left" w:pos="1440" w:leader="none"/>
                <w:tab w:val="right" w:pos="4063" w:leader="none"/>
                <w:tab w:val="left" w:pos="6480" w:leader="none"/>
              </w:tabs>
              <w:snapToGrid w:val="false"/>
              <w:jc w:val="center"/>
              <w:rPr>
                <w:b/>
                <w:sz w:val="22"/>
                <w:lang w:val="en-US"/>
              </w:rPr>
            </w:pPr>
            <w:r>
              <w:rPr>
                <w:b/>
                <w:sz w:val="22"/>
                <w:lang w:val="en-US"/>
              </w:rPr>
            </w:r>
          </w:p>
          <w:p>
            <w:pPr>
              <w:pStyle w:val="Normal"/>
              <w:tabs>
                <w:tab w:val="left" w:pos="720" w:leader="none"/>
                <w:tab w:val="left" w:pos="1440" w:leader="none"/>
                <w:tab w:val="right" w:pos="4063" w:leader="none"/>
                <w:tab w:val="left" w:pos="6480" w:leader="none"/>
              </w:tabs>
              <w:jc w:val="center"/>
              <w:rPr>
                <w:b/>
                <w:sz w:val="22"/>
                <w:lang w:val="en-US"/>
              </w:rPr>
            </w:pPr>
            <w:r>
              <w:rPr>
                <w:b/>
                <w:sz w:val="22"/>
                <w:lang w:val="en-US"/>
              </w:rPr>
              <w:t>Party Required to deliver document</w:t>
            </w:r>
          </w:p>
        </w:tc>
        <w:tc>
          <w:tcPr>
            <w:tcW w:w="3656" w:type="dxa"/>
            <w:tcBorders>
              <w:bottom w:val="single" w:sz="6" w:space="0" w:color="000000"/>
            </w:tcBorders>
          </w:tcPr>
          <w:p>
            <w:pPr>
              <w:pStyle w:val="Normal"/>
              <w:tabs>
                <w:tab w:val="left" w:pos="720" w:leader="none"/>
                <w:tab w:val="left" w:pos="1440" w:leader="none"/>
                <w:tab w:val="right" w:pos="4063" w:leader="none"/>
                <w:tab w:val="left" w:pos="6480" w:leader="none"/>
              </w:tabs>
              <w:snapToGrid w:val="false"/>
              <w:jc w:val="center"/>
              <w:rPr>
                <w:b/>
                <w:sz w:val="22"/>
                <w:lang w:val="en-US"/>
              </w:rPr>
            </w:pPr>
            <w:r>
              <w:rPr>
                <w:b/>
                <w:sz w:val="22"/>
                <w:lang w:val="en-US"/>
              </w:rPr>
            </w:r>
          </w:p>
          <w:p>
            <w:pPr>
              <w:pStyle w:val="Normal"/>
              <w:tabs>
                <w:tab w:val="left" w:pos="720" w:leader="none"/>
                <w:tab w:val="left" w:pos="1440" w:leader="none"/>
                <w:tab w:val="right" w:pos="4063" w:leader="none"/>
                <w:tab w:val="left" w:pos="6480" w:leader="none"/>
              </w:tabs>
              <w:jc w:val="center"/>
              <w:rPr>
                <w:b/>
                <w:sz w:val="22"/>
                <w:lang w:val="en-US"/>
              </w:rPr>
            </w:pPr>
            <w:r>
              <w:rPr>
                <w:b/>
                <w:sz w:val="22"/>
                <w:lang w:val="en-US"/>
              </w:rPr>
            </w:r>
          </w:p>
          <w:p>
            <w:pPr>
              <w:pStyle w:val="Normal"/>
              <w:tabs>
                <w:tab w:val="left" w:pos="720" w:leader="none"/>
                <w:tab w:val="left" w:pos="1440" w:leader="none"/>
                <w:tab w:val="right" w:pos="4063" w:leader="none"/>
                <w:tab w:val="left" w:pos="6480" w:leader="none"/>
              </w:tabs>
              <w:jc w:val="center"/>
              <w:rPr>
                <w:b/>
                <w:sz w:val="22"/>
                <w:lang w:val="en-US"/>
              </w:rPr>
            </w:pPr>
            <w:r>
              <w:rPr>
                <w:b/>
                <w:sz w:val="22"/>
                <w:lang w:val="en-US"/>
              </w:rPr>
              <w:t>Form/Document/Certificate</w:t>
            </w:r>
          </w:p>
        </w:tc>
        <w:tc>
          <w:tcPr>
            <w:tcW w:w="1980" w:type="dxa"/>
            <w:tcBorders>
              <w:bottom w:val="single" w:sz="6" w:space="0" w:color="000000"/>
            </w:tcBorders>
          </w:tcPr>
          <w:p>
            <w:pPr>
              <w:pStyle w:val="Normal"/>
              <w:tabs>
                <w:tab w:val="left" w:pos="720" w:leader="none"/>
                <w:tab w:val="left" w:pos="1440" w:leader="none"/>
                <w:tab w:val="right" w:pos="4063" w:leader="none"/>
                <w:tab w:val="left" w:pos="6480" w:leader="none"/>
              </w:tabs>
              <w:snapToGrid w:val="false"/>
              <w:jc w:val="center"/>
              <w:rPr>
                <w:b/>
                <w:sz w:val="22"/>
                <w:lang w:val="en-US"/>
              </w:rPr>
            </w:pPr>
            <w:r>
              <w:rPr>
                <w:b/>
                <w:sz w:val="22"/>
                <w:lang w:val="en-US"/>
              </w:rPr>
            </w:r>
          </w:p>
          <w:p>
            <w:pPr>
              <w:pStyle w:val="Normal"/>
              <w:tabs>
                <w:tab w:val="left" w:pos="720" w:leader="none"/>
                <w:tab w:val="left" w:pos="1440" w:leader="none"/>
                <w:tab w:val="right" w:pos="4063" w:leader="none"/>
                <w:tab w:val="left" w:pos="6480" w:leader="none"/>
              </w:tabs>
              <w:jc w:val="center"/>
              <w:rPr>
                <w:b/>
                <w:sz w:val="22"/>
                <w:lang w:val="en-US"/>
              </w:rPr>
            </w:pPr>
            <w:r>
              <w:rPr>
                <w:b/>
                <w:sz w:val="22"/>
                <w:lang w:val="en-US"/>
              </w:rPr>
              <w:t>Date by which to be delivered</w:t>
            </w:r>
          </w:p>
        </w:tc>
        <w:tc>
          <w:tcPr>
            <w:tcW w:w="1890" w:type="dxa"/>
            <w:tcBorders>
              <w:bottom w:val="single" w:sz="6" w:space="0" w:color="000000"/>
            </w:tcBorders>
          </w:tcPr>
          <w:p>
            <w:pPr>
              <w:pStyle w:val="Normal"/>
              <w:tabs>
                <w:tab w:val="left" w:pos="720" w:leader="none"/>
                <w:tab w:val="left" w:pos="1440" w:leader="none"/>
                <w:tab w:val="right" w:pos="4063" w:leader="none"/>
                <w:tab w:val="left" w:pos="6480" w:leader="none"/>
              </w:tabs>
              <w:jc w:val="center"/>
              <w:rPr>
                <w:b/>
                <w:sz w:val="22"/>
                <w:lang w:val="en-US"/>
              </w:rPr>
            </w:pPr>
            <w:r>
              <w:rPr>
                <w:b/>
                <w:sz w:val="22"/>
                <w:lang w:val="en-US"/>
              </w:rPr>
              <w:t>Covered by Section 3(d) Representation</w:t>
            </w:r>
          </w:p>
        </w:tc>
      </w:tr>
      <w:tr>
        <w:trPr/>
        <w:tc>
          <w:tcPr>
            <w:tcW w:w="2482" w:type="dxa"/>
            <w:tcBorders>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Party A/Party B</w:t>
            </w:r>
          </w:p>
        </w:tc>
        <w:tc>
          <w:tcPr>
            <w:tcW w:w="3656" w:type="dxa"/>
            <w:tcBorders>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Annual audited Financial Statements of ML &amp; Co. in the case of Party A and of Enron in the case of Party B prepared in accordance with generally accepted accounting principles in the country in which the party is organized</w:t>
            </w:r>
          </w:p>
        </w:tc>
        <w:tc>
          <w:tcPr>
            <w:tcW w:w="1980" w:type="dxa"/>
            <w:tcBorders>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Promptly after request</w:t>
            </w:r>
          </w:p>
        </w:tc>
        <w:tc>
          <w:tcPr>
            <w:tcW w:w="1890" w:type="dxa"/>
            <w:tcBorders>
              <w:bottom w:val="single" w:sz="6" w:space="0" w:color="000000"/>
            </w:tcBorders>
          </w:tcPr>
          <w:p>
            <w:pPr>
              <w:pStyle w:val="Normal"/>
              <w:tabs>
                <w:tab w:val="left" w:pos="720" w:leader="none"/>
                <w:tab w:val="left" w:pos="1440" w:leader="none"/>
                <w:tab w:val="right" w:pos="4063" w:leader="none"/>
                <w:tab w:val="left" w:pos="6480" w:leader="none"/>
              </w:tabs>
              <w:spacing w:before="120" w:after="0"/>
              <w:jc w:val="center"/>
              <w:rPr>
                <w:sz w:val="22"/>
                <w:lang w:val="en-US"/>
              </w:rPr>
            </w:pPr>
            <w:r>
              <w:rPr>
                <w:sz w:val="22"/>
                <w:lang w:val="en-US"/>
              </w:rPr>
              <w:t>Yes</w:t>
            </w:r>
          </w:p>
        </w:tc>
      </w:tr>
      <w:tr>
        <w:trPr/>
        <w:tc>
          <w:tcPr>
            <w:tcW w:w="2482"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Party A/Party B</w:t>
            </w:r>
          </w:p>
        </w:tc>
        <w:tc>
          <w:tcPr>
            <w:tcW w:w="3656"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Quarterly unaudited Financial Statements of ML &amp; Co. in the case of Party A and of Enron in the case of Party B prepared in accordance with generally accepted accounting principles in the country in which the party is organized</w:t>
            </w:r>
          </w:p>
        </w:tc>
        <w:tc>
          <w:tcPr>
            <w:tcW w:w="198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Promptly after request</w:t>
            </w:r>
          </w:p>
        </w:tc>
        <w:tc>
          <w:tcPr>
            <w:tcW w:w="189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jc w:val="center"/>
              <w:rPr>
                <w:sz w:val="22"/>
                <w:lang w:val="en-US"/>
              </w:rPr>
            </w:pPr>
            <w:r>
              <w:rPr>
                <w:sz w:val="22"/>
                <w:lang w:val="en-US"/>
              </w:rPr>
              <w:t>Yes</w:t>
            </w:r>
          </w:p>
        </w:tc>
      </w:tr>
      <w:tr>
        <w:trPr/>
        <w:tc>
          <w:tcPr>
            <w:tcW w:w="2482"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Party A/Party B</w:t>
            </w:r>
          </w:p>
        </w:tc>
        <w:tc>
          <w:tcPr>
            <w:tcW w:w="3656"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A duly executed copy of the Guaranty specified in Part 4 of the Schedule</w:t>
            </w:r>
          </w:p>
        </w:tc>
        <w:tc>
          <w:tcPr>
            <w:tcW w:w="198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Concurrent with execution</w:t>
            </w:r>
          </w:p>
        </w:tc>
        <w:tc>
          <w:tcPr>
            <w:tcW w:w="189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jc w:val="center"/>
              <w:rPr>
                <w:sz w:val="22"/>
                <w:lang w:val="en-US"/>
              </w:rPr>
            </w:pPr>
            <w:r>
              <w:rPr>
                <w:sz w:val="22"/>
                <w:lang w:val="en-US"/>
              </w:rPr>
              <w:t>No</w:t>
            </w:r>
          </w:p>
        </w:tc>
      </w:tr>
      <w:tr>
        <w:trPr/>
        <w:tc>
          <w:tcPr>
            <w:tcW w:w="2482"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Party A/Party B</w:t>
            </w:r>
          </w:p>
        </w:tc>
        <w:tc>
          <w:tcPr>
            <w:tcW w:w="3656"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Certified incumbency certificate or other evidence of authority and specimen signatures with respect to each party, its Credit Support Provider (if any), and their respective signatories</w:t>
            </w:r>
          </w:p>
        </w:tc>
        <w:tc>
          <w:tcPr>
            <w:tcW w:w="198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At or promptly following the execution of this Agreement, and, if a confirmation so requires it on or before the date set forth therein</w:t>
            </w:r>
          </w:p>
        </w:tc>
        <w:tc>
          <w:tcPr>
            <w:tcW w:w="189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jc w:val="center"/>
              <w:rPr>
                <w:sz w:val="22"/>
                <w:lang w:val="en-US"/>
              </w:rPr>
            </w:pPr>
            <w:r>
              <w:rPr>
                <w:sz w:val="22"/>
                <w:lang w:val="en-US"/>
              </w:rPr>
              <w:t>Yes</w:t>
            </w:r>
          </w:p>
        </w:tc>
      </w:tr>
      <w:tr>
        <w:trPr/>
        <w:tc>
          <w:tcPr>
            <w:tcW w:w="2482"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Party A/Party B</w:t>
            </w:r>
          </w:p>
        </w:tc>
        <w:tc>
          <w:tcPr>
            <w:tcW w:w="3656"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A Secretary’s or Assistant Secretary’s Certificate with respect to certified resolutions of each party’s respective board of directors or other governing body authorizing this Agreement and the Transactions contemplated hereby and authorizing a specified person or persons to execute and deliver (as appropriate) on its behalf this Agreement</w:t>
            </w:r>
          </w:p>
        </w:tc>
        <w:tc>
          <w:tcPr>
            <w:tcW w:w="198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rPr>
                <w:sz w:val="22"/>
                <w:lang w:val="en-US"/>
              </w:rPr>
            </w:pPr>
            <w:r>
              <w:rPr>
                <w:sz w:val="22"/>
                <w:lang w:val="en-US"/>
              </w:rPr>
              <w:t>At or promptly following execution of this Agreement</w:t>
            </w:r>
          </w:p>
        </w:tc>
        <w:tc>
          <w:tcPr>
            <w:tcW w:w="1890" w:type="dxa"/>
            <w:tcBorders>
              <w:top w:val="single" w:sz="6" w:space="0" w:color="000000"/>
              <w:bottom w:val="single" w:sz="6" w:space="0" w:color="000000"/>
            </w:tcBorders>
          </w:tcPr>
          <w:p>
            <w:pPr>
              <w:pStyle w:val="Normal"/>
              <w:tabs>
                <w:tab w:val="left" w:pos="720" w:leader="none"/>
                <w:tab w:val="left" w:pos="1440" w:leader="none"/>
                <w:tab w:val="right" w:pos="4063" w:leader="none"/>
                <w:tab w:val="left" w:pos="6480" w:leader="none"/>
              </w:tabs>
              <w:spacing w:before="120" w:after="0"/>
              <w:jc w:val="center"/>
              <w:rPr>
                <w:sz w:val="22"/>
                <w:lang w:val="en-US"/>
              </w:rPr>
            </w:pPr>
            <w:r>
              <w:rPr>
                <w:sz w:val="22"/>
                <w:lang w:val="en-US"/>
              </w:rPr>
              <w:t>Yes</w:t>
            </w:r>
          </w:p>
        </w:tc>
      </w:tr>
    </w:tbl>
    <w:p>
      <w:pPr>
        <w:pStyle w:val="Normal"/>
        <w:tabs>
          <w:tab w:val="left" w:pos="720" w:leader="none"/>
          <w:tab w:val="left" w:pos="1440" w:leader="none"/>
          <w:tab w:val="right" w:pos="4063" w:leader="none"/>
          <w:tab w:val="left" w:pos="6480" w:leader="none"/>
        </w:tabs>
        <w:rPr>
          <w:sz w:val="22"/>
          <w:lang w:val="en-US"/>
        </w:rPr>
      </w:pPr>
      <w:r>
        <w:rPr>
          <w:sz w:val="22"/>
          <w:lang w:val="en-US"/>
        </w:rPr>
      </w:r>
    </w:p>
    <w:p>
      <w:pPr>
        <w:pStyle w:val="Normal"/>
        <w:keepNext w:val="true"/>
        <w:tabs>
          <w:tab w:val="left" w:pos="720" w:leader="none"/>
          <w:tab w:val="left" w:pos="1440" w:leader="none"/>
          <w:tab w:val="right" w:pos="2887" w:leader="none"/>
          <w:tab w:val="left" w:pos="6480" w:leader="none"/>
        </w:tabs>
        <w:jc w:val="center"/>
        <w:rPr>
          <w:b/>
          <w:sz w:val="22"/>
          <w:lang w:val="en-US"/>
        </w:rPr>
      </w:pPr>
      <w:r>
        <w:rPr>
          <w:b/>
          <w:sz w:val="22"/>
          <w:lang w:val="en-US"/>
        </w:rPr>
        <w:t>Part 4</w:t>
      </w:r>
    </w:p>
    <w:p>
      <w:pPr>
        <w:pStyle w:val="Normal"/>
        <w:keepNext w:val="true"/>
        <w:tabs>
          <w:tab w:val="left" w:pos="720" w:leader="none"/>
          <w:tab w:val="right" w:pos="766" w:leader="none"/>
          <w:tab w:val="left" w:pos="1440" w:leader="none"/>
          <w:tab w:val="left" w:pos="6480" w:leader="none"/>
        </w:tabs>
        <w:rPr>
          <w:b/>
          <w:sz w:val="22"/>
          <w:lang w:val="en-US"/>
        </w:rPr>
      </w:pPr>
      <w:r>
        <w:rPr>
          <w:b/>
          <w:sz w:val="22"/>
          <w:lang w:val="en-US"/>
        </w:rPr>
      </w:r>
    </w:p>
    <w:p>
      <w:pPr>
        <w:pStyle w:val="Normal"/>
        <w:keepNext w:val="true"/>
        <w:tabs>
          <w:tab w:val="left" w:pos="720" w:leader="none"/>
          <w:tab w:val="left" w:pos="1440" w:leader="none"/>
          <w:tab w:val="left" w:pos="6480" w:leader="none"/>
        </w:tabs>
        <w:jc w:val="center"/>
        <w:rPr>
          <w:b/>
          <w:sz w:val="22"/>
          <w:lang w:val="en-US"/>
        </w:rPr>
      </w:pPr>
      <w:r>
        <w:rPr>
          <w:b/>
          <w:sz w:val="22"/>
          <w:lang w:val="en-US"/>
        </w:rPr>
        <w:t>Miscellaneous</w:t>
      </w:r>
    </w:p>
    <w:p>
      <w:pPr>
        <w:pStyle w:val="Normal"/>
        <w:keepNext w:val="true"/>
        <w:tabs>
          <w:tab w:val="left" w:pos="720" w:leader="none"/>
          <w:tab w:val="left" w:pos="1440" w:leader="none"/>
          <w:tab w:val="left" w:pos="6480" w:leader="none"/>
        </w:tabs>
        <w:rPr>
          <w:b/>
          <w:sz w:val="22"/>
          <w:lang w:val="en-US"/>
        </w:rPr>
      </w:pPr>
      <w:r>
        <w:rPr>
          <w:b/>
          <w:sz w:val="22"/>
          <w:lang w:val="en-US"/>
        </w:rPr>
      </w:r>
    </w:p>
    <w:p>
      <w:pPr>
        <w:pStyle w:val="Normal"/>
        <w:tabs>
          <w:tab w:val="left" w:pos="720" w:leader="none"/>
          <w:tab w:val="left" w:pos="1440" w:leader="none"/>
          <w:tab w:val="left" w:pos="6480" w:leader="none"/>
          <w:tab w:val="right" w:pos="7549" w:leader="none"/>
        </w:tabs>
        <w:jc w:val="both"/>
        <w:rPr/>
      </w:pPr>
      <w:r>
        <w:rPr>
          <w:sz w:val="22"/>
          <w:lang w:val="en-US"/>
        </w:rPr>
        <w:t>(a)</w:t>
        <w:tab/>
      </w:r>
      <w:r>
        <w:rPr>
          <w:b/>
          <w:sz w:val="22"/>
          <w:lang w:val="en-US"/>
        </w:rPr>
        <w:t xml:space="preserve">Addresses for Notices:  </w:t>
      </w:r>
      <w:r>
        <w:rPr>
          <w:sz w:val="22"/>
          <w:lang w:val="en-US"/>
        </w:rPr>
        <w:t>Section 12(a) is hereby amended to delete the following phrase from the second and third lines thereof:  "(except that a notice or other communication under Section 5 or 6 may not be given by facsimile transmission or electronic messaging system)".  For the purpose of Section 12(a) of this Agreement:</w:t>
      </w:r>
    </w:p>
    <w:p>
      <w:pPr>
        <w:pStyle w:val="Normal"/>
        <w:tabs>
          <w:tab w:val="left" w:pos="720" w:leader="none"/>
          <w:tab w:val="left" w:pos="1440" w:leader="none"/>
          <w:tab w:val="left" w:pos="6480" w:leader="none"/>
          <w:tab w:val="right" w:pos="7549" w:leader="none"/>
        </w:tabs>
        <w:jc w:val="both"/>
        <w:rPr>
          <w:sz w:val="22"/>
          <w:lang w:val="en-US"/>
        </w:rPr>
      </w:pPr>
      <w:r>
        <w:rPr>
          <w:sz w:val="22"/>
          <w:lang w:val="en-US"/>
        </w:rPr>
      </w:r>
    </w:p>
    <w:p>
      <w:pPr>
        <w:pStyle w:val="Normal"/>
        <w:tabs>
          <w:tab w:val="left" w:pos="720" w:leader="none"/>
          <w:tab w:val="left" w:pos="1440" w:leader="none"/>
          <w:tab w:val="right" w:pos="4623" w:leader="none"/>
          <w:tab w:val="left" w:pos="6480" w:leader="none"/>
        </w:tabs>
        <w:jc w:val="both"/>
        <w:rPr>
          <w:sz w:val="22"/>
          <w:lang w:val="en-US"/>
        </w:rPr>
      </w:pPr>
      <w:r>
        <w:rPr>
          <w:sz w:val="22"/>
          <w:lang w:val="en-US"/>
        </w:rPr>
        <w:t xml:space="preserve">Address for notices or communications to Party A: </w:t>
      </w:r>
    </w:p>
    <w:p>
      <w:pPr>
        <w:pStyle w:val="Normal"/>
        <w:tabs>
          <w:tab w:val="left" w:pos="720" w:leader="none"/>
          <w:tab w:val="left" w:pos="1440" w:leader="none"/>
          <w:tab w:val="right" w:pos="4623" w:leader="none"/>
          <w:tab w:val="left" w:pos="6480" w:leader="none"/>
        </w:tabs>
        <w:jc w:val="both"/>
        <w:rPr>
          <w:sz w:val="22"/>
          <w:lang w:val="en-US"/>
        </w:rPr>
      </w:pPr>
      <w:r>
        <w:rPr>
          <w:sz w:val="22"/>
          <w:lang w:val="en-US"/>
        </w:rPr>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Address:</w:t>
        <w:tab/>
        <w:t>Merrill Lynch World Headquarters</w:t>
        <w:tab/>
        <w:t>Telex No.:  6716341</w:t>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ab/>
        <w:t>World Financial Center, North Tower</w:t>
        <w:tab/>
        <w:t>Answerback:  MLB SCTR</w:t>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 xml:space="preserve"> </w:t>
      </w:r>
      <w:r>
        <w:rPr/>
        <w:tab/>
        <w:t>250 Vesey Street, 22</w:t>
      </w:r>
      <w:r>
        <w:rPr>
          <w:vertAlign w:val="superscript"/>
        </w:rPr>
        <w:t>nd</w:t>
      </w:r>
      <w:r>
        <w:rPr/>
        <w:t xml:space="preserve">  Floor</w:t>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ab/>
        <w:t>New York, New York 10281</w:t>
        <w:noBreakHyphen/>
        <w:t>1322</w:t>
      </w:r>
    </w:p>
    <w:p>
      <w:pPr>
        <w:pStyle w:val="Normal"/>
        <w:tabs>
          <w:tab w:val="clear" w:pos="720"/>
          <w:tab w:val="left" w:pos="1440" w:leader="none"/>
          <w:tab w:val="left" w:pos="1472" w:leader="none"/>
          <w:tab w:val="left" w:pos="5760" w:leader="none"/>
          <w:tab w:val="right" w:pos="9542" w:leader="none"/>
        </w:tabs>
        <w:jc w:val="both"/>
        <w:rPr>
          <w:sz w:val="22"/>
          <w:lang w:val="en-US"/>
        </w:rPr>
      </w:pPr>
      <w:r>
        <w:rPr>
          <w:sz w:val="22"/>
          <w:lang w:val="en-US"/>
        </w:rPr>
        <w:t>Attention:</w:t>
        <w:tab/>
        <w:tab/>
        <w:t>Swap Group</w:t>
      </w:r>
    </w:p>
    <w:p>
      <w:pPr>
        <w:pStyle w:val="Normal"/>
        <w:tabs>
          <w:tab w:val="clear" w:pos="720"/>
          <w:tab w:val="left" w:pos="1440" w:leader="none"/>
          <w:tab w:val="left" w:pos="1472" w:leader="none"/>
          <w:tab w:val="left" w:pos="3600" w:leader="none"/>
          <w:tab w:val="left" w:pos="5040" w:leader="none"/>
          <w:tab w:val="right" w:pos="9542" w:leader="none"/>
        </w:tabs>
        <w:jc w:val="both"/>
        <w:rPr>
          <w:sz w:val="22"/>
          <w:lang w:val="en-US"/>
        </w:rPr>
      </w:pPr>
      <w:r>
        <w:rPr>
          <w:sz w:val="22"/>
          <w:lang w:val="en-US"/>
        </w:rPr>
      </w:r>
    </w:p>
    <w:p>
      <w:pPr>
        <w:pStyle w:val="Normal"/>
        <w:tabs>
          <w:tab w:val="left" w:pos="720" w:leader="none"/>
          <w:tab w:val="left" w:pos="1440" w:leader="none"/>
          <w:tab w:val="right" w:pos="4623" w:leader="none"/>
          <w:tab w:val="left" w:pos="6480" w:leader="none"/>
        </w:tabs>
        <w:jc w:val="both"/>
        <w:rPr>
          <w:sz w:val="22"/>
          <w:lang w:val="en-US"/>
        </w:rPr>
      </w:pPr>
      <w:r>
        <w:rPr>
          <w:sz w:val="22"/>
          <w:lang w:val="en-US"/>
        </w:rPr>
        <w:t>with a copy to:</w:t>
      </w:r>
    </w:p>
    <w:p>
      <w:pPr>
        <w:pStyle w:val="Normal"/>
        <w:tabs>
          <w:tab w:val="left" w:pos="720" w:leader="none"/>
          <w:tab w:val="left" w:pos="1440" w:leader="none"/>
          <w:tab w:val="right" w:pos="4623" w:leader="none"/>
          <w:tab w:val="left" w:pos="6480" w:leader="none"/>
        </w:tabs>
        <w:jc w:val="both"/>
        <w:rPr>
          <w:sz w:val="22"/>
          <w:lang w:val="en-US"/>
        </w:rPr>
      </w:pPr>
      <w:r>
        <w:rPr>
          <w:sz w:val="22"/>
          <w:lang w:val="en-US"/>
        </w:rPr>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Address:</w:t>
        <w:tab/>
        <w:t>Merrill Lynch &amp; Co., Inc.</w:t>
        <w:tab/>
        <w:t>Facsimile No.:  (212) 449-5559</w:t>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ab/>
        <w:t>World Financial Center, North Tower</w:t>
        <w:tab/>
        <w:t>Telephone No.:  (212) 449-4367</w:t>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 xml:space="preserve"> </w:t>
      </w:r>
      <w:r>
        <w:rPr/>
        <w:tab/>
        <w:t>250 Vesey Street, 12</w:t>
      </w:r>
      <w:r>
        <w:rPr>
          <w:vertAlign w:val="superscript"/>
        </w:rPr>
        <w:t>th</w:t>
      </w:r>
      <w:r>
        <w:rPr/>
        <w:t xml:space="preserve"> Floor</w:t>
      </w:r>
    </w:p>
    <w:p>
      <w:pPr>
        <w:pStyle w:val="BodyTextIndent3"/>
        <w:keepNext w:val="false"/>
        <w:tabs>
          <w:tab w:val="clear" w:pos="720"/>
          <w:tab w:val="clear" w:pos="2160"/>
          <w:tab w:val="clear" w:pos="6480"/>
          <w:tab w:val="left" w:pos="1440" w:leader="none"/>
          <w:tab w:val="left" w:pos="5760" w:leader="none"/>
          <w:tab w:val="right" w:pos="9542" w:leader="none"/>
        </w:tabs>
        <w:ind w:hanging="0" w:start="0" w:end="0"/>
        <w:jc w:val="both"/>
        <w:rPr/>
      </w:pPr>
      <w:r>
        <w:rPr/>
        <w:tab/>
        <w:t>New York, New York 10281</w:t>
        <w:noBreakHyphen/>
        <w:t>1312</w:t>
      </w:r>
    </w:p>
    <w:p>
      <w:pPr>
        <w:pStyle w:val="Normal"/>
        <w:tabs>
          <w:tab w:val="clear" w:pos="720"/>
          <w:tab w:val="left" w:pos="1440" w:leader="none"/>
          <w:tab w:val="left" w:pos="1472" w:leader="none"/>
          <w:tab w:val="left" w:pos="5760" w:leader="none"/>
          <w:tab w:val="right" w:pos="9542" w:leader="none"/>
        </w:tabs>
        <w:jc w:val="both"/>
        <w:rPr>
          <w:sz w:val="22"/>
          <w:lang w:val="en-US"/>
        </w:rPr>
      </w:pPr>
      <w:r>
        <w:rPr>
          <w:sz w:val="22"/>
          <w:lang w:val="en-US"/>
        </w:rPr>
        <w:t>Attention:</w:t>
        <w:tab/>
        <w:tab/>
        <w:t>Office of General Counsel – CICG Legal</w:t>
      </w:r>
    </w:p>
    <w:p>
      <w:pPr>
        <w:pStyle w:val="Normal"/>
        <w:tabs>
          <w:tab w:val="clear" w:pos="720"/>
          <w:tab w:val="left" w:pos="1440" w:leader="none"/>
          <w:tab w:val="left" w:pos="1472" w:leader="none"/>
          <w:tab w:val="left" w:pos="3600" w:leader="none"/>
          <w:tab w:val="left" w:pos="5040" w:leader="none"/>
          <w:tab w:val="right" w:pos="9542" w:leader="none"/>
        </w:tabs>
        <w:jc w:val="both"/>
        <w:rPr>
          <w:sz w:val="22"/>
          <w:lang w:val="en-US"/>
        </w:rPr>
      </w:pPr>
      <w:r>
        <w:rPr>
          <w:sz w:val="22"/>
          <w:lang w:val="en-US"/>
        </w:rPr>
      </w:r>
    </w:p>
    <w:p>
      <w:pPr>
        <w:pStyle w:val="Normal"/>
        <w:tabs>
          <w:tab w:val="left" w:pos="720" w:leader="none"/>
          <w:tab w:val="left" w:pos="1440" w:leader="none"/>
          <w:tab w:val="right" w:pos="1645" w:leader="none"/>
          <w:tab w:val="left" w:pos="6480" w:leader="none"/>
        </w:tabs>
        <w:rPr>
          <w:sz w:val="22"/>
          <w:lang w:val="en-US"/>
        </w:rPr>
      </w:pPr>
      <w:r>
        <w:rPr>
          <w:sz w:val="22"/>
          <w:lang w:val="en-US"/>
        </w:rPr>
        <w:t>(For all purposes)</w:t>
      </w:r>
    </w:p>
    <w:p>
      <w:pPr>
        <w:pStyle w:val="Normal"/>
        <w:tabs>
          <w:tab w:val="left" w:pos="720" w:leader="none"/>
          <w:tab w:val="left" w:pos="1440" w:leader="none"/>
          <w:tab w:val="right" w:pos="1645" w:leader="none"/>
          <w:tab w:val="left" w:pos="6480" w:leader="none"/>
        </w:tabs>
        <w:rPr>
          <w:sz w:val="22"/>
          <w:lang w:val="en-US"/>
        </w:rPr>
      </w:pPr>
      <w:r>
        <w:rPr>
          <w:sz w:val="22"/>
          <w:lang w:val="en-US"/>
        </w:rPr>
      </w:r>
    </w:p>
    <w:p>
      <w:pPr>
        <w:pStyle w:val="Normal"/>
        <w:tabs>
          <w:tab w:val="left" w:pos="720" w:leader="none"/>
          <w:tab w:val="left" w:pos="1440" w:leader="none"/>
          <w:tab w:val="right" w:pos="1645" w:leader="none"/>
          <w:tab w:val="left" w:pos="6480" w:leader="none"/>
        </w:tabs>
        <w:rPr>
          <w:sz w:val="22"/>
          <w:lang w:val="en-US"/>
        </w:rPr>
      </w:pPr>
      <w:r>
        <w:rPr>
          <w:sz w:val="22"/>
          <w:lang w:val="en-US"/>
        </w:rPr>
      </w:r>
    </w:p>
    <w:p>
      <w:pPr>
        <w:pStyle w:val="Normal"/>
        <w:tabs>
          <w:tab w:val="left" w:pos="720" w:leader="none"/>
          <w:tab w:val="left" w:pos="1440" w:leader="none"/>
          <w:tab w:val="right" w:pos="4623" w:leader="none"/>
          <w:tab w:val="left" w:pos="6480" w:leader="none"/>
        </w:tabs>
        <w:rPr>
          <w:sz w:val="22"/>
          <w:lang w:val="en-US"/>
        </w:rPr>
      </w:pPr>
      <w:r>
        <w:rPr>
          <w:sz w:val="22"/>
          <w:lang w:val="en-US"/>
        </w:rPr>
        <w:t>Address for notices or communications to Party B:</w:t>
      </w:r>
    </w:p>
    <w:p>
      <w:pPr>
        <w:pStyle w:val="Normal"/>
        <w:tabs>
          <w:tab w:val="left" w:pos="720" w:leader="none"/>
          <w:tab w:val="left" w:pos="1440" w:leader="none"/>
          <w:tab w:val="right" w:pos="4623" w:leader="none"/>
          <w:tab w:val="left" w:pos="6480" w:leader="none"/>
        </w:tabs>
        <w:rPr>
          <w:sz w:val="22"/>
          <w:lang w:val="en-US"/>
        </w:rPr>
      </w:pPr>
      <w:r>
        <w:rPr>
          <w:sz w:val="22"/>
          <w:lang w:val="en-US"/>
        </w:rPr>
      </w:r>
    </w:p>
    <w:p>
      <w:pPr>
        <w:pStyle w:val="Normal"/>
        <w:tabs>
          <w:tab w:val="left" w:pos="50" w:leader="none"/>
          <w:tab w:val="left" w:pos="720" w:leader="none"/>
          <w:tab w:val="left" w:pos="1440" w:leader="none"/>
          <w:tab w:val="left" w:pos="6480" w:leader="none"/>
          <w:tab w:val="right" w:pos="9609" w:leader="none"/>
        </w:tabs>
        <w:rPr>
          <w:sz w:val="22"/>
          <w:lang w:val="en-US"/>
        </w:rPr>
      </w:pPr>
      <w:r>
        <w:rPr>
          <w:sz w:val="22"/>
          <w:lang w:val="en-US"/>
        </w:rPr>
      </w:r>
    </w:p>
    <w:p>
      <w:pPr>
        <w:pStyle w:val="Normal"/>
        <w:tabs>
          <w:tab w:val="left" w:pos="50" w:leader="none"/>
          <w:tab w:val="left" w:pos="720" w:leader="none"/>
          <w:tab w:val="left" w:pos="1440" w:leader="none"/>
          <w:tab w:val="left" w:pos="2160" w:leader="none"/>
          <w:tab w:val="left" w:pos="6480" w:leader="none"/>
          <w:tab w:val="right" w:pos="9609" w:leader="none"/>
        </w:tabs>
        <w:rPr>
          <w:sz w:val="22"/>
          <w:lang w:val="en-US"/>
        </w:rPr>
      </w:pPr>
      <w:r>
        <w:rPr>
          <w:sz w:val="22"/>
          <w:lang w:val="en-US"/>
        </w:rPr>
        <w:t>Address:</w:t>
        <w:tab/>
        <w:tab/>
        <w:t>Enron Power Marketing, Inc.</w:t>
        <w:tab/>
        <w:t>Facsimile No.:  (713) 646-4816</w:t>
      </w:r>
    </w:p>
    <w:p>
      <w:pPr>
        <w:pStyle w:val="Normal"/>
        <w:tabs>
          <w:tab w:val="left" w:pos="720" w:leader="none"/>
          <w:tab w:val="left" w:pos="1440" w:leader="none"/>
          <w:tab w:val="left" w:pos="2160" w:leader="none"/>
          <w:tab w:val="left" w:pos="6480" w:leader="none"/>
          <w:tab w:val="right" w:pos="9609" w:leader="none"/>
        </w:tabs>
        <w:rPr>
          <w:sz w:val="22"/>
          <w:lang w:val="en-US"/>
        </w:rPr>
      </w:pPr>
      <w:r>
        <w:rPr>
          <w:sz w:val="22"/>
          <w:lang w:val="en-US"/>
        </w:rPr>
        <w:tab/>
        <w:tab/>
        <w:tab/>
        <w:t>P. O. Box 4428</w:t>
        <w:tab/>
        <w:t>Telephone No.:  (713) 853-3300</w:t>
      </w:r>
    </w:p>
    <w:p>
      <w:pPr>
        <w:pStyle w:val="Normal"/>
        <w:tabs>
          <w:tab w:val="left" w:pos="720" w:leader="none"/>
          <w:tab w:val="left" w:pos="1440" w:leader="none"/>
          <w:tab w:val="left" w:pos="2160" w:leader="none"/>
          <w:tab w:val="left" w:pos="6480" w:leader="none"/>
          <w:tab w:val="right" w:pos="9609" w:leader="none"/>
        </w:tabs>
        <w:rPr>
          <w:sz w:val="22"/>
          <w:lang w:val="en-US"/>
        </w:rPr>
      </w:pPr>
      <w:r>
        <w:rPr>
          <w:sz w:val="22"/>
          <w:lang w:val="en-US"/>
        </w:rPr>
        <w:tab/>
        <w:tab/>
        <w:tab/>
        <w:t>Houston, Texas  77210-4428</w:t>
      </w:r>
    </w:p>
    <w:p>
      <w:pPr>
        <w:pStyle w:val="Normal"/>
        <w:tabs>
          <w:tab w:val="left" w:pos="720" w:leader="none"/>
          <w:tab w:val="left" w:pos="1440" w:leader="none"/>
          <w:tab w:val="left" w:pos="2160" w:leader="none"/>
          <w:tab w:val="left" w:pos="6480" w:leader="none"/>
          <w:tab w:val="right" w:pos="9609" w:leader="none"/>
        </w:tabs>
        <w:rPr>
          <w:sz w:val="22"/>
          <w:lang w:val="en-US"/>
        </w:rPr>
      </w:pPr>
      <w:r>
        <w:rPr>
          <w:sz w:val="22"/>
          <w:lang w:val="en-US"/>
        </w:rPr>
        <w:t>Street Address:</w:t>
        <w:tab/>
        <w:tab/>
        <w:t>1400 Smith Street</w:t>
      </w:r>
    </w:p>
    <w:p>
      <w:pPr>
        <w:pStyle w:val="Normal"/>
        <w:tabs>
          <w:tab w:val="left" w:pos="720" w:leader="none"/>
          <w:tab w:val="left" w:pos="1440" w:leader="none"/>
          <w:tab w:val="left" w:pos="2160" w:leader="none"/>
          <w:tab w:val="left" w:pos="6480" w:leader="none"/>
          <w:tab w:val="right" w:pos="9609" w:leader="none"/>
        </w:tabs>
        <w:rPr>
          <w:sz w:val="22"/>
          <w:lang w:val="en-US"/>
        </w:rPr>
      </w:pPr>
      <w:r>
        <w:rPr>
          <w:sz w:val="22"/>
          <w:lang w:val="en-US"/>
        </w:rPr>
        <w:t>(for courier delivery)</w:t>
        <w:tab/>
        <w:t>Houston, Texas  77002</w:t>
      </w:r>
    </w:p>
    <w:p>
      <w:pPr>
        <w:pStyle w:val="Normal"/>
        <w:tabs>
          <w:tab w:val="left" w:pos="720" w:leader="none"/>
          <w:tab w:val="left" w:pos="1440" w:leader="none"/>
          <w:tab w:val="left" w:pos="2160" w:leader="none"/>
          <w:tab w:val="left" w:pos="6480" w:leader="none"/>
          <w:tab w:val="right" w:pos="9609" w:leader="none"/>
        </w:tabs>
        <w:rPr>
          <w:sz w:val="22"/>
          <w:lang w:val="en-US"/>
        </w:rPr>
      </w:pPr>
      <w:r>
        <w:rPr>
          <w:sz w:val="22"/>
          <w:lang w:val="en-US"/>
        </w:rPr>
        <w:tab/>
        <w:tab/>
        <w:tab/>
        <w:t>Attn.:  Director, Documentation Department</w:t>
      </w:r>
    </w:p>
    <w:p>
      <w:pPr>
        <w:pStyle w:val="Normal"/>
        <w:tabs>
          <w:tab w:val="left" w:pos="720" w:leader="none"/>
          <w:tab w:val="left" w:pos="1440" w:leader="none"/>
          <w:tab w:val="left" w:pos="6480" w:leader="none"/>
          <w:tab w:val="right" w:pos="9609" w:leader="none"/>
        </w:tabs>
        <w:rPr>
          <w:sz w:val="22"/>
          <w:lang w:val="en-US"/>
        </w:rPr>
      </w:pPr>
      <w:r>
        <w:rPr>
          <w:sz w:val="22"/>
          <w:lang w:val="en-US"/>
        </w:rPr>
      </w:r>
    </w:p>
    <w:p>
      <w:pPr>
        <w:pStyle w:val="Normal"/>
        <w:tabs>
          <w:tab w:val="left" w:pos="720" w:leader="none"/>
          <w:tab w:val="left" w:pos="1440" w:leader="none"/>
          <w:tab w:val="left" w:pos="6480" w:leader="none"/>
          <w:tab w:val="right" w:pos="9609" w:leader="none"/>
        </w:tabs>
        <w:jc w:val="both"/>
        <w:rPr/>
      </w:pPr>
      <w:r>
        <w:rPr>
          <w:sz w:val="22"/>
          <w:lang w:val="en-US"/>
        </w:rPr>
        <w:t xml:space="preserve">A copy of any notice sent to Party A pursuant to Section 5 or 6 or </w:t>
      </w:r>
      <w:r>
        <w:rPr>
          <w:sz w:val="22"/>
          <w:u w:val="single"/>
          <w:lang w:val="en-US"/>
        </w:rPr>
        <w:t>Annex A</w:t>
      </w:r>
      <w:r>
        <w:rPr>
          <w:sz w:val="22"/>
          <w:lang w:val="en-US"/>
        </w:rPr>
        <w:t xml:space="preserve"> must also be sent to (i) Enron Power Marketing, Inc., Attention:  Corporate Secretary at the above address and facsimile no. (713) 853-2534, and (ii) Enron Power Marketing, Inc., Attention:  Assistant General Counsel, Trading Group at the above address and facsimile no. (713) 646-4818.</w:t>
      </w:r>
    </w:p>
    <w:p>
      <w:pPr>
        <w:pStyle w:val="Normal"/>
        <w:tabs>
          <w:tab w:val="left" w:pos="720" w:leader="none"/>
          <w:tab w:val="left" w:pos="1440" w:leader="none"/>
          <w:tab w:val="left" w:pos="6480" w:leader="none"/>
          <w:tab w:val="right" w:pos="9609" w:leader="none"/>
        </w:tabs>
        <w:jc w:val="both"/>
        <w:rPr>
          <w:sz w:val="22"/>
          <w:lang w:val="en-US"/>
        </w:rPr>
      </w:pPr>
      <w:r>
        <w:rPr>
          <w:sz w:val="22"/>
          <w:lang w:val="en-US"/>
        </w:rPr>
      </w:r>
    </w:p>
    <w:p>
      <w:pPr>
        <w:pStyle w:val="Normal"/>
        <w:tabs>
          <w:tab w:val="left" w:pos="720" w:leader="none"/>
          <w:tab w:val="left" w:pos="1440" w:leader="none"/>
          <w:tab w:val="right" w:pos="5296" w:leader="none"/>
          <w:tab w:val="left" w:pos="6480" w:leader="none"/>
        </w:tabs>
        <w:jc w:val="both"/>
        <w:rPr/>
      </w:pPr>
      <w:r>
        <w:rPr>
          <w:sz w:val="22"/>
          <w:lang w:val="en-US"/>
        </w:rPr>
        <w:t>(b)</w:t>
        <w:tab/>
      </w:r>
      <w:r>
        <w:rPr>
          <w:b/>
          <w:sz w:val="22"/>
          <w:lang w:val="en-US"/>
        </w:rPr>
        <w:t xml:space="preserve">Process Agent.  </w:t>
      </w:r>
      <w:r>
        <w:rPr>
          <w:sz w:val="22"/>
          <w:lang w:val="en-US"/>
        </w:rPr>
        <w:t>For the purpose of Section 13(c):</w:t>
      </w:r>
    </w:p>
    <w:p>
      <w:pPr>
        <w:pStyle w:val="Normal"/>
        <w:tabs>
          <w:tab w:val="left" w:pos="720" w:leader="none"/>
          <w:tab w:val="left" w:pos="1440" w:leader="none"/>
          <w:tab w:val="right" w:pos="5296" w:leader="none"/>
          <w:tab w:val="left" w:pos="6480" w:leader="none"/>
        </w:tabs>
        <w:jc w:val="both"/>
        <w:rPr>
          <w:sz w:val="22"/>
          <w:lang w:val="en-US"/>
        </w:rPr>
      </w:pPr>
      <w:r>
        <w:rPr>
          <w:sz w:val="22"/>
          <w:lang w:val="en-US"/>
        </w:rPr>
      </w:r>
    </w:p>
    <w:p>
      <w:pPr>
        <w:pStyle w:val="Normal"/>
        <w:tabs>
          <w:tab w:val="left" w:pos="720" w:leader="none"/>
          <w:tab w:val="left" w:pos="1440" w:leader="none"/>
          <w:tab w:val="left" w:pos="3600" w:leader="none"/>
          <w:tab w:val="left" w:pos="6480" w:leader="none"/>
        </w:tabs>
        <w:jc w:val="both"/>
        <w:rPr>
          <w:sz w:val="22"/>
          <w:lang w:val="en-US"/>
        </w:rPr>
      </w:pPr>
      <w:r>
        <w:rPr>
          <w:sz w:val="22"/>
          <w:lang w:val="en-US"/>
        </w:rPr>
        <w:t>Party A appoints as its Process Agent:</w:t>
        <w:tab/>
        <w:t>Not Applicable</w:t>
      </w:r>
    </w:p>
    <w:p>
      <w:pPr>
        <w:pStyle w:val="Normal"/>
        <w:tabs>
          <w:tab w:val="left" w:pos="720" w:leader="none"/>
          <w:tab w:val="left" w:pos="1440" w:leader="none"/>
          <w:tab w:val="right" w:pos="5103" w:leader="none"/>
          <w:tab w:val="left" w:pos="6480" w:leader="none"/>
        </w:tabs>
        <w:jc w:val="both"/>
        <w:rPr>
          <w:sz w:val="22"/>
          <w:lang w:val="en-US"/>
        </w:rPr>
      </w:pPr>
      <w:r>
        <w:rPr>
          <w:sz w:val="22"/>
          <w:lang w:val="en-US"/>
        </w:rPr>
      </w:r>
    </w:p>
    <w:p>
      <w:pPr>
        <w:pStyle w:val="BodyText"/>
        <w:tabs>
          <w:tab w:val="clear" w:pos="9514"/>
          <w:tab w:val="left" w:pos="720" w:leader="none"/>
          <w:tab w:val="left" w:pos="1440" w:leader="none"/>
          <w:tab w:val="left" w:pos="3600" w:leader="none"/>
          <w:tab w:val="left" w:pos="6480" w:leader="none"/>
        </w:tabs>
        <w:jc w:val="both"/>
        <w:rPr>
          <w:sz w:val="22"/>
        </w:rPr>
      </w:pPr>
      <w:r>
        <w:rPr>
          <w:sz w:val="22"/>
        </w:rPr>
        <w:t>Party B appoints as its Process Agent:</w:t>
        <w:tab/>
        <w:t>Not Applicable</w:t>
      </w:r>
    </w:p>
    <w:p>
      <w:pPr>
        <w:pStyle w:val="Normal"/>
        <w:tabs>
          <w:tab w:val="left" w:pos="720" w:leader="none"/>
          <w:tab w:val="left" w:pos="1440" w:leader="none"/>
          <w:tab w:val="right" w:pos="3418" w:leader="none"/>
          <w:tab w:val="left" w:pos="6480" w:leader="none"/>
        </w:tabs>
        <w:jc w:val="both"/>
        <w:rPr>
          <w:sz w:val="22"/>
          <w:lang w:val="en-US"/>
        </w:rPr>
      </w:pPr>
      <w:r>
        <w:rPr>
          <w:sz w:val="22"/>
          <w:lang w:val="en-US"/>
        </w:rPr>
      </w:r>
    </w:p>
    <w:p>
      <w:pPr>
        <w:pStyle w:val="Normal"/>
        <w:tabs>
          <w:tab w:val="left" w:pos="720" w:leader="none"/>
          <w:tab w:val="left" w:pos="1440" w:leader="none"/>
          <w:tab w:val="left" w:pos="6480" w:leader="none"/>
          <w:tab w:val="right" w:pos="7549" w:leader="none"/>
        </w:tabs>
        <w:jc w:val="both"/>
        <w:rPr/>
      </w:pPr>
      <w:r>
        <w:rPr>
          <w:sz w:val="22"/>
          <w:lang w:val="en-US"/>
        </w:rPr>
        <w:t>(c)</w:t>
        <w:tab/>
      </w:r>
      <w:r>
        <w:rPr>
          <w:b/>
          <w:sz w:val="22"/>
          <w:lang w:val="en-US"/>
        </w:rPr>
        <w:t>Offices.</w:t>
      </w:r>
      <w:r>
        <w:rPr>
          <w:sz w:val="22"/>
          <w:lang w:val="en-US"/>
        </w:rPr>
        <w:t xml:space="preserve">  The provisions of Section 10(a) will apply to this Agreement.</w:t>
      </w:r>
    </w:p>
    <w:p>
      <w:pPr>
        <w:pStyle w:val="Normal"/>
        <w:tabs>
          <w:tab w:val="left" w:pos="720" w:leader="none"/>
          <w:tab w:val="left" w:pos="1440" w:leader="none"/>
          <w:tab w:val="left" w:pos="6480" w:leader="none"/>
          <w:tab w:val="right" w:pos="7549" w:leader="none"/>
        </w:tabs>
        <w:jc w:val="both"/>
        <w:rPr>
          <w:sz w:val="22"/>
          <w:lang w:val="en-US"/>
        </w:rPr>
      </w:pPr>
      <w:r>
        <w:rPr>
          <w:sz w:val="22"/>
          <w:lang w:val="en-US"/>
        </w:rPr>
      </w:r>
    </w:p>
    <w:p>
      <w:pPr>
        <w:pStyle w:val="Normal"/>
        <w:tabs>
          <w:tab w:val="left" w:pos="720" w:leader="none"/>
          <w:tab w:val="left" w:pos="1440" w:leader="none"/>
          <w:tab w:val="left" w:pos="6480" w:leader="none"/>
          <w:tab w:val="right" w:pos="7549" w:leader="none"/>
        </w:tabs>
        <w:jc w:val="both"/>
        <w:rPr/>
      </w:pPr>
      <w:r>
        <w:rPr>
          <w:sz w:val="22"/>
          <w:lang w:val="en-US"/>
        </w:rPr>
        <w:t>(d)</w:t>
        <w:tab/>
      </w:r>
      <w:r>
        <w:rPr>
          <w:b/>
          <w:sz w:val="22"/>
          <w:lang w:val="en-US"/>
        </w:rPr>
        <w:t xml:space="preserve">Multibranch Party.  </w:t>
      </w:r>
      <w:r>
        <w:rPr>
          <w:sz w:val="22"/>
          <w:lang w:val="en-US"/>
        </w:rPr>
        <w:t>For the purpose of Section 10(c) of this Agreement:</w:t>
      </w:r>
    </w:p>
    <w:p>
      <w:pPr>
        <w:pStyle w:val="Normal"/>
        <w:tabs>
          <w:tab w:val="left" w:pos="720" w:leader="none"/>
          <w:tab w:val="left" w:pos="1440" w:leader="none"/>
          <w:tab w:val="left" w:pos="6480" w:leader="none"/>
          <w:tab w:val="right" w:pos="7549"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t>Party A is not a Multibranch Party.</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t>Party B is not a Multibranch Party.</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34" w:leader="none"/>
        </w:tabs>
        <w:jc w:val="both"/>
        <w:rPr/>
      </w:pPr>
      <w:r>
        <w:rPr>
          <w:sz w:val="22"/>
          <w:lang w:val="en-US"/>
        </w:rPr>
        <w:t>(e)</w:t>
        <w:tab/>
      </w:r>
      <w:r>
        <w:rPr>
          <w:b/>
          <w:sz w:val="22"/>
          <w:lang w:val="en-US"/>
        </w:rPr>
        <w:t xml:space="preserve">Calculation Agent.  </w:t>
      </w:r>
      <w:r>
        <w:rPr>
          <w:sz w:val="22"/>
          <w:lang w:val="en-US"/>
        </w:rPr>
        <w:t>The Calculation Agent is Party A, unless otherwise specified in a Confirmation in relation to the relevant Transaction.</w:t>
      </w:r>
    </w:p>
    <w:p>
      <w:pPr>
        <w:pStyle w:val="Normal"/>
        <w:tabs>
          <w:tab w:val="left" w:pos="720" w:leader="none"/>
          <w:tab w:val="left" w:pos="1440" w:leader="none"/>
          <w:tab w:val="left" w:pos="6480" w:leader="none"/>
          <w:tab w:val="right" w:pos="9534"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pPr>
      <w:r>
        <w:rPr>
          <w:sz w:val="22"/>
          <w:lang w:val="en-US"/>
        </w:rPr>
        <w:t>(f)</w:t>
        <w:tab/>
      </w:r>
      <w:r>
        <w:rPr>
          <w:b/>
          <w:sz w:val="22"/>
          <w:lang w:val="en-US"/>
        </w:rPr>
        <w:t xml:space="preserve">Credit Support Document.  </w:t>
      </w:r>
      <w:r>
        <w:rPr>
          <w:sz w:val="22"/>
          <w:lang w:val="en-US"/>
        </w:rPr>
        <w:t>Details of any Credit Support Document:</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t>Party A:  Guarantee of ML &amp; Co. in the form attached hereto as Exhibit A.</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t>Party B:  Amendment to Guarantee of Enron in the form attached hereto as Exhibit B.</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t>Party A and Party B:  The Credit Support Annex between Party A and Party B dated as of May 3, 1999, and amended pursuant to a First Amendment dated as of December ___, 1999.</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right" w:pos="2324" w:leader="none"/>
          <w:tab w:val="left" w:pos="6480" w:leader="none"/>
        </w:tabs>
        <w:jc w:val="both"/>
        <w:rPr/>
      </w:pPr>
      <w:r>
        <w:rPr>
          <w:sz w:val="22"/>
          <w:lang w:val="en-US"/>
        </w:rPr>
        <w:t>(g)</w:t>
        <w:tab/>
      </w:r>
      <w:r>
        <w:rPr>
          <w:b/>
          <w:sz w:val="22"/>
          <w:lang w:val="en-US"/>
        </w:rPr>
        <w:t>Credit Support Provider.</w:t>
      </w:r>
    </w:p>
    <w:p>
      <w:pPr>
        <w:pStyle w:val="Normal"/>
        <w:tabs>
          <w:tab w:val="left" w:pos="720" w:leader="none"/>
          <w:tab w:val="left" w:pos="1440" w:leader="none"/>
          <w:tab w:val="right" w:pos="2324" w:leader="none"/>
          <w:tab w:val="left" w:pos="6480" w:leader="none"/>
        </w:tabs>
        <w:jc w:val="both"/>
        <w:rPr>
          <w:b/>
          <w:sz w:val="22"/>
          <w:lang w:val="en-US"/>
        </w:rPr>
      </w:pPr>
      <w:r>
        <w:rPr>
          <w:b/>
          <w:sz w:val="22"/>
          <w:lang w:val="en-US"/>
        </w:rPr>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t>Credit Support Provider means in relation to Party A, ML &amp; Co.</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t>Credit Support Provider means in relation to Party B, Enron.</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pPr>
      <w:r>
        <w:rPr>
          <w:sz w:val="22"/>
          <w:lang w:val="en-US"/>
        </w:rPr>
        <w:t>(h)</w:t>
        <w:tab/>
      </w:r>
      <w:r>
        <w:rPr>
          <w:b/>
          <w:sz w:val="22"/>
          <w:lang w:val="en-US"/>
        </w:rPr>
        <w:t>Governing Law.</w:t>
      </w:r>
      <w:r>
        <w:rPr>
          <w:sz w:val="22"/>
          <w:lang w:val="en-US"/>
        </w:rPr>
        <w:t xml:space="preserve">  This Agreement will be governed by and construed in accordance with the laws of the State of New York without reference to choice of law doctrine.</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pPr>
      <w:r>
        <w:rPr>
          <w:sz w:val="22"/>
          <w:lang w:val="en-US"/>
        </w:rPr>
        <w:t>(i)</w:t>
        <w:tab/>
      </w:r>
      <w:r>
        <w:rPr>
          <w:b/>
          <w:sz w:val="22"/>
          <w:lang w:val="en-US"/>
        </w:rPr>
        <w:t>Jurisdiction.</w:t>
      </w:r>
      <w:r>
        <w:rPr>
          <w:sz w:val="22"/>
          <w:lang w:val="en-US"/>
        </w:rPr>
        <w:t xml:space="preserve">  Section 13(b) is hereby deleted in its entirety and replaced with the following:</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ind w:start="720" w:end="0"/>
        <w:jc w:val="both"/>
        <w:rPr/>
      </w:pPr>
      <w:r>
        <w:rPr>
          <w:b/>
          <w:sz w:val="22"/>
          <w:u w:val="single"/>
        </w:rPr>
        <w:t>Arbitration</w:t>
      </w:r>
      <w:r>
        <w:rPr>
          <w:sz w:val="22"/>
        </w:rPr>
        <w:t>.  Any claim, counterclaim, demand, cause of action, dispute, and controversy arising out of or relating to this Agreement or the relationship established by the Agreement, any provision thereof, the alleged breach thereof, or in any way relating to the subject matter of the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alternating locations of Party B and Party A commencing at Party B's location.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Normal"/>
        <w:tabs>
          <w:tab w:val="left" w:pos="720" w:leader="none"/>
          <w:tab w:val="left" w:pos="1440" w:leader="none"/>
          <w:tab w:val="left" w:pos="6480" w:leader="none"/>
          <w:tab w:val="right" w:pos="9555" w:leader="none"/>
        </w:tabs>
        <w:ind w:start="720" w:end="0"/>
        <w:jc w:val="both"/>
        <w:rPr>
          <w:b/>
          <w:sz w:val="22"/>
          <w:u w:val="single"/>
        </w:rPr>
      </w:pPr>
      <w:r>
        <w:rPr>
          <w:b/>
          <w:sz w:val="22"/>
          <w:u w:val="single"/>
        </w:rPr>
      </w:r>
    </w:p>
    <w:p>
      <w:pPr>
        <w:pStyle w:val="Normal"/>
        <w:tabs>
          <w:tab w:val="left" w:pos="720" w:leader="none"/>
          <w:tab w:val="left" w:pos="1440" w:leader="none"/>
          <w:tab w:val="left" w:pos="6480" w:leader="none"/>
          <w:tab w:val="right" w:pos="9555" w:leader="none"/>
        </w:tabs>
        <w:ind w:start="720" w:end="0"/>
        <w:jc w:val="both"/>
        <w:rPr>
          <w:sz w:val="22"/>
          <w:lang w:val="en-US"/>
        </w:rPr>
      </w:pPr>
      <w:r>
        <w:rPr>
          <w:sz w:val="22"/>
        </w:rPr>
        <w:t>Any arbitration proceedings that may arise under this Agreement or any other agreement between the Parties from a single occurrence shall be arbitrated together by the same arbitrator(s).  By way of example only, if a Party defaults under another agreement to which both Parties are a party and the non-defaulting party elects to terminate this Agreement pursuant to the Additional Event of Default, the Parties shall be required to arbitrate any and all disputes arising under both agreements before the same arbitrator(s).</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pPr>
      <w:r>
        <w:rPr>
          <w:sz w:val="22"/>
          <w:lang w:val="en-US"/>
        </w:rPr>
        <w:t>(j)</w:t>
        <w:tab/>
      </w:r>
      <w:r>
        <w:rPr>
          <w:b/>
          <w:sz w:val="22"/>
          <w:lang w:val="en-US"/>
        </w:rPr>
        <w:t xml:space="preserve">Netting of Payments.  </w:t>
      </w:r>
      <w:r>
        <w:rPr>
          <w:sz w:val="22"/>
          <w:lang w:val="en-US"/>
        </w:rPr>
        <w:t>Subparagraph (ii) of Section 2(c) of this Agreement will not apply to all Transactions under this Agreement.</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left" w:pos="1440" w:leader="none"/>
          <w:tab w:val="left" w:pos="6480" w:leader="none"/>
          <w:tab w:val="right" w:pos="9555" w:leader="none"/>
        </w:tabs>
        <w:jc w:val="both"/>
        <w:rPr/>
      </w:pPr>
      <w:r>
        <w:rPr>
          <w:sz w:val="22"/>
          <w:lang w:val="en-US"/>
        </w:rPr>
        <w:t>(k)</w:t>
        <w:tab/>
      </w:r>
      <w:r>
        <w:rPr>
          <w:b/>
          <w:sz w:val="22"/>
          <w:lang w:val="en-US"/>
        </w:rPr>
        <w:t>"Affiliate"</w:t>
      </w:r>
      <w:r>
        <w:rPr>
          <w:sz w:val="22"/>
          <w:lang w:val="en-US"/>
        </w:rPr>
        <w:t xml:space="preserve"> will have the meaning specified in Section 14 of this Agreement unless otherwise provided in Part 5 hereof.</w:t>
      </w:r>
    </w:p>
    <w:p>
      <w:pPr>
        <w:pStyle w:val="Normal"/>
        <w:tabs>
          <w:tab w:val="left" w:pos="720" w:leader="none"/>
          <w:tab w:val="left" w:pos="1440" w:leader="none"/>
          <w:tab w:val="left" w:pos="6480" w:leader="none"/>
          <w:tab w:val="right" w:pos="9555" w:leader="none"/>
        </w:tabs>
        <w:jc w:val="both"/>
        <w:rPr>
          <w:sz w:val="22"/>
          <w:lang w:val="en-US"/>
        </w:rPr>
      </w:pPr>
      <w:r>
        <w:rPr>
          <w:sz w:val="22"/>
          <w:lang w:val="en-US"/>
        </w:rPr>
      </w:r>
    </w:p>
    <w:p>
      <w:pPr>
        <w:pStyle w:val="Normal"/>
        <w:tabs>
          <w:tab w:val="left" w:pos="720" w:leader="none"/>
          <w:tab w:val="right" w:pos="752" w:leader="none"/>
          <w:tab w:val="left" w:pos="1440" w:leader="none"/>
          <w:tab w:val="left" w:pos="6480" w:leader="none"/>
        </w:tabs>
        <w:jc w:val="center"/>
        <w:rPr>
          <w:b/>
          <w:sz w:val="22"/>
          <w:lang w:val="en-US"/>
        </w:rPr>
      </w:pPr>
      <w:r>
        <w:rPr>
          <w:b/>
          <w:sz w:val="22"/>
          <w:lang w:val="en-US"/>
        </w:rPr>
        <w:t>Part 5</w:t>
      </w:r>
    </w:p>
    <w:p>
      <w:pPr>
        <w:pStyle w:val="Normal"/>
        <w:tabs>
          <w:tab w:val="left" w:pos="720" w:leader="none"/>
          <w:tab w:val="right" w:pos="752" w:leader="none"/>
          <w:tab w:val="left" w:pos="1440" w:leader="none"/>
          <w:tab w:val="left" w:pos="6480" w:leader="none"/>
        </w:tabs>
        <w:rPr>
          <w:b/>
          <w:sz w:val="22"/>
          <w:lang w:val="en-US"/>
        </w:rPr>
      </w:pPr>
      <w:r>
        <w:rPr>
          <w:b/>
          <w:sz w:val="22"/>
          <w:lang w:val="en-US"/>
        </w:rPr>
      </w:r>
    </w:p>
    <w:p>
      <w:pPr>
        <w:pStyle w:val="Normal"/>
        <w:tabs>
          <w:tab w:val="left" w:pos="720" w:leader="none"/>
          <w:tab w:val="left" w:pos="1440" w:leader="none"/>
          <w:tab w:val="right" w:pos="1606" w:leader="none"/>
          <w:tab w:val="left" w:pos="6480" w:leader="none"/>
        </w:tabs>
        <w:jc w:val="center"/>
        <w:rPr>
          <w:b/>
          <w:sz w:val="22"/>
          <w:lang w:val="en-US"/>
        </w:rPr>
      </w:pPr>
      <w:r>
        <w:rPr>
          <w:b/>
          <w:sz w:val="22"/>
          <w:lang w:val="en-US"/>
        </w:rPr>
        <w:t>Other Provisions</w:t>
      </w:r>
    </w:p>
    <w:p>
      <w:pPr>
        <w:pStyle w:val="Normal"/>
        <w:tabs>
          <w:tab w:val="left" w:pos="720" w:leader="none"/>
          <w:tab w:val="left" w:pos="1440" w:leader="none"/>
          <w:tab w:val="right" w:pos="1606" w:leader="none"/>
          <w:tab w:val="left" w:pos="6480" w:leader="none"/>
        </w:tabs>
        <w:rPr>
          <w:b/>
          <w:sz w:val="22"/>
          <w:lang w:val="en-US"/>
        </w:rPr>
      </w:pPr>
      <w:r>
        <w:rPr>
          <w:b/>
          <w:sz w:val="22"/>
          <w:lang w:val="en-US"/>
        </w:rPr>
      </w:r>
    </w:p>
    <w:p>
      <w:pPr>
        <w:pStyle w:val="Normal"/>
        <w:tabs>
          <w:tab w:val="left" w:pos="720" w:leader="none"/>
          <w:tab w:val="left" w:pos="1440" w:leader="none"/>
          <w:tab w:val="left" w:pos="6480" w:leader="none"/>
          <w:tab w:val="right" w:pos="9551" w:leader="none"/>
        </w:tabs>
        <w:jc w:val="both"/>
        <w:rPr/>
      </w:pPr>
      <w:r>
        <w:rPr>
          <w:sz w:val="22"/>
          <w:lang w:val="en-US"/>
        </w:rPr>
        <w:t>(1)</w:t>
        <w:tab/>
        <w:t xml:space="preserve">Notwithstanding the provisions of Section 7, either party may assign and delegate its rights and obligations under any Transaction to an Affiliate on two Business Days' prior written notice; </w:t>
      </w:r>
      <w:r>
        <w:rPr>
          <w:sz w:val="22"/>
          <w:u w:val="single"/>
          <w:lang w:val="en-US"/>
        </w:rPr>
        <w:t>provided</w:t>
      </w:r>
      <w:r>
        <w:rPr>
          <w:sz w:val="22"/>
          <w:lang w:val="en-US"/>
        </w:rPr>
        <w:t xml:space="preserve">, </w:t>
      </w:r>
      <w:r>
        <w:rPr>
          <w:sz w:val="22"/>
          <w:u w:val="single"/>
          <w:lang w:val="en-US"/>
        </w:rPr>
        <w:t>however</w:t>
      </w:r>
      <w:r>
        <w:rPr>
          <w:sz w:val="22"/>
          <w:lang w:val="en-US"/>
        </w:rPr>
        <w:t>, that (i) if such transfer is to an entity other than its Credit Support Provider such notice shall be accompanied by a Guaranty of its Credit Support Provider of such transferee's obligations in substantially the form of the Guaranty referred to in this Agreement or by an agreement in writing of its Credit Support Provider that such Guaranty will apply to the obligations of such transferee under this Agreement; (ii) the Credit Support Provider shall own directly or indirectly at least 50% of the outstanding equity securities (including as outstanding those securities which are outstanding and convertible or exercisable into such equity securities) of the transferee; (iii) the other party will not, as a result of such transfer be required on the next succeeding Scheduled Payment Date to pay an amount in respect of an Indemnifiable Tax under Section 2(d)(i)(4) (except in respect of default interest) greater than the amount in respect of which it would have been required to pay in the absence of such transfer; (iv) the transferee will not, as a result of such transfer, be required on the next succeeding Payment Date to withhold or deduct on account of a Tax under Section 2(d)(i)(4) (except in respect of default interest) on the next succeeding Scheduled Payment Date an amount in excess of that which it would, on the next succeeding Payment Date, have been required to so withhold or deduct in the absence of such transfer unless it would be required to so withhold or deduct in the absence of such transfer unless it would be required to make an additional payment pursuant to Section 2(d)(i)(4) corresponding to such excess; and (v) an Event of Default or Termination Event does not occur as a result of such transfer.  With respect to the result described in subclauses (ii) and (iii), the party which is transferrer agrees to cause such transferee to make, and the other party agrees to make, such tax representations as may be reasonably requested by the other party in order to permit such other party to determine that such result will not occur after such transfer.  Any assignment or purported assignment in violation of this Agreement, even</w:t>
      </w:r>
      <w:r>
        <w:rPr>
          <w:b/>
          <w:sz w:val="22"/>
          <w:lang w:val="en-US"/>
        </w:rPr>
        <w:t xml:space="preserve"> </w:t>
      </w:r>
      <w:r>
        <w:rPr>
          <w:sz w:val="22"/>
          <w:lang w:val="en-US"/>
        </w:rPr>
        <w:t>if void, shall constitute a failure to perform a covenant hereunder.</w:t>
      </w:r>
    </w:p>
    <w:p>
      <w:pPr>
        <w:pStyle w:val="Normal"/>
        <w:tabs>
          <w:tab w:val="left" w:pos="720" w:leader="none"/>
          <w:tab w:val="left" w:pos="1440" w:leader="none"/>
          <w:tab w:val="left" w:pos="6480" w:leader="none"/>
          <w:tab w:val="right" w:pos="9551" w:leader="none"/>
        </w:tabs>
        <w:rPr>
          <w:sz w:val="22"/>
          <w:lang w:val="en-US"/>
        </w:rPr>
      </w:pPr>
      <w:r>
        <w:rPr>
          <w:sz w:val="22"/>
          <w:lang w:val="en-US"/>
        </w:rPr>
      </w:r>
    </w:p>
    <w:p>
      <w:pPr>
        <w:pStyle w:val="Normal"/>
        <w:tabs>
          <w:tab w:val="left" w:pos="720" w:leader="none"/>
          <w:tab w:val="left" w:pos="1440" w:leader="none"/>
          <w:tab w:val="left" w:pos="6480" w:leader="none"/>
          <w:tab w:val="right" w:pos="9551" w:leader="none"/>
        </w:tabs>
        <w:jc w:val="both"/>
        <w:rPr>
          <w:sz w:val="22"/>
          <w:lang w:val="en-US"/>
        </w:rPr>
      </w:pPr>
      <w:r>
        <w:rPr>
          <w:sz w:val="22"/>
          <w:lang w:val="en-US"/>
        </w:rPr>
        <w:t>(2)(A)</w:t>
        <w:tab/>
        <w:t>Without affecting the provisions of this Agreement requiring the calculation of certain net payment amounts, all payments under this Agreement will be made without setoff or counterclaim; provided, however, that upon the designation or deemed designation of any Early Termination Date, in addition to and not in limitation of any other right or remedy (including any right to setoff, counterclaim, or otherwise withhold payment) under applicable law:</w:t>
      </w:r>
    </w:p>
    <w:p>
      <w:pPr>
        <w:pStyle w:val="Normal"/>
        <w:tabs>
          <w:tab w:val="left" w:pos="720" w:leader="none"/>
          <w:tab w:val="left" w:pos="1440" w:leader="none"/>
          <w:tab w:val="left" w:pos="6480" w:leader="none"/>
          <w:tab w:val="right" w:pos="9551" w:leader="none"/>
        </w:tabs>
        <w:rPr>
          <w:sz w:val="22"/>
          <w:lang w:val="en-US"/>
        </w:rPr>
      </w:pPr>
      <w:r>
        <w:rPr>
          <w:sz w:val="22"/>
          <w:lang w:val="en-US"/>
        </w:rPr>
      </w:r>
    </w:p>
    <w:p>
      <w:pPr>
        <w:pStyle w:val="BodyText2"/>
        <w:tabs>
          <w:tab w:val="clear" w:pos="8807"/>
          <w:tab w:val="left" w:pos="720" w:leader="none"/>
          <w:tab w:val="left" w:pos="1440" w:leader="none"/>
          <w:tab w:val="left" w:pos="6480" w:leader="none"/>
          <w:tab w:val="right" w:pos="8085" w:leader="none"/>
        </w:tabs>
        <w:rPr>
          <w:sz w:val="22"/>
        </w:rPr>
      </w:pPr>
      <w:r>
        <w:rPr>
          <w:sz w:val="22"/>
        </w:rPr>
        <w:t xml:space="preserve"> </w:t>
      </w:r>
      <w:r>
        <w:rPr>
          <w:sz w:val="22"/>
        </w:rPr>
        <w:t>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tabs>
          <w:tab w:val="left" w:pos="720" w:leader="none"/>
          <w:tab w:val="left" w:pos="1440" w:leader="none"/>
          <w:tab w:val="left" w:pos="6480" w:leader="none"/>
          <w:tab w:val="right" w:pos="8085" w:leader="none"/>
        </w:tabs>
        <w:rPr>
          <w:sz w:val="22"/>
          <w:lang w:val="en-US"/>
        </w:rPr>
      </w:pPr>
      <w:r>
        <w:rPr>
          <w:sz w:val="22"/>
          <w:lang w:val="en-US"/>
        </w:rPr>
      </w:r>
    </w:p>
    <w:p>
      <w:pPr>
        <w:pStyle w:val="Normal"/>
        <w:tabs>
          <w:tab w:val="left" w:pos="720" w:leader="none"/>
          <w:tab w:val="left" w:pos="1440" w:leader="none"/>
          <w:tab w:val="left" w:pos="6480" w:leader="none"/>
          <w:tab w:val="right" w:pos="9551" w:leader="none"/>
        </w:tabs>
        <w:jc w:val="both"/>
        <w:rPr>
          <w:sz w:val="22"/>
          <w:lang w:val="en-US"/>
        </w:rPr>
      </w:pPr>
      <w:r>
        <w:rPr>
          <w:sz w:val="22"/>
          <w:lang w:val="en-US"/>
        </w:rPr>
        <w:t>(B)</w:t>
        <w:tab/>
        <w:t>If an obligation is unascertained, X may, in good faith, estimate that obligation and setoff in respect of the estimate, subject to X or Y, as the case may be, accounting to the other party when the obligation is ascertained.  Notwithstanding any provision to the contrary contained in this Agreement, the non</w:t>
        <w:noBreakHyphen/>
        <w:t>defaulting Party or non</w:t>
        <w:noBreakHyphen/>
        <w:t>Affected Party, as the case may be, shall not be required to pay to the Defaulting Party or Affected Party any amount under Section 6(e) until the non</w:t>
        <w:noBreakHyphen/>
        <w:t>defaulting Party or non</w:t>
        <w:noBreakHyphen/>
        <w:t>Affected Party receives confirmation satisfactory to it in its sole discretion that (1) each Specified Transaction has matured or been terminated and all amounts due and payable by Defaulting Party or Affected Party under each Specified Transaction as of the Early Termination Date have been fully and finally paid, and (2) all other obligations of any kind whatsoever of the Defaulting Party or Affected Party to make any payments to the non</w:t>
        <w:noBreakHyphen/>
        <w:t>defaulting Party or non</w:t>
        <w:noBreakHyphen/>
        <w:t>Affected Party or any of its Affiliates under this Agreement or otherwise which are due and payable as of the Early Termination Date hereof have been fully and finally performed.</w:t>
      </w:r>
    </w:p>
    <w:p>
      <w:pPr>
        <w:pStyle w:val="Normal"/>
        <w:tabs>
          <w:tab w:val="left" w:pos="720" w:leader="none"/>
          <w:tab w:val="left" w:pos="1440" w:leader="none"/>
          <w:tab w:val="left" w:pos="6480" w:leader="none"/>
          <w:tab w:val="right" w:pos="9551" w:leader="none"/>
        </w:tabs>
        <w:rPr>
          <w:sz w:val="22"/>
          <w:lang w:val="en-US"/>
        </w:rPr>
      </w:pPr>
      <w:r>
        <w:rPr>
          <w:sz w:val="22"/>
          <w:lang w:val="en-US"/>
        </w:rPr>
      </w:r>
    </w:p>
    <w:p>
      <w:pPr>
        <w:pStyle w:val="Normal"/>
        <w:tabs>
          <w:tab w:val="left" w:pos="720" w:leader="none"/>
          <w:tab w:val="left" w:pos="1440" w:leader="none"/>
          <w:tab w:val="left" w:pos="6480" w:leader="none"/>
          <w:tab w:val="right" w:pos="9551" w:leader="none"/>
        </w:tabs>
        <w:jc w:val="both"/>
        <w:rPr>
          <w:sz w:val="22"/>
          <w:lang w:val="en-US"/>
        </w:rPr>
      </w:pPr>
      <w:r>
        <w:rPr>
          <w:sz w:val="22"/>
          <w:lang w:val="en-US"/>
        </w:rPr>
        <w:t>(3)</w:t>
        <w:tab/>
        <w:t>If by reason of the time difference between the cities in which payments are to be made, it is not possible for simultaneous payments to be made on any date on which both parties are required to make payments hereunder, either party may at its option and in its sole discretion notify the other party that payments on that date are to be made in escrow.  In this case deposit of the payment due earlier on that date shall be made by 2:00 p.m. (local time at the place for the earlier payment) on that date with an escrow agent selected by the notifying party, accompanied by irrevocable payment instruction (i) to release the deposited payment to the intended recipient upon receipt by the escrow agent of the required deposit of the corresponding payment from the other party on the same date accompanied by irrevocable payment instructions to the same effect or (ii) if the required deposit of the corresponding payment is not made on that same date, to return the payment deposited to the party that paid it in escrow.  The party that elects to have payments made in escrow shall pay the costs of the escrow arrangements and shall cause those arrangements to provide that the intended recipient of the payment due to be deposited first shall be entitled to interest on that deposited payment for each day in the period of its deposit at the rate offered by the escrow agent for that day for overnight deposits in the relevant currency in the office it holds that deposited payment (at 11:00 a.m. local time on that day) if that payment is not released by 5:00 p.m. local time on the date it is deposited for any reason other than the intended recipient's failure to make the escrow deposit it is required to make hereunder in a timely fashion.</w:t>
      </w:r>
    </w:p>
    <w:p>
      <w:pPr>
        <w:pStyle w:val="Normal"/>
        <w:tabs>
          <w:tab w:val="left" w:pos="720" w:leader="none"/>
          <w:tab w:val="left" w:pos="1440" w:leader="none"/>
          <w:tab w:val="left" w:pos="6480" w:leader="none"/>
          <w:tab w:val="right" w:pos="9507" w:leader="none"/>
        </w:tabs>
        <w:rPr>
          <w:sz w:val="22"/>
          <w:lang w:val="en-US"/>
        </w:rPr>
      </w:pPr>
      <w:r>
        <w:rPr>
          <w:sz w:val="22"/>
          <w:lang w:val="en-US"/>
        </w:rPr>
      </w:r>
    </w:p>
    <w:p>
      <w:pPr>
        <w:pStyle w:val="Normal"/>
        <w:tabs>
          <w:tab w:val="left" w:pos="720" w:leader="none"/>
          <w:tab w:val="left" w:pos="1440" w:leader="none"/>
          <w:tab w:val="left" w:pos="6480" w:leader="none"/>
          <w:tab w:val="right" w:pos="9548" w:leader="none"/>
        </w:tabs>
        <w:jc w:val="both"/>
        <w:rPr>
          <w:sz w:val="22"/>
          <w:lang w:val="en-US"/>
        </w:rPr>
      </w:pPr>
      <w:r>
        <w:rPr>
          <w:sz w:val="22"/>
          <w:lang w:val="en-US"/>
        </w:rPr>
        <w:t>(4)</w:t>
        <w:tab/>
        <w:t>The existence of this Agreement, its contents, and the existence of and contents of all other instruments and documents relating to this Agreement (including but not limited to any Credit Support Documents and any Confirmations) and any information made available by one party to the other with respect to this Agreement is confidential and will not be discussed with or disclosed to any third party which is not an Affiliate (nor shall any public announcement or press release be made by either party, except with the express prior written consent of the other party hereto), except for such information (a) as may become generally available to the public, (b) as may be required or appropriate in response to any summons, subpoena or otherwise in connection with any litigation or to comply with any applicable law, order, regulation or ruling, (c) as may be obtained from a non</w:t>
        <w:noBreakHyphen/>
        <w:t>confidential source that declared such information in a manner that did not violate its obligations to the other party or its Guarantor in making such disclosure, (d) as may be required to be furnished to that parties  Affiliates, and to each such party’s auditors, or that party's lawyer's, financial institutions, or prospective business parties with which the party has a written agreement or which is otherwise required to keep the information that is disclosed in confidence, or (e) as otherwise may be required by law.</w:t>
      </w:r>
    </w:p>
    <w:p>
      <w:pPr>
        <w:pStyle w:val="Normal"/>
        <w:tabs>
          <w:tab w:val="left" w:pos="720" w:leader="none"/>
          <w:tab w:val="left" w:pos="1440" w:leader="none"/>
          <w:tab w:val="left" w:pos="6480" w:leader="none"/>
          <w:tab w:val="right" w:pos="9548" w:leader="none"/>
        </w:tabs>
        <w:rPr>
          <w:sz w:val="22"/>
          <w:lang w:val="en-US"/>
        </w:rPr>
      </w:pPr>
      <w:r>
        <w:rPr>
          <w:sz w:val="22"/>
          <w:lang w:val="en-US"/>
        </w:rPr>
      </w:r>
    </w:p>
    <w:p>
      <w:pPr>
        <w:pStyle w:val="Normal"/>
        <w:tabs>
          <w:tab w:val="left" w:pos="720" w:leader="none"/>
          <w:tab w:val="left" w:pos="1440" w:leader="none"/>
          <w:tab w:val="left" w:pos="6480" w:leader="none"/>
          <w:tab w:val="right" w:pos="9548" w:leader="none"/>
        </w:tabs>
        <w:jc w:val="both"/>
        <w:rPr/>
      </w:pPr>
      <w:r>
        <w:rPr>
          <w:sz w:val="22"/>
          <w:lang w:val="en-US"/>
        </w:rPr>
        <w:t>(5)</w:t>
        <w:tab/>
      </w:r>
      <w:r>
        <w:rPr>
          <w:b/>
          <w:sz w:val="22"/>
          <w:lang w:val="en-US"/>
        </w:rPr>
        <w:t xml:space="preserve">Absence of Litigation.  </w:t>
      </w:r>
      <w:r>
        <w:rPr>
          <w:sz w:val="22"/>
          <w:lang w:val="en-US"/>
        </w:rPr>
        <w:t>Section 3(c) is hereby amended by:  (1) with respect to each party, limiting the definition of Affiliates in the second line thereof for purposes of this representation to its Credit Support Provider; and (ii) adding in the second line thereof after the word "governmental" the words "or regulatory".</w:t>
      </w:r>
    </w:p>
    <w:p>
      <w:pPr>
        <w:pStyle w:val="Normal"/>
        <w:tabs>
          <w:tab w:val="left" w:pos="720" w:leader="none"/>
          <w:tab w:val="left" w:pos="1440" w:leader="none"/>
          <w:tab w:val="left" w:pos="6480" w:leader="none"/>
          <w:tab w:val="right" w:pos="9548" w:leader="none"/>
        </w:tabs>
        <w:rPr>
          <w:sz w:val="22"/>
          <w:lang w:val="en-US"/>
        </w:rPr>
      </w:pPr>
      <w:r>
        <w:rPr>
          <w:sz w:val="22"/>
          <w:lang w:val="en-US"/>
        </w:rPr>
      </w:r>
    </w:p>
    <w:p>
      <w:pPr>
        <w:pStyle w:val="Normal"/>
        <w:tabs>
          <w:tab w:val="left" w:pos="720" w:leader="none"/>
          <w:tab w:val="left" w:pos="1440" w:leader="none"/>
          <w:tab w:val="left" w:pos="6480" w:leader="none"/>
          <w:tab w:val="right" w:pos="9548" w:leader="none"/>
        </w:tabs>
        <w:jc w:val="both"/>
        <w:rPr/>
      </w:pPr>
      <w:r>
        <w:rPr>
          <w:sz w:val="22"/>
          <w:lang w:val="en-US"/>
        </w:rPr>
        <w:t>(6)</w:t>
        <w:tab/>
      </w:r>
      <w:r>
        <w:rPr>
          <w:b/>
          <w:sz w:val="22"/>
          <w:lang w:val="en-US"/>
        </w:rPr>
        <w:t>Accuracy of Specified Information.</w:t>
      </w:r>
      <w:r>
        <w:rPr>
          <w:sz w:val="22"/>
          <w:lang w:val="en-US"/>
        </w:rPr>
        <w:t xml:space="preserve">  Section 3(d) is hereby amended by adding in the third line thereof after the word prospects and before the period and words or, in the case of audited or unaudited financial statements, a fair presentation of the financial condition of the relevant partly.</w:t>
      </w:r>
    </w:p>
    <w:p>
      <w:pPr>
        <w:pStyle w:val="Normal"/>
        <w:tabs>
          <w:tab w:val="left" w:pos="720" w:leader="none"/>
          <w:tab w:val="left" w:pos="1440" w:leader="none"/>
          <w:tab w:val="left" w:pos="6480" w:leader="none"/>
          <w:tab w:val="right" w:pos="9548" w:leader="none"/>
        </w:tabs>
        <w:rPr>
          <w:sz w:val="22"/>
          <w:lang w:val="en-US"/>
        </w:rPr>
      </w:pPr>
      <w:r>
        <w:rPr>
          <w:sz w:val="22"/>
          <w:lang w:val="en-US"/>
        </w:rPr>
      </w:r>
    </w:p>
    <w:p>
      <w:pPr>
        <w:pStyle w:val="Normal"/>
        <w:tabs>
          <w:tab w:val="left" w:pos="720" w:leader="none"/>
          <w:tab w:val="left" w:pos="1440" w:leader="none"/>
          <w:tab w:val="left" w:pos="6480" w:leader="none"/>
          <w:tab w:val="right" w:pos="9548" w:leader="none"/>
        </w:tabs>
        <w:jc w:val="both"/>
        <w:rPr/>
      </w:pPr>
      <w:r>
        <w:rPr>
          <w:sz w:val="22"/>
          <w:lang w:val="en-US"/>
        </w:rPr>
        <w:t>(7)</w:t>
        <w:tab/>
      </w:r>
      <w:r>
        <w:rPr>
          <w:b/>
          <w:sz w:val="22"/>
          <w:lang w:val="en-US"/>
        </w:rPr>
        <w:t>Representations.</w:t>
      </w:r>
      <w:r>
        <w:rPr>
          <w:sz w:val="22"/>
          <w:lang w:val="en-US"/>
        </w:rPr>
        <w:t xml:space="preserve">  Section 3 is hereby amended by adding at the end thereof the following Subparagraphs (g), (h), and (j):</w:t>
      </w:r>
    </w:p>
    <w:p>
      <w:pPr>
        <w:pStyle w:val="Normal"/>
        <w:tabs>
          <w:tab w:val="left" w:pos="720" w:leader="none"/>
          <w:tab w:val="left" w:pos="1440" w:leader="none"/>
          <w:tab w:val="left" w:pos="6480" w:leader="none"/>
          <w:tab w:val="right" w:pos="9548" w:leader="none"/>
        </w:tabs>
        <w:rPr>
          <w:sz w:val="22"/>
          <w:lang w:val="en-US"/>
        </w:rPr>
      </w:pPr>
      <w:r>
        <w:rPr>
          <w:sz w:val="22"/>
          <w:lang w:val="en-US"/>
        </w:rPr>
      </w:r>
    </w:p>
    <w:p>
      <w:pPr>
        <w:pStyle w:val="Normal"/>
        <w:tabs>
          <w:tab w:val="left" w:pos="720" w:leader="none"/>
          <w:tab w:val="left" w:pos="1440" w:leader="none"/>
          <w:tab w:val="left" w:pos="6480" w:leader="none"/>
          <w:tab w:val="right" w:pos="8759" w:leader="none"/>
        </w:tabs>
        <w:ind w:start="720" w:end="0"/>
        <w:jc w:val="both"/>
        <w:rPr/>
      </w:pPr>
      <w:r>
        <w:rPr>
          <w:sz w:val="22"/>
          <w:lang w:val="en-US"/>
        </w:rPr>
        <w:t>(g)</w:t>
        <w:tab/>
      </w:r>
      <w:r>
        <w:rPr>
          <w:b/>
          <w:sz w:val="22"/>
          <w:lang w:val="en-US"/>
        </w:rPr>
        <w:t>Line of Business.</w:t>
      </w:r>
      <w:r>
        <w:rPr>
          <w:sz w:val="22"/>
          <w:lang w:val="en-US"/>
        </w:rPr>
        <w:t xml:space="preserve">  It has entered into this Agreement (including each Transaction evidenced hereby) in conjunction with its line of business (including financial intermediation services) or the financing of its business</w:t>
      </w:r>
    </w:p>
    <w:p>
      <w:pPr>
        <w:pStyle w:val="Normal"/>
        <w:tabs>
          <w:tab w:val="left" w:pos="720" w:leader="none"/>
          <w:tab w:val="left" w:pos="1440" w:leader="none"/>
          <w:tab w:val="left" w:pos="6480" w:leader="none"/>
          <w:tab w:val="right" w:pos="8759" w:leader="none"/>
        </w:tabs>
        <w:rPr>
          <w:sz w:val="22"/>
          <w:lang w:val="en-US"/>
        </w:rPr>
      </w:pPr>
      <w:r>
        <w:rPr>
          <w:sz w:val="22"/>
          <w:lang w:val="en-US"/>
        </w:rPr>
      </w:r>
    </w:p>
    <w:p>
      <w:pPr>
        <w:pStyle w:val="Normal"/>
        <w:tabs>
          <w:tab w:val="left" w:pos="720" w:leader="none"/>
          <w:tab w:val="left" w:pos="1440" w:leader="none"/>
          <w:tab w:val="left" w:pos="6480" w:leader="none"/>
          <w:tab w:val="right" w:pos="8759" w:leader="none"/>
        </w:tabs>
        <w:ind w:start="720" w:end="0"/>
        <w:jc w:val="both"/>
        <w:rPr/>
      </w:pPr>
      <w:r>
        <w:rPr>
          <w:sz w:val="22"/>
          <w:lang w:val="en-US"/>
        </w:rPr>
        <w:t>(h)</w:t>
        <w:tab/>
      </w:r>
      <w:r>
        <w:rPr>
          <w:b/>
          <w:sz w:val="22"/>
          <w:lang w:val="en-US"/>
        </w:rPr>
        <w:t>Eligible Swap Participant.</w:t>
      </w:r>
      <w:r>
        <w:rPr>
          <w:sz w:val="22"/>
          <w:lang w:val="en-US"/>
        </w:rPr>
        <w:t xml:space="preserve">  It constitutes an "eligible swap participant" as such term is defined in Rule 35.1(b)(2) of the Commodity Futures Trading Commission, 17 C.F.R. § 35.1(b)(2) (1993).</w:t>
      </w:r>
    </w:p>
    <w:p>
      <w:pPr>
        <w:pStyle w:val="Normal"/>
        <w:tabs>
          <w:tab w:val="left" w:pos="720" w:leader="none"/>
          <w:tab w:val="left" w:pos="1440" w:leader="none"/>
          <w:tab w:val="left" w:pos="6480" w:leader="none"/>
          <w:tab w:val="right" w:pos="8759" w:leader="none"/>
        </w:tabs>
        <w:rPr>
          <w:sz w:val="22"/>
          <w:lang w:val="en-US"/>
        </w:rPr>
      </w:pPr>
      <w:r>
        <w:rPr>
          <w:sz w:val="22"/>
          <w:lang w:val="en-US"/>
        </w:rPr>
      </w:r>
    </w:p>
    <w:p>
      <w:pPr>
        <w:pStyle w:val="Normal"/>
        <w:tabs>
          <w:tab w:val="left" w:pos="720" w:leader="none"/>
          <w:tab w:val="left" w:pos="1440" w:leader="none"/>
          <w:tab w:val="left" w:pos="6480" w:leader="none"/>
          <w:tab w:val="right" w:pos="8817" w:leader="none"/>
        </w:tabs>
        <w:ind w:start="720" w:end="0"/>
        <w:jc w:val="both"/>
        <w:rPr/>
      </w:pPr>
      <w:r>
        <w:rPr>
          <w:sz w:val="22"/>
          <w:lang w:val="en-US"/>
        </w:rPr>
        <w:t>(i)</w:t>
        <w:tab/>
      </w:r>
      <w:r>
        <w:rPr>
          <w:b/>
          <w:sz w:val="22"/>
          <w:lang w:val="en-US"/>
        </w:rPr>
        <w:t xml:space="preserve">Standardization, Creditworthiness, and Transferability.  </w:t>
      </w:r>
      <w:r>
        <w:rPr>
          <w:sz w:val="22"/>
          <w:lang w:val="en-US"/>
        </w:rPr>
        <w:t>The economic terms of this Agreement, any Credit Support Document to which it is a party, and each Transaction have been individually tailored and negotiated by it; it has received and reviewed financial information concerning the other party and has had a reasonable opportunity to ask questions of and receive answers and information from the other party concerning such other party, this Agreement, such Credit Support Document, and such Transaction; the creditworthiness of the other party was a material consideration in its entering into or determining the terms of this Agreement, such Credit Support Document, and such Transaction; and the transferability of this Agreement, such Credit Support Document, and such Transaction is restricted as provided herein and therein.</w:t>
      </w:r>
    </w:p>
    <w:p>
      <w:pPr>
        <w:pStyle w:val="Normal"/>
        <w:tabs>
          <w:tab w:val="left" w:pos="720" w:leader="none"/>
          <w:tab w:val="left" w:pos="1440" w:leader="none"/>
          <w:tab w:val="left" w:pos="6480" w:leader="none"/>
          <w:tab w:val="right" w:pos="8817" w:leader="none"/>
        </w:tabs>
        <w:rPr>
          <w:sz w:val="22"/>
          <w:lang w:val="en-US"/>
        </w:rPr>
      </w:pPr>
      <w:r>
        <w:rPr>
          <w:sz w:val="22"/>
          <w:lang w:val="en-US"/>
        </w:rPr>
      </w:r>
    </w:p>
    <w:p>
      <w:pPr>
        <w:pStyle w:val="Normal"/>
        <w:tabs>
          <w:tab w:val="left" w:pos="720" w:leader="none"/>
          <w:tab w:val="left" w:pos="1440" w:leader="none"/>
          <w:tab w:val="left" w:pos="6480" w:leader="none"/>
          <w:tab w:val="right" w:pos="8807" w:leader="none"/>
        </w:tabs>
        <w:ind w:start="720" w:end="0"/>
        <w:jc w:val="both"/>
        <w:rPr/>
      </w:pPr>
      <w:r>
        <w:rPr>
          <w:sz w:val="22"/>
          <w:lang w:val="en-US"/>
        </w:rPr>
        <w:t>(j)</w:t>
        <w:tab/>
      </w:r>
      <w:r>
        <w:rPr>
          <w:b/>
          <w:sz w:val="22"/>
          <w:lang w:val="en-US"/>
        </w:rPr>
        <w:t xml:space="preserve">No Reliance.  </w:t>
      </w:r>
      <w:r>
        <w:rPr>
          <w:sz w:val="22"/>
          <w:lang w:val="en-US"/>
        </w:rPr>
        <w:t>In connection with the negotiation of and the entering into of, this Agreement, any Credit Support Document to which it is a party, and each Transaction: (i) it is acting as principal (and not as agent or in any other capacity, fiduciary or otherwise);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the other party has not given to it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hedging and trading decisions based upon its own</w:t>
      </w:r>
      <w:r>
        <w:rPr>
          <w:b/>
          <w:sz w:val="22"/>
          <w:lang w:val="en-US"/>
        </w:rPr>
        <w:t xml:space="preserve"> </w:t>
      </w:r>
      <w:r>
        <w:rPr>
          <w:sz w:val="22"/>
          <w:lang w:val="en-US"/>
        </w:rPr>
        <w:t>judgment and upon any advice such advisors as it has deemed necessary and it has made its own investment, hedging and trading decisions based upon its own judgment and upon any advice from such advisors as it has deemed necessary and not upon any view expressed by the other party; (vi) all trading decisions have been the result of arm's length negotiations between the parties; and (vii) it is entering into this Agreement, such Credit Support Document, and such Transaction with a full understanding of all of the</w:t>
      </w:r>
      <w:r>
        <w:rPr>
          <w:b/>
          <w:sz w:val="22"/>
          <w:lang w:val="en-US"/>
        </w:rPr>
        <w:t xml:space="preserve"> </w:t>
      </w:r>
      <w:r>
        <w:rPr>
          <w:sz w:val="22"/>
          <w:lang w:val="en-US"/>
        </w:rPr>
        <w:t>risks hereof and thereof (economic and otherwise), and it is capable of assuming and willing to assume (financially and otherwise) those risks.</w:t>
      </w:r>
    </w:p>
    <w:p>
      <w:pPr>
        <w:pStyle w:val="Normal"/>
        <w:tabs>
          <w:tab w:val="left" w:pos="50" w:leader="none"/>
          <w:tab w:val="left" w:pos="720" w:leader="none"/>
          <w:tab w:val="left" w:pos="1440" w:leader="none"/>
          <w:tab w:val="left" w:pos="6480" w:leader="none"/>
          <w:tab w:val="right" w:pos="9576" w:leader="none"/>
        </w:tabs>
        <w:rPr>
          <w:sz w:val="22"/>
          <w:lang w:val="en-US"/>
        </w:rPr>
      </w:pPr>
      <w:r>
        <w:rPr>
          <w:sz w:val="22"/>
          <w:lang w:val="en-US"/>
        </w:rPr>
      </w:r>
    </w:p>
    <w:p>
      <w:pPr>
        <w:pStyle w:val="Normal"/>
        <w:tabs>
          <w:tab w:val="left" w:pos="50" w:leader="none"/>
          <w:tab w:val="left" w:pos="720" w:leader="none"/>
          <w:tab w:val="left" w:pos="1440" w:leader="none"/>
          <w:tab w:val="left" w:pos="6480" w:leader="none"/>
          <w:tab w:val="right" w:pos="9576" w:leader="none"/>
        </w:tabs>
        <w:rPr/>
      </w:pPr>
      <w:r>
        <w:rPr>
          <w:sz w:val="22"/>
          <w:lang w:val="en-US"/>
        </w:rPr>
        <w:t>(8)</w:t>
        <w:tab/>
      </w:r>
      <w:r>
        <w:rPr>
          <w:b/>
          <w:sz w:val="22"/>
          <w:lang w:val="en-US"/>
        </w:rPr>
        <w:t>Reference Market</w:t>
        <w:noBreakHyphen/>
        <w:t>makers.</w:t>
      </w:r>
      <w:r>
        <w:rPr>
          <w:sz w:val="22"/>
          <w:lang w:val="en-US"/>
        </w:rPr>
        <w:t xml:space="preserve">  The definition of </w:t>
      </w:r>
      <w:r>
        <w:rPr>
          <w:b/>
          <w:sz w:val="22"/>
          <w:lang w:val="en-US"/>
        </w:rPr>
        <w:t>"Reference Market</w:t>
        <w:noBreakHyphen/>
        <w:t>makers"</w:t>
      </w:r>
      <w:r>
        <w:rPr>
          <w:sz w:val="22"/>
          <w:lang w:val="en-US"/>
        </w:rPr>
        <w:t xml:space="preserve"> in Section 14 is hereby amended by:  (1) deleting in the fourth line thereof after the word "credit" the words "and (b) extent practicable, from among such dealers having an office in the same city" and (ii) replacing such words with the words "or to enter into transactions similar in nature to Transactions".</w:t>
      </w:r>
    </w:p>
    <w:p>
      <w:pPr>
        <w:pStyle w:val="Normal"/>
        <w:tabs>
          <w:tab w:val="left" w:pos="720" w:leader="none"/>
          <w:tab w:val="left" w:pos="1440" w:leader="none"/>
          <w:tab w:val="left" w:pos="6480" w:leader="none"/>
          <w:tab w:val="right" w:pos="9601" w:leader="none"/>
        </w:tabs>
        <w:rPr>
          <w:sz w:val="22"/>
          <w:lang w:val="en-US"/>
        </w:rPr>
      </w:pPr>
      <w:r>
        <w:rPr>
          <w:sz w:val="22"/>
          <w:lang w:val="en-US"/>
        </w:rPr>
      </w:r>
    </w:p>
    <w:p>
      <w:pPr>
        <w:pStyle w:val="Normal"/>
        <w:tabs>
          <w:tab w:val="left" w:pos="720" w:leader="none"/>
          <w:tab w:val="left" w:pos="1440" w:leader="none"/>
          <w:tab w:val="left" w:pos="6480" w:leader="none"/>
          <w:tab w:val="right" w:pos="9530" w:leader="none"/>
        </w:tabs>
        <w:jc w:val="both"/>
        <w:rPr/>
      </w:pPr>
      <w:r>
        <w:rPr>
          <w:sz w:val="22"/>
          <w:lang w:val="en-US"/>
        </w:rPr>
        <w:t>(9)</w:t>
        <w:tab/>
      </w:r>
      <w:r>
        <w:rPr>
          <w:b/>
          <w:sz w:val="22"/>
          <w:lang w:val="en-US"/>
        </w:rPr>
        <w:t>Financial Statements.  "Annual Financial Statements</w:t>
      </w:r>
      <w:r>
        <w:rPr>
          <w:sz w:val="22"/>
          <w:lang w:val="en-US"/>
        </w:rPr>
        <w:t xml:space="preserve">" means a copy of the most recent, publicly available annual report of such party containing audited consolidated financial statements for such party's fiscal year, certified by independent public accountants and prepared in accordance with accounting principles that are generally accepted in the country in which the party is organized and on a basis consistent with prior periods.  </w:t>
      </w:r>
      <w:r>
        <w:rPr>
          <w:b/>
          <w:sz w:val="22"/>
          <w:lang w:val="en-US"/>
        </w:rPr>
        <w:t>"Quarterly Financial Statements"</w:t>
      </w:r>
      <w:r>
        <w:rPr>
          <w:sz w:val="22"/>
          <w:lang w:val="en-US"/>
        </w:rPr>
        <w:t xml:space="preserve"> means a copy of the most recent, publicly available unaudited consolidated financial statements for such party's fiscal quarter, prepared in accordance with the same principles and on the same basis as the Annual Financial Statement.</w:t>
      </w:r>
    </w:p>
    <w:p>
      <w:pPr>
        <w:pStyle w:val="Normal"/>
        <w:tabs>
          <w:tab w:val="left" w:pos="720" w:leader="none"/>
          <w:tab w:val="left" w:pos="1440" w:leader="none"/>
          <w:tab w:val="left" w:pos="6480" w:leader="none"/>
          <w:tab w:val="right" w:pos="9530" w:leader="none"/>
        </w:tabs>
        <w:rPr>
          <w:sz w:val="22"/>
          <w:lang w:val="en-US"/>
        </w:rPr>
      </w:pPr>
      <w:r>
        <w:rPr>
          <w:sz w:val="22"/>
          <w:lang w:val="en-US"/>
        </w:rPr>
      </w:r>
    </w:p>
    <w:p>
      <w:pPr>
        <w:pStyle w:val="Normal"/>
        <w:tabs>
          <w:tab w:val="left" w:pos="720" w:leader="none"/>
          <w:tab w:val="left" w:pos="1440" w:leader="none"/>
          <w:tab w:val="left" w:pos="6480" w:leader="none"/>
          <w:tab w:val="right" w:pos="9530" w:leader="none"/>
        </w:tabs>
        <w:jc w:val="both"/>
        <w:rPr/>
      </w:pPr>
      <w:r>
        <w:rPr>
          <w:sz w:val="22"/>
          <w:lang w:val="en-US"/>
        </w:rPr>
        <w:t>(10)</w:t>
        <w:tab/>
      </w:r>
      <w:r>
        <w:rPr>
          <w:b/>
          <w:sz w:val="22"/>
          <w:lang w:val="en-US"/>
        </w:rPr>
        <w:t>Procedures for Entering into Transactions.</w:t>
      </w:r>
      <w:r>
        <w:rPr>
          <w:sz w:val="22"/>
          <w:lang w:val="en-US"/>
        </w:rPr>
        <w:t xml:space="preserve">  On or promptly following the date on which the parties reach agreement on the terms of a Transaction as contemplated by the first sentence of Section 9(e)(ii), Party A will send to Party B a Confirmation.  Party B will promptly thereafter confirm the accuracy of (in the manner required by Section 9(e)(ii)), or request the correction of, such Confirmation (in the latter case, indicating how it believes the terms of such confirmation should be correctly stated and such other terms which should be added to or deleted from such Confirmation to make it correct).  If any dispute shall arise as to whether an error exists in a Confirmation, the parties shall in good faith make reasonable efforts to resolve the dispute.  Each party consents to the monitoring or recording, at any time and from time to time, by the other party of any and all communications between officers or employees of the parties, and waives any further notice of such monitoring or recording.</w:t>
      </w:r>
    </w:p>
    <w:p>
      <w:pPr>
        <w:pStyle w:val="Normal"/>
        <w:tabs>
          <w:tab w:val="left" w:pos="720" w:leader="none"/>
          <w:tab w:val="left" w:pos="1440" w:leader="none"/>
          <w:tab w:val="left" w:pos="6480" w:leader="none"/>
          <w:tab w:val="right" w:pos="9530" w:leader="none"/>
        </w:tabs>
        <w:rPr>
          <w:sz w:val="22"/>
          <w:lang w:val="en-US"/>
        </w:rPr>
      </w:pPr>
      <w:r>
        <w:rPr>
          <w:sz w:val="22"/>
          <w:lang w:val="en-US"/>
        </w:rPr>
      </w:r>
    </w:p>
    <w:p>
      <w:pPr>
        <w:pStyle w:val="Normal"/>
        <w:tabs>
          <w:tab w:val="left" w:pos="720" w:leader="none"/>
          <w:tab w:val="left" w:pos="1440" w:leader="none"/>
          <w:tab w:val="left" w:pos="6480" w:leader="none"/>
          <w:tab w:val="right" w:pos="9530" w:leader="none"/>
        </w:tabs>
        <w:jc w:val="both"/>
        <w:rPr/>
      </w:pPr>
      <w:r>
        <w:rPr>
          <w:sz w:val="22"/>
          <w:lang w:val="en-US"/>
        </w:rPr>
        <w:t>(11)</w:t>
        <w:tab/>
      </w:r>
      <w:r>
        <w:rPr>
          <w:b/>
          <w:sz w:val="22"/>
          <w:lang w:val="en-US"/>
        </w:rPr>
        <w:t xml:space="preserve">Credit Support Default.  </w:t>
      </w:r>
      <w:r>
        <w:rPr>
          <w:sz w:val="22"/>
          <w:lang w:val="en-US"/>
        </w:rPr>
        <w:t>Subparagraph (3) of Section 5(a)(iii) is hereby amended by adding in the second line thereof after the word "Document" the words "(or such action is taken by any person or entity appointed or empowered to operate in or act on its behalf)".</w:t>
      </w:r>
    </w:p>
    <w:p>
      <w:pPr>
        <w:pStyle w:val="Normal"/>
        <w:tabs>
          <w:tab w:val="left" w:pos="720" w:leader="none"/>
          <w:tab w:val="left" w:pos="1440" w:leader="none"/>
          <w:tab w:val="left" w:pos="6480" w:leader="none"/>
          <w:tab w:val="right" w:pos="9530" w:leader="none"/>
        </w:tabs>
        <w:rPr>
          <w:sz w:val="22"/>
          <w:lang w:val="en-US"/>
        </w:rPr>
      </w:pPr>
      <w:r>
        <w:rPr>
          <w:sz w:val="22"/>
          <w:lang w:val="en-US"/>
        </w:rPr>
      </w:r>
    </w:p>
    <w:p>
      <w:pPr>
        <w:pStyle w:val="Normal"/>
        <w:tabs>
          <w:tab w:val="left" w:pos="720" w:leader="none"/>
          <w:tab w:val="left" w:pos="1440" w:leader="none"/>
          <w:tab w:val="left" w:pos="6480" w:leader="none"/>
          <w:tab w:val="right" w:pos="9530" w:leader="none"/>
        </w:tabs>
        <w:jc w:val="both"/>
        <w:rPr/>
      </w:pPr>
      <w:r>
        <w:rPr>
          <w:sz w:val="22"/>
          <w:lang w:val="en-US"/>
        </w:rPr>
        <w:t>(12)</w:t>
        <w:tab/>
      </w:r>
      <w:r>
        <w:rPr>
          <w:b/>
          <w:sz w:val="22"/>
          <w:lang w:val="en-US"/>
        </w:rPr>
        <w:t xml:space="preserve">Settlement Amount.  </w:t>
      </w:r>
      <w:r>
        <w:rPr>
          <w:sz w:val="22"/>
          <w:lang w:val="en-US"/>
        </w:rPr>
        <w:t xml:space="preserve">The definition of </w:t>
      </w:r>
      <w:r>
        <w:rPr>
          <w:b/>
          <w:sz w:val="22"/>
          <w:lang w:val="en-US"/>
        </w:rPr>
        <w:t>"Settlement Amount"</w:t>
      </w:r>
      <w:r>
        <w:rPr>
          <w:sz w:val="22"/>
          <w:lang w:val="en-US"/>
        </w:rPr>
        <w:t xml:space="preserve"> in Section 14 is hereby amended by deleting in the third and fourth lines of Subparagraph ____(b) thereof the words "or would not (in the reasonable belief of the party making the determination) produce a commercially reasonable result".</w:t>
      </w:r>
    </w:p>
    <w:p>
      <w:pPr>
        <w:pStyle w:val="Normal"/>
        <w:tabs>
          <w:tab w:val="left" w:pos="720" w:leader="none"/>
          <w:tab w:val="left" w:pos="1440" w:leader="none"/>
          <w:tab w:val="left" w:pos="6480" w:leader="none"/>
          <w:tab w:val="right" w:pos="9530" w:leader="none"/>
        </w:tabs>
        <w:rPr>
          <w:sz w:val="22"/>
          <w:lang w:val="en-US"/>
        </w:rPr>
      </w:pPr>
      <w:r>
        <w:rPr>
          <w:sz w:val="22"/>
          <w:lang w:val="en-US"/>
        </w:rPr>
      </w:r>
    </w:p>
    <w:p>
      <w:pPr>
        <w:pStyle w:val="Normal"/>
        <w:tabs>
          <w:tab w:val="left" w:pos="720" w:leader="none"/>
          <w:tab w:val="left" w:pos="1440" w:leader="none"/>
          <w:tab w:val="left" w:pos="6480" w:leader="none"/>
          <w:tab w:val="right" w:pos="9513" w:leader="none"/>
        </w:tabs>
        <w:jc w:val="both"/>
        <w:rPr/>
      </w:pPr>
      <w:r>
        <w:rPr>
          <w:sz w:val="22"/>
          <w:lang w:val="en-US"/>
        </w:rPr>
        <w:t>(13)</w:t>
      </w:r>
      <w:r>
        <w:rPr>
          <w:b/>
          <w:sz w:val="22"/>
          <w:lang w:val="en-US"/>
        </w:rPr>
        <w:tab/>
        <w:t xml:space="preserve">Limitation or Rate.  </w:t>
      </w:r>
      <w:r>
        <w:rPr>
          <w:sz w:val="22"/>
          <w:lang w:val="en-US"/>
        </w:rPr>
        <w:t>Notwithstanding any provision to the contrary contained in this agreement, in no event shall the Default Rate exceed the Highest Lawful Rate.  For purposes hereof, "Highest Lawful Rate" shall mean, with respect to the payee of default interest, the maximum non</w:t>
        <w:noBreakHyphen/>
        <w:t>usurious interest rate, if any, that at any time from time to time may be contracted for, taken, reserved, charged, or received on the subject indebtedness under the law applicable to such party which is then in effect.</w:t>
      </w:r>
    </w:p>
    <w:p>
      <w:pPr>
        <w:pStyle w:val="Normal"/>
        <w:tabs>
          <w:tab w:val="left" w:pos="720" w:leader="none"/>
          <w:tab w:val="left" w:pos="1440" w:leader="none"/>
          <w:tab w:val="left" w:pos="6480" w:leader="none"/>
          <w:tab w:val="right" w:pos="9513" w:leader="none"/>
        </w:tabs>
        <w:rPr>
          <w:sz w:val="22"/>
          <w:lang w:val="en-US"/>
        </w:rPr>
      </w:pPr>
      <w:r>
        <w:rPr>
          <w:sz w:val="22"/>
          <w:lang w:val="en-US"/>
        </w:rPr>
      </w:r>
    </w:p>
    <w:p>
      <w:pPr>
        <w:pStyle w:val="WW-BodyText2"/>
        <w:rPr>
          <w:sz w:val="22"/>
        </w:rPr>
      </w:pPr>
      <w:r>
        <w:rPr>
          <w:sz w:val="22"/>
        </w:rPr>
        <w:t>(14)</w:t>
        <w:tab/>
        <w:t>LIMITATION OF LIABILITY.  NO PARTY SHALL BE REQUIRED TO PAY OR BE LIABLE FOR SPECIAL, PUNITIVE, EXEMPLARY, INCIDENTAL, CONSEQUENTIAL, OR INDIRECT DAMAGES (WHETHER OR NOT ARISING FROM ITS NEGLIGENCE) TO ANY OTHER PARTY EXCEPT TO THE EXTENT THAT THE PAYMENTS REQUIRED TO BE MADE PURSUANT TO THIS AGREEMENT ARE DEEMED TO BE SUCH DAMAGES.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WW-BodyText2"/>
        <w:rPr>
          <w:b w:val="false"/>
          <w:sz w:val="22"/>
        </w:rPr>
      </w:pPr>
      <w:r>
        <w:rPr>
          <w:b w:val="false"/>
          <w:sz w:val="22"/>
        </w:rPr>
      </w:r>
    </w:p>
    <w:p>
      <w:pPr>
        <w:pStyle w:val="Normal"/>
        <w:spacing w:lineRule="exact" w:line="240"/>
        <w:jc w:val="both"/>
        <w:rPr/>
      </w:pPr>
      <w:r>
        <w:rPr>
          <w:b/>
          <w:sz w:val="22"/>
        </w:rPr>
        <w:t>(15)</w:t>
        <w:tab/>
        <w:t xml:space="preserve">Severability.  </w:t>
      </w:r>
      <w:r>
        <w:rPr>
          <w:sz w:val="22"/>
        </w:rPr>
        <w:t xml:space="preserve">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Justified"/>
        <w:widowControl/>
        <w:spacing w:lineRule="exact" w:line="240" w:before="0" w:after="0"/>
        <w:rPr>
          <w:rFonts w:ascii="Times New Roman" w:hAnsi="Times New Roman" w:cs="Times New Roman"/>
          <w:sz w:val="22"/>
          <w:lang w:val="en-CA"/>
        </w:rPr>
      </w:pPr>
      <w:r>
        <w:rPr>
          <w:rFonts w:cs="Times New Roman" w:ascii="Times New Roman" w:hAnsi="Times New Roman"/>
          <w:sz w:val="22"/>
          <w:lang w:val="en-CA"/>
        </w:rPr>
      </w:r>
    </w:p>
    <w:p>
      <w:pPr>
        <w:pStyle w:val="Normal"/>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amended, supplemented, replaced or modified from time to time, ("Commodity Definitions") are hereby incorporated by reference with respect to any "Transactions," as defined by the Commodity Definitions, in Commodities, except as otherwise specifically provided in the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 (v)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(d)</w:t>
        <w:tab/>
        <w:t>"Additional Market Disruption Events" shall apply only if so specified in the relevant Confirmation.</w:t>
      </w:r>
    </w:p>
    <w:p>
      <w:pPr>
        <w:pStyle w:val="Normal"/>
        <w:ind w:firstLine="720" w:end="0"/>
        <w:jc w:val="both"/>
        <w:rPr>
          <w:sz w:val="22"/>
        </w:rPr>
      </w:pPr>
      <w:r>
        <w:rPr>
          <w:sz w:val="22"/>
        </w:rPr>
      </w:r>
    </w:p>
    <w:p>
      <w:pPr>
        <w:pStyle w:val="BodyTextIndent2"/>
        <w:ind w:hanging="720" w:end="0"/>
        <w:rPr/>
      </w:pPr>
      <w:r>
        <w:rPr/>
        <w:t>(f)</w:t>
        <w:tab/>
        <w:t>The following "Disruption Fallbacks" specified in Section 7.5(c) of the Commodity Definitions shall apply, in the following order, except as otherwise specified in the relevant Confirmation:</w:t>
      </w:r>
    </w:p>
    <w:p>
      <w:pPr>
        <w:pStyle w:val="Normal"/>
        <w:jc w:val="both"/>
        <w:rPr>
          <w:sz w:val="22"/>
        </w:rPr>
      </w:pPr>
      <w:r>
        <w:rPr>
          <w:sz w:val="22"/>
        </w:rPr>
      </w:r>
    </w:p>
    <w:p>
      <w:pPr>
        <w:pStyle w:val="BlockText"/>
        <w:ind w:hanging="720" w:start="2160" w:end="720"/>
        <w:rPr/>
      </w:pPr>
      <w:r>
        <w:rPr/>
        <w:t>(i)</w:t>
        <w:tab/>
        <w:t>"Postponement", with three (3) Commodity Business Days as the Maximum Days of Disruption;</w:t>
      </w:r>
    </w:p>
    <w:p>
      <w:pPr>
        <w:pStyle w:val="Normal"/>
        <w:ind w:hanging="720" w:start="2160" w:end="720"/>
        <w:jc w:val="both"/>
        <w:rPr>
          <w:sz w:val="22"/>
        </w:rPr>
      </w:pPr>
      <w:r>
        <w:rPr>
          <w:sz w:val="22"/>
        </w:rPr>
      </w:r>
    </w:p>
    <w:p>
      <w:pPr>
        <w:pStyle w:val="BlockText"/>
        <w:ind w:hanging="720" w:start="2160" w:end="720"/>
        <w:rPr/>
      </w:pPr>
      <w:r>
        <w:rPr/>
        <w:t>(ii)</w:t>
        <w:tab/>
        <w:t>"Fallback Reference Price" (if the relevant parties have specified an alternate Commodity Reference Price in the Confirmation);</w:t>
      </w:r>
    </w:p>
    <w:p>
      <w:pPr>
        <w:pStyle w:val="Normal"/>
        <w:ind w:hanging="720" w:start="2160" w:end="720"/>
        <w:jc w:val="both"/>
        <w:rPr>
          <w:sz w:val="22"/>
        </w:rPr>
      </w:pPr>
      <w:r>
        <w:rPr>
          <w:sz w:val="22"/>
        </w:rPr>
      </w:r>
    </w:p>
    <w:p>
      <w:pPr>
        <w:pStyle w:val="Normal"/>
        <w:ind w:hanging="720" w:start="2160" w:end="720"/>
        <w:jc w:val="both"/>
        <w:rPr>
          <w:sz w:val="22"/>
        </w:rPr>
      </w:pPr>
      <w:r>
        <w:rPr>
          <w:sz w:val="22"/>
        </w:rPr>
        <w:t>(iii)</w:t>
        <w:tab/>
        <w:t>"Negotiated Fallback" (provided that the reference in Section 7.5(c)(ii) to "fifth Business Day" shall be amended to be "twelfth Business Day"); and</w:t>
      </w:r>
    </w:p>
    <w:p>
      <w:pPr>
        <w:pStyle w:val="Normal"/>
        <w:ind w:hanging="720" w:start="2160" w:end="720"/>
        <w:jc w:val="both"/>
        <w:rPr>
          <w:sz w:val="22"/>
        </w:rPr>
      </w:pPr>
      <w:r>
        <w:rPr>
          <w:sz w:val="22"/>
        </w:rPr>
      </w:r>
    </w:p>
    <w:p>
      <w:pPr>
        <w:pStyle w:val="Normal"/>
        <w:ind w:hanging="720" w:start="2160" w:end="0"/>
        <w:jc w:val="both"/>
        <w:rPr>
          <w:sz w:val="22"/>
        </w:rPr>
      </w:pPr>
      <w:r>
        <w:rPr>
          <w:sz w:val="22"/>
        </w:rPr>
        <w:t>(iv)</w:t>
        <w:tab/>
        <w:t>The Relevant Price will be determined and calculated as set forth in the definition "Commodity</w:t>
        <w:noBreakHyphen/>
        <w:t>Reference Dealers", with each party selecting in good faith two Reference Dealers in the relevant market and the Relevant Price being the average of such prices (excluding the highest and lowest prices) provided by such Reference Dealers.</w:t>
      </w:r>
    </w:p>
    <w:p>
      <w:pPr>
        <w:pStyle w:val="Header"/>
        <w:rPr>
          <w:sz w:val="22"/>
        </w:rPr>
      </w:pPr>
      <w:r>
        <w:rPr>
          <w:sz w:val="22"/>
        </w:rPr>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rPr>
      </w:pPr>
      <w:r>
        <w:rPr>
          <w:rFonts w:cs="Times New Roman"/>
          <w:sz w:val="22"/>
        </w:rPr>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rPr>
            </w:pPr>
            <w:r>
              <w:rPr>
                <w:b/>
                <w:color w:val="FF0000"/>
                <w:sz w:val="22"/>
              </w:rPr>
              <w:t>MERRILL LYNCH CAPITAL SERVICES, INC.</w:t>
            </w:r>
          </w:p>
          <w:p>
            <w:pPr>
              <w:pStyle w:val="Normal"/>
              <w:keepNext w:val="true"/>
              <w:spacing w:lineRule="exact" w:line="240"/>
              <w:jc w:val="both"/>
              <w:rPr>
                <w:b/>
                <w:color w:val="800080"/>
                <w:sz w:val="22"/>
              </w:rPr>
            </w:pPr>
            <w:r>
              <w:rPr>
                <w:b/>
                <w:color w:val="80008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Heading4"/>
              <w:ind w:hanging="0" w:start="0"/>
              <w:rPr>
                <w:sz w:val="22"/>
              </w:rPr>
            </w:pPr>
            <w:r>
              <w:rPr>
                <w:b/>
                <w:sz w:val="22"/>
              </w:rPr>
              <w:t>ENRON POWER MARKETING, INC.</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t>J. Clifford Baxter</w:t>
            </w:r>
          </w:p>
          <w:p>
            <w:pPr>
              <w:pStyle w:val="Normal"/>
              <w:keepNext w:val="true"/>
              <w:spacing w:lineRule="exact" w:line="240"/>
              <w:jc w:val="both"/>
              <w:rPr>
                <w:sz w:val="22"/>
              </w:rPr>
            </w:pPr>
            <w:r>
              <w:rPr>
                <w:sz w:val="22"/>
              </w:rPr>
              <w:t>Title:</w:t>
              <w:tab/>
              <w:t>Chairman, Chief Executive Officer</w:t>
            </w:r>
          </w:p>
          <w:p>
            <w:pPr>
              <w:pStyle w:val="Normal"/>
              <w:keepNext w:val="true"/>
              <w:spacing w:lineRule="exact" w:line="240"/>
              <w:jc w:val="both"/>
              <w:rPr>
                <w:sz w:val="22"/>
                <w:u w:val="single"/>
              </w:rPr>
            </w:pPr>
            <w:r>
              <w:rPr>
                <w:sz w:val="22"/>
              </w:rPr>
              <w:t xml:space="preserve">             </w:t>
            </w:r>
            <w:r>
              <w:rPr>
                <w:sz w:val="22"/>
              </w:rPr>
              <w:t>and Managing Director</w:t>
            </w:r>
          </w:p>
          <w:p>
            <w:pPr>
              <w:pStyle w:val="Normal"/>
              <w:keepNext w:val="true"/>
              <w:spacing w:lineRule="exact" w:line="240"/>
              <w:jc w:val="both"/>
              <w:rPr>
                <w:sz w:val="22"/>
              </w:rPr>
            </w:pPr>
            <w:r>
              <w:rPr>
                <w:sz w:val="22"/>
              </w:rPr>
              <w:t>Date:     December 28, 1999</w:t>
            </w:r>
          </w:p>
        </w:tc>
      </w:tr>
      <w:tr>
        <w:trPr/>
        <w:tc>
          <w:tcPr>
            <w:tcW w:w="4788" w:type="dxa"/>
            <w:tcBorders/>
          </w:tcPr>
          <w:p>
            <w:pPr>
              <w:pStyle w:val="Normal"/>
              <w:keepNext w:val="true"/>
              <w:snapToGrid w:val="false"/>
              <w:spacing w:lineRule="exact" w:line="240"/>
              <w:jc w:val="both"/>
              <w:rPr>
                <w:b/>
                <w:color w:val="FF0000"/>
                <w:sz w:val="22"/>
              </w:rPr>
            </w:pPr>
            <w:r>
              <w:rPr>
                <w:b/>
                <w:color w:val="FF0000"/>
                <w:sz w:val="22"/>
              </w:rPr>
            </w:r>
          </w:p>
        </w:tc>
        <w:tc>
          <w:tcPr>
            <w:tcW w:w="4788" w:type="dxa"/>
            <w:tcBorders/>
          </w:tcPr>
          <w:p>
            <w:pPr>
              <w:pStyle w:val="Heading4"/>
              <w:snapToGrid w:val="false"/>
              <w:ind w:hanging="0" w:start="0"/>
              <w:rPr>
                <w:b/>
                <w:color w:val="FF0000"/>
                <w:sz w:val="22"/>
              </w:rPr>
            </w:pPr>
            <w:r>
              <w:rPr>
                <w:b/>
                <w:color w:val="FF0000"/>
                <w:sz w:val="22"/>
              </w:rPr>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WW-BodyText2"/>
        <w:rPr>
          <w:b w:val="false"/>
          <w:sz w:val="22"/>
        </w:rPr>
      </w:pPr>
      <w:r>
        <w:rPr>
          <w:b w:val="false"/>
          <w:sz w:val="22"/>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p>
    <w:pPr>
      <w:pStyle w:val="Footer"/>
      <w:rPr/>
    </w:pPr>
    <w:r>
      <w:rPr/>
    </w:r>
  </w:p>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/mnt/main-storage/datasets/enron-docs/doc/ISDA_Schedule_1a-d3c8a3934584354dd0d4676a2c16c1648bb4702bdc8baa934b26077d6aef232d.doc</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1"/>
      <w:numFmt w:val="lowerLetter"/>
      <w:lvlText w:val="(%1)"/>
      <w:lvlJc w:val="start"/>
      <w:pPr>
        <w:tabs>
          <w:tab w:val="num" w:pos="720"/>
        </w:tabs>
        <w:ind w:start="720" w:hanging="72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6480" w:leader="none"/>
        <w:tab w:val="right" w:pos="9514" w:leader="none"/>
      </w:tabs>
    </w:pPr>
    <w:rPr>
      <w:sz w:val="21"/>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 w:val="left" w:pos="1440" w:leader="none"/>
        <w:tab w:val="left" w:pos="6480" w:leader="none"/>
        <w:tab w:val="right" w:pos="8807" w:leader="none"/>
      </w:tabs>
      <w:ind w:hanging="0" w:start="720" w:end="0"/>
      <w:jc w:val="both"/>
    </w:pPr>
    <w:rPr>
      <w:sz w:val="21"/>
      <w:lang w:val="en-US"/>
    </w:rPr>
  </w:style>
  <w:style w:type="paragraph" w:styleId="BodyTextIndent2">
    <w:name w:val="Body Text Indent 2"/>
    <w:basedOn w:val="Normal"/>
    <w:qFormat/>
    <w:pPr>
      <w:tabs>
        <w:tab w:val="left" w:pos="720" w:leader="none"/>
        <w:tab w:val="left" w:pos="1440" w:leader="none"/>
        <w:tab w:val="left" w:pos="6480" w:leader="none"/>
        <w:tab w:val="right" w:pos="9609" w:leader="none"/>
      </w:tabs>
      <w:ind w:hanging="1440" w:start="1440" w:end="0"/>
    </w:pPr>
    <w:rPr>
      <w:sz w:val="21"/>
      <w:lang w:val="en-US"/>
    </w:rPr>
  </w:style>
  <w:style w:type="paragraph" w:styleId="WW-BodyText2">
    <w:name w:val="WW-Body Text 2"/>
    <w:basedOn w:val="Normal"/>
    <w:qFormat/>
    <w:pPr>
      <w:tabs>
        <w:tab w:val="left" w:pos="720" w:leader="none"/>
        <w:tab w:val="left" w:pos="1440" w:leader="none"/>
        <w:tab w:val="left" w:pos="6480" w:leader="none"/>
        <w:tab w:val="right" w:pos="9526" w:leader="none"/>
      </w:tabs>
      <w:jc w:val="both"/>
    </w:pPr>
    <w:rPr>
      <w:b/>
      <w:sz w:val="21"/>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WW-BodyText21">
    <w:name w:val="WW-Body Text 21"/>
    <w:basedOn w:val="Normal"/>
    <w:qFormat/>
    <w:pPr>
      <w:tabs>
        <w:tab w:val="clear" w:pos="720"/>
        <w:tab w:val="left" w:pos="1440" w:leader="none"/>
        <w:tab w:val="right" w:pos="4731" w:leader="none"/>
        <w:tab w:val="left" w:pos="6480" w:leader="none"/>
      </w:tabs>
      <w:ind w:hanging="720" w:start="1440" w:end="0"/>
    </w:pPr>
    <w:rPr>
      <w:sz w:val="22"/>
      <w:lang w:val="en-US"/>
    </w:rPr>
  </w:style>
  <w:style w:type="paragraph" w:styleId="BodyTextIndent3">
    <w:name w:val="Body Text Indent 3"/>
    <w:basedOn w:val="Normal"/>
    <w:qFormat/>
    <w:pPr>
      <w:keepNext w:val="true"/>
      <w:tabs>
        <w:tab w:val="left" w:pos="720" w:leader="none"/>
        <w:tab w:val="left" w:pos="1440" w:leader="none"/>
        <w:tab w:val="left" w:pos="2160" w:leader="none"/>
        <w:tab w:val="left" w:pos="6480" w:leader="none"/>
        <w:tab w:val="right" w:pos="9542" w:leader="none"/>
      </w:tabs>
      <w:ind w:hanging="2160" w:start="2160" w:end="0"/>
    </w:pPr>
    <w:rPr>
      <w:sz w:val="22"/>
      <w:lang w:val="en-US"/>
    </w:rPr>
  </w:style>
  <w:style w:type="paragraph" w:styleId="Justified">
    <w:name w:val="Justified"/>
    <w:basedOn w:val="Normal"/>
    <w:next w:val="Heading2"/>
    <w:qFormat/>
    <w:pPr>
      <w:widowControl w:val="false"/>
      <w:spacing w:before="0" w:after="120"/>
      <w:jc w:val="both"/>
    </w:pPr>
    <w:rPr>
      <w:rFonts w:ascii="Arial" w:hAnsi="Arial" w:cs="Arial"/>
      <w:sz w:val="22"/>
      <w:lang w:val="en-US"/>
    </w:rPr>
  </w:style>
  <w:style w:type="paragraph" w:styleId="BlockText">
    <w:name w:val="Block Text"/>
    <w:basedOn w:val="Normal"/>
    <w:qFormat/>
    <w:pPr>
      <w:ind w:hanging="0" w:start="1440" w:end="720"/>
      <w:jc w:val="both"/>
    </w:pPr>
    <w:rPr>
      <w:sz w:val="22"/>
    </w:rPr>
  </w:style>
  <w:style w:type="paragraph" w:styleId="BodyTextIndent">
    <w:name w:val="Body Text Indent"/>
    <w:basedOn w:val="Normal"/>
    <w:pPr>
      <w:tabs>
        <w:tab w:val="left" w:pos="720" w:leader="none"/>
        <w:tab w:val="left" w:pos="1440" w:leader="none"/>
        <w:tab w:val="left" w:pos="1747" w:leader="none"/>
        <w:tab w:val="left" w:pos="4680" w:leader="none"/>
        <w:tab w:val="left" w:pos="5400" w:leader="none"/>
        <w:tab w:val="right" w:pos="8592" w:leader="none"/>
      </w:tabs>
      <w:ind w:hanging="1747" w:start="1747" w:end="0"/>
    </w:pPr>
    <w:rPr>
      <w:sz w:val="22"/>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1999-12-29T14:54:00Z</dcterms:created>
  <dc:creator>foobar</dc:creator>
  <dc:description/>
  <dc:language>en-CA</dc:language>
  <cp:lastModifiedBy>Brenda Whitehead</cp:lastModifiedBy>
  <cp:lastPrinted>1999-12-29T11:33:00Z</cp:lastPrinted>
  <dcterms:modified xsi:type="dcterms:W3CDTF">1999-12-29T15:04:00Z</dcterms:modified>
  <cp:revision>4</cp:revision>
  <dc:subject/>
  <dc:title>SCHEDULE</dc:title>
</cp:coreProperties>
</file>