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7200" w:end="0"/>
        <w:rPr>
          <w:rFonts w:ascii="Britannic Bold;Arial Black" w:hAnsi="Britannic Bold;Arial Black" w:cs="Britannic Bold;Arial Black"/>
          <w:sz w:val="24"/>
          <w:lang w:val="en-CA"/>
        </w:rPr>
      </w:pPr>
      <w:r>
        <w:rPr>
          <w:rFonts w:cs="Britannic Bold;Arial Black" w:ascii="Britannic Bold;Arial Black" w:hAnsi="Britannic Bold;Arial Black"/>
          <w:sz w:val="24"/>
          <w:lang w:val="en-CA"/>
        </w:rPr>
        <w:object w:dxaOrig="3290" w:dyaOrig="161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10.4pt;margin-top:-28.8pt;width:86.4pt;height:93.6pt;mso-wrap-distance-left:9.05pt;mso-wrap-distance-right:9.05pt;mso-position-horizontal-relative:text;mso-position-vertical-relative:text" filled="f" o:ole="">
            <v:imagedata r:id="rId3" o:title=""/>
            <w10:wrap type="topAndBottom"/>
          </v:shape>
          <o:OLEObject Type="Embed" ProgID="" ShapeID="ole_rId2" DrawAspect="Content" ObjectID="_1711188083" r:id="rId2"/>
        </w:object>
      </w:r>
    </w:p>
    <w:p>
      <w:pPr>
        <w:pStyle w:val="Heading"/>
        <w:rPr>
          <w:rFonts w:ascii="Britannic Bold;Arial Black" w:hAnsi="Britannic Bold;Arial Black" w:cs="Britannic Bold;Arial Black"/>
          <w:sz w:val="24"/>
        </w:rPr>
      </w:pPr>
      <w:r>
        <w:rPr>
          <w:rFonts w:cs="Britannic Bold;Arial Black" w:ascii="Britannic Bold;Arial Black" w:hAnsi="Britannic Bold;Arial Black"/>
          <w:sz w:val="24"/>
        </w:rPr>
        <w:t>SOUTHERN COMPANY ENERGY MARKETING L.P.</w:t>
      </w:r>
    </w:p>
    <w:p>
      <w:pPr>
        <w:pStyle w:val="Heading"/>
        <w:rPr>
          <w:rFonts w:ascii="Britannic Bold;Arial Black" w:hAnsi="Britannic Bold;Arial Black" w:cs="Britannic Bold;Arial Black"/>
          <w:sz w:val="24"/>
        </w:rPr>
      </w:pPr>
      <w:r>
        <w:rPr>
          <w:rFonts w:cs="Britannic Bold;Arial Black" w:ascii="Britannic Bold;Arial Black" w:hAnsi="Britannic Bold;Arial Black"/>
          <w:sz w:val="24"/>
        </w:rPr>
        <w:t>in conjunction with</w:t>
      </w:r>
    </w:p>
    <w:p>
      <w:pPr>
        <w:pStyle w:val="Heading"/>
        <w:rPr>
          <w:rFonts w:ascii="Britannic Bold;Arial Black" w:hAnsi="Britannic Bold;Arial Black" w:cs="Britannic Bold;Arial Black"/>
          <w:sz w:val="24"/>
        </w:rPr>
      </w:pPr>
      <w:r>
        <w:rPr>
          <w:rFonts w:cs="Britannic Bold;Arial Black" w:ascii="Britannic Bold;Arial Black" w:hAnsi="Britannic Bold;Arial Black"/>
          <w:sz w:val="24"/>
        </w:rPr>
        <w:t>O’HARA &amp; ASSOCIATES, INC.</w:t>
      </w:r>
    </w:p>
    <w:p>
      <w:pPr>
        <w:pStyle w:val="Heading"/>
        <w:tabs>
          <w:tab w:val="clear" w:pos="720"/>
          <w:tab w:val="left" w:pos="7920" w:leader="none"/>
        </w:tabs>
        <w:rPr>
          <w:rFonts w:ascii="Britannic Bold;Arial Black" w:hAnsi="Britannic Bold;Arial Black" w:cs="Britannic Bold;Arial Black"/>
          <w:sz w:val="24"/>
        </w:rPr>
      </w:pPr>
      <w:r>
        <w:rPr>
          <w:rFonts w:cs="Britannic Bold;Arial Black" w:ascii="Britannic Bold;Arial Black" w:hAnsi="Britannic Bold;Arial Black"/>
          <w:sz w:val="24"/>
        </w:rPr>
        <w:t>PRESENTS A SEMINAR ON</w:t>
      </w:r>
    </w:p>
    <w:p>
      <w:pPr>
        <w:pStyle w:val="Heading"/>
        <w:rPr>
          <w:rFonts w:ascii="Britannic Bold;Arial Black" w:hAnsi="Britannic Bold;Arial Black" w:cs="Britannic Bold;Arial Black"/>
          <w:sz w:val="24"/>
        </w:rPr>
      </w:pPr>
      <w:r>
        <w:rPr>
          <w:rFonts w:cs="Britannic Bold;Arial Black" w:ascii="Britannic Bold;Arial Black" w:hAnsi="Britannic Bold;Arial Black"/>
          <w:sz w:val="24"/>
        </w:rPr>
        <w:t xml:space="preserve">OTC DERIVATIVES CONTRACTS:  </w:t>
      </w:r>
    </w:p>
    <w:p>
      <w:pPr>
        <w:pStyle w:val="Heading"/>
        <w:rPr>
          <w:rFonts w:ascii="Britannic Bold;Arial Black" w:hAnsi="Britannic Bold;Arial Black" w:cs="Britannic Bold;Arial Black"/>
          <w:sz w:val="24"/>
        </w:rPr>
      </w:pPr>
      <w:r>
        <w:rPr>
          <w:rFonts w:cs="Britannic Bold;Arial Black" w:ascii="Britannic Bold;Arial Black" w:hAnsi="Britannic Bold;Arial Black"/>
          <w:sz w:val="24"/>
        </w:rPr>
        <w:t>WHAT EVERY ENERGY PROFESSIONAL SHOULD KNOW!</w:t>
      </w:r>
    </w:p>
    <w:p>
      <w:pPr>
        <w:pStyle w:val="Heading5"/>
        <w:ind w:hanging="0" w:start="0"/>
        <w:rPr/>
      </w:pPr>
      <w:r>
        <w:rPr/>
        <w:t>Including review of the ISDA Master Agreement and Credit Support Annex</w:t>
      </w:r>
    </w:p>
    <w:p>
      <w:pPr>
        <w:pStyle w:val="Heading5"/>
        <w:ind w:hanging="0" w:start="0"/>
        <w:jc w:val="start"/>
        <w:rPr/>
      </w:pPr>
      <w:r>
        <w:rPr/>
      </w:r>
    </w:p>
    <w:p>
      <w:pPr>
        <w:pStyle w:val="Heading5"/>
        <w:ind w:hanging="0" w:start="0"/>
        <w:jc w:val="start"/>
        <w:rPr/>
      </w:pPr>
      <w:r>
        <w:rPr>
          <w:b/>
        </w:rPr>
        <w:t>When</w:t>
      </w:r>
      <w:r>
        <w:rPr/>
        <w:t>:  October 23 &amp; 24, 2000  (Monday &amp; Tuesday)  8:00 a.m. –  5:00 p.m.</w:t>
      </w:r>
    </w:p>
    <w:p>
      <w:pPr>
        <w:pStyle w:val="Heading1"/>
        <w:ind w:hanging="0" w:start="0"/>
        <w:rPr/>
      </w:pPr>
      <w:r>
        <w:rPr>
          <w:b/>
        </w:rPr>
        <w:t>Venue</w:t>
      </w:r>
      <w:r>
        <w:rPr/>
        <w:t>:  Crowne Plaza Ravinia Hotel, 4355 Ashford Dunwoody Rd., Atlanta, GA</w:t>
      </w:r>
    </w:p>
    <w:p>
      <w:pPr>
        <w:pStyle w:val="BodyText"/>
        <w:rPr/>
      </w:pPr>
      <w:r>
        <w:rPr>
          <w:b/>
        </w:rPr>
        <w:t>Registration Fee</w:t>
      </w:r>
      <w:r>
        <w:rPr/>
        <w:t xml:space="preserve">:  Registration paid before September 11, 2000 - $995.00 </w:t>
      </w:r>
    </w:p>
    <w:p>
      <w:pPr>
        <w:pStyle w:val="BodyText"/>
        <w:ind w:start="1440" w:end="0"/>
        <w:rPr/>
      </w:pPr>
      <w:r>
        <w:rPr/>
        <w:t xml:space="preserve">       </w:t>
      </w:r>
      <w:r>
        <w:rPr/>
        <w:t xml:space="preserve">September 11, 2000 – October 18, 2000 - $1250.00 </w:t>
      </w:r>
    </w:p>
    <w:p>
      <w:pPr>
        <w:pStyle w:val="BodyText"/>
        <w:ind w:start="1440" w:end="0"/>
        <w:rPr/>
      </w:pPr>
      <w:r>
        <w:rPr/>
        <w:t xml:space="preserve">       </w:t>
      </w:r>
      <w:r>
        <w:rPr/>
        <w:t>Sorry, no registration can be accepted after October 18, 2000.</w:t>
      </w:r>
    </w:p>
    <w:p>
      <w:pPr>
        <w:pStyle w:val="BodyText"/>
        <w:rPr/>
      </w:pPr>
      <w:r>
        <w:rPr>
          <w:b/>
        </w:rPr>
        <w:t>Fee Includes</w:t>
      </w:r>
      <w:r>
        <w:rPr/>
        <w:t xml:space="preserve">:  Workshop Binder, Continental Breakfast, Lunch, &amp; Refreshments </w:t>
      </w:r>
    </w:p>
    <w:p>
      <w:pPr>
        <w:pStyle w:val="BodyText"/>
        <w:rPr/>
      </w:pPr>
      <w:r>
        <w:rPr>
          <w:b/>
        </w:rPr>
        <w:t>Speaker</w:t>
      </w:r>
      <w:r>
        <w:rPr/>
        <w:t xml:space="preserve">:  Ms. Ann O’Hara, Esq., President, O’Hara &amp; Associates, Inc. </w:t>
      </w:r>
    </w:p>
    <w:p>
      <w:pPr>
        <w:pStyle w:val="BodyText"/>
        <w:rPr/>
      </w:pPr>
      <w:r>
        <w:rPr>
          <w:b/>
        </w:rPr>
        <w:t>Certification</w:t>
      </w:r>
      <w:r>
        <w:rPr/>
        <w:t>:  16 Continuing Education credit hours will be awarded for certain professions.</w:t>
      </w:r>
    </w:p>
    <w:p>
      <w:pPr>
        <w:pStyle w:val="Normal"/>
        <w:rPr/>
      </w:pPr>
      <w:r>
        <w:rPr>
          <w:b/>
          <w:sz w:val="24"/>
        </w:rPr>
        <w:t>Lodging</w:t>
      </w:r>
      <w:r>
        <w:rPr>
          <w:sz w:val="24"/>
        </w:rPr>
        <w:t xml:space="preserve">:  A limited number of rooms will be made available at a special discounted rate of $139 for Sunday - Thursday and $89 for Friday and Saturday at the Crowne Plaza Ravinia.  </w:t>
      </w:r>
    </w:p>
    <w:p>
      <w:pPr>
        <w:pStyle w:val="Normal"/>
        <w:rPr>
          <w:sz w:val="24"/>
        </w:rPr>
      </w:pPr>
      <w:r>
        <w:rPr>
          <w:sz w:val="24"/>
        </w:rPr>
        <w:t>Call toll-free (800) 554-0055 for reservations and refer to Southern Company Energy Marketing. Complimentary parking available.</w:t>
      </w:r>
    </w:p>
    <w:p>
      <w:pPr>
        <w:pStyle w:val="Heading1"/>
        <w:ind w:hanging="0" w:start="0"/>
        <w:rPr/>
      </w:pPr>
      <w:r>
        <w:rPr>
          <w:b/>
        </w:rPr>
        <w:t>Transportation</w:t>
      </w:r>
      <w:r>
        <w:rPr/>
        <w:t>:   MARTA (Atlanta light rail) is available from the airport to Dunwoody Station for $1.50.  The hotel will provide a free shuttle from the MARTA station.</w:t>
      </w:r>
    </w:p>
    <w:p>
      <w:pPr>
        <w:pStyle w:val="Normal"/>
        <w:rPr>
          <w:b/>
          <w:sz w:val="24"/>
        </w:rPr>
      </w:pPr>
      <w:r>
        <w:rPr>
          <w:b/>
          <w:sz w:val="24"/>
        </w:rPr>
        <w:t>_____________________________________________________________________________</w:t>
      </w:r>
    </w:p>
    <w:p>
      <w:pPr>
        <w:pStyle w:val="Normal"/>
        <w:rPr/>
      </w:pPr>
      <w:r>
        <w:rPr>
          <w:b/>
          <w:sz w:val="24"/>
        </w:rPr>
        <w:t>Return Form &amp; Payment to</w:t>
      </w:r>
      <w:r>
        <w:rPr>
          <w:sz w:val="24"/>
        </w:rPr>
        <w:t>:  Brett Robertson, Human Resources, Southern Company Energy Marketing L.P., 1155 Perimeter Center West, Suite 130, Atlanta, GA 30338-5416</w:t>
      </w:r>
      <w:r>
        <w:rPr>
          <w:b/>
          <w:sz w:val="24"/>
        </w:rPr>
        <w:t xml:space="preserve"> </w:t>
      </w:r>
      <w:r>
        <w:rPr>
          <w:sz w:val="24"/>
        </w:rPr>
        <w:t>or</w:t>
      </w:r>
      <w:r>
        <w:rPr>
          <w:b/>
          <w:sz w:val="24"/>
        </w:rPr>
        <w:t xml:space="preserve"> </w:t>
      </w:r>
      <w:r>
        <w:rPr>
          <w:sz w:val="24"/>
        </w:rPr>
        <w:t xml:space="preserve">fax form to (678)579-5774 or e-mail to </w:t>
      </w:r>
      <w:hyperlink r:id="rId4">
        <w:r>
          <w:rPr>
            <w:rStyle w:val="Hyperlink"/>
            <w:sz w:val="24"/>
          </w:rPr>
          <w:t>brett.robertson@southernenergy.com</w:t>
        </w:r>
      </w:hyperlink>
      <w:r>
        <w:rPr>
          <w:sz w:val="24"/>
        </w:rPr>
        <w:t xml:space="preserve"> and follow up with payment by mail.  Make check payable to:  Southern Company Energy Marketing L.P.   </w:t>
      </w:r>
    </w:p>
    <w:p>
      <w:pPr>
        <w:pStyle w:val="Normal"/>
        <w:pBdr>
          <w:bottom w:val="single" w:sz="6" w:space="1" w:color="000000"/>
        </w:pBdr>
        <w:rPr/>
      </w:pPr>
      <w:r>
        <w:rPr>
          <w:b/>
          <w:sz w:val="24"/>
        </w:rPr>
        <w:t>Questions:</w:t>
      </w:r>
      <w:r>
        <w:rPr>
          <w:sz w:val="24"/>
        </w:rPr>
        <w:t xml:space="preserve">  Brett Robertson at (678) 579-5385 or Lin Reece at (678) 579-3378</w:t>
      </w:r>
    </w:p>
    <w:p>
      <w:pPr>
        <w:pStyle w:val="Heading6"/>
        <w:ind w:hanging="0" w:start="0"/>
        <w:rPr>
          <w:sz w:val="24"/>
        </w:rPr>
      </w:pPr>
      <w:r>
        <w:rPr>
          <w:sz w:val="24"/>
        </w:rPr>
        <w:t>OTC DERIVATIVES CONTRACTS WORKSHOP</w:t>
      </w:r>
    </w:p>
    <w:p>
      <w:pPr>
        <w:pStyle w:val="BodyText"/>
        <w:spacing w:lineRule="auto" w:line="360"/>
        <w:rPr/>
      </w:pPr>
      <w:r>
        <w:rPr>
          <w:b/>
        </w:rPr>
        <w:t>Registrant Name</w:t>
      </w:r>
      <w:r>
        <w:rPr/>
        <w:t>:  _____________________________________________________________</w:t>
      </w:r>
    </w:p>
    <w:p>
      <w:pPr>
        <w:pStyle w:val="BodyText"/>
        <w:spacing w:lineRule="auto" w:line="360"/>
        <w:rPr/>
      </w:pPr>
      <w:r>
        <w:rPr>
          <w:b/>
        </w:rPr>
        <w:t>Company</w:t>
      </w:r>
      <w:r>
        <w:rPr/>
        <w:t>:  __________________________________</w:t>
      </w:r>
      <w:r>
        <w:rPr>
          <w:b/>
        </w:rPr>
        <w:t>Job Title</w:t>
      </w:r>
      <w:r>
        <w:rPr/>
        <w:t>:  ________________________</w:t>
      </w:r>
    </w:p>
    <w:p>
      <w:pPr>
        <w:pStyle w:val="BodyText"/>
        <w:spacing w:lineRule="auto" w:line="360"/>
        <w:rPr/>
      </w:pPr>
      <w:r>
        <w:rPr>
          <w:b/>
        </w:rPr>
        <w:t>Address</w:t>
      </w:r>
      <w:r>
        <w:rPr/>
        <w:t>:  _____________________________________________________________________</w:t>
      </w:r>
    </w:p>
    <w:p>
      <w:pPr>
        <w:pStyle w:val="BodyText"/>
        <w:spacing w:lineRule="auto" w:line="360"/>
        <w:rPr/>
      </w:pPr>
      <w:r>
        <w:rPr>
          <w:b/>
        </w:rPr>
        <w:t>City, State, Zip Code</w:t>
      </w:r>
      <w:r>
        <w:rPr/>
        <w:t>:  __________________________________________________________</w:t>
      </w:r>
    </w:p>
    <w:p>
      <w:pPr>
        <w:pStyle w:val="BodyText"/>
        <w:spacing w:lineRule="auto" w:line="360"/>
        <w:rPr/>
      </w:pPr>
      <w:r>
        <w:rPr>
          <w:b/>
        </w:rPr>
        <w:t>Phone</w:t>
      </w:r>
      <w:r>
        <w:rPr/>
        <w:t xml:space="preserve">:  ______________________________________ </w:t>
      </w:r>
      <w:r>
        <w:rPr>
          <w:b/>
        </w:rPr>
        <w:t>Fax</w:t>
      </w:r>
      <w:r>
        <w:rPr/>
        <w:t>:  ___________________________</w:t>
      </w:r>
    </w:p>
    <w:p>
      <w:pPr>
        <w:pStyle w:val="BodyText"/>
        <w:rPr/>
      </w:pPr>
      <w:r>
        <w:rPr>
          <w:b/>
        </w:rPr>
        <w:t>E-Mail</w:t>
      </w:r>
      <w:r>
        <w:rPr/>
        <w:t>: ______________________________________________________________________</w:t>
      </w:r>
    </w:p>
    <w:p>
      <w:pPr>
        <w:pStyle w:val="BodyText"/>
        <w:rPr>
          <w:b/>
        </w:rPr>
      </w:pPr>
      <w:r>
        <w:rPr>
          <w:b/>
        </w:rPr>
      </w:r>
    </w:p>
    <w:p>
      <w:pPr>
        <w:pStyle w:val="BodyText"/>
        <w:rPr/>
      </w:pPr>
      <w:r>
        <w:rPr>
          <w:b/>
        </w:rPr>
        <w:t>Questions:</w:t>
      </w:r>
      <w:r>
        <w:rPr/>
        <w:t xml:space="preserve">  If you have questions that you would like answered during this seminar, please </w:t>
      </w:r>
    </w:p>
    <w:p>
      <w:pPr>
        <w:pStyle w:val="BodyText"/>
        <w:rPr>
          <w:sz w:val="28"/>
        </w:rPr>
      </w:pPr>
      <w:r>
        <w:rPr/>
        <w:t xml:space="preserve">e-mail them to lin.reece@southernenergy.com and we will forward to the speaker for review. </w:t>
      </w:r>
    </w:p>
    <w:p>
      <w:pPr>
        <w:pStyle w:val="Normal"/>
        <w:rPr>
          <w:b/>
          <w:sz w:val="24"/>
        </w:rPr>
      </w:pPr>
      <w:r>
        <w:rPr>
          <w:b/>
          <w:sz w:val="24"/>
        </w:rPr>
      </w:r>
    </w:p>
    <w:p>
      <w:pPr>
        <w:pStyle w:val="Heading4"/>
        <w:ind w:hanging="0" w:start="0"/>
        <w:rPr/>
      </w:pPr>
      <w:r>
        <w:rPr/>
        <w:t>ABOUT OUR SPEAKER, ANN O’HARA, ESQ.</w:t>
      </w:r>
    </w:p>
    <w:p>
      <w:pPr>
        <w:pStyle w:val="Normal"/>
        <w:rPr/>
      </w:pPr>
      <w:r>
        <w:rPr/>
      </w:r>
    </w:p>
    <w:p>
      <w:pPr>
        <w:pStyle w:val="Normal"/>
        <w:rPr>
          <w:sz w:val="28"/>
        </w:rPr>
      </w:pPr>
      <w:r>
        <w:rPr>
          <w:sz w:val="28"/>
        </w:rPr>
      </w:r>
    </w:p>
    <w:p>
      <w:pPr>
        <w:pStyle w:val="BodyText3"/>
        <w:rPr/>
      </w:pPr>
      <w:r>
        <w:rPr/>
        <w:t>Ann O'Hara is an energy attorney with a private practice in Lincoln, Nebraska.  Since 1995, her practice has been devoted almost entirely to OTC derivatives transactions.  She is also a frequent lecturer and has taught courses on the natural gas industry, on natural gas contracts, and on OTC derivatives contracts in the United States and Canada.  Most recently, she has taught OTC derivative documentation courses for the International Energy Credit Association in both Houston and Calgary.  She is also a recent author, having completed earlier this year her book  “</w:t>
      </w:r>
      <w:r>
        <w:rPr>
          <w:i/>
        </w:rPr>
        <w:t>A Practical Guide to Gas Contracting</w:t>
      </w:r>
      <w:r>
        <w:rPr/>
        <w:t>.”</w:t>
      </w:r>
      <w:r>
        <w:br w:type="page"/>
      </w:r>
    </w:p>
    <w:p>
      <w:pPr>
        <w:pStyle w:val="Heading4"/>
        <w:ind w:hanging="0" w:start="0"/>
        <w:rPr/>
      </w:pPr>
      <w:r>
        <w:rPr/>
        <w:t>Over-The-Counter Derivatives Contracts:</w:t>
      </w:r>
    </w:p>
    <w:p>
      <w:pPr>
        <w:pStyle w:val="Heading4"/>
        <w:ind w:hanging="0" w:start="0"/>
        <w:rPr/>
      </w:pPr>
      <w:r>
        <w:rPr/>
        <w:t>What Every Energy Professional Should Know!</w:t>
      </w:r>
    </w:p>
    <w:p>
      <w:pPr>
        <w:pStyle w:val="Normal"/>
        <w:rPr>
          <w:sz w:val="24"/>
        </w:rPr>
      </w:pPr>
      <w:r>
        <w:rPr>
          <w:sz w:val="24"/>
        </w:rPr>
      </w:r>
    </w:p>
    <w:p>
      <w:pPr>
        <w:pStyle w:val="Normal"/>
        <w:rPr>
          <w:sz w:val="24"/>
        </w:rPr>
      </w:pPr>
      <w:r>
        <w:rPr>
          <w:sz w:val="24"/>
        </w:rPr>
        <w:t>Over-the-counter derivative transactions are purely financial in nature.  These products, including swaps, options, swaptions, participations (and others), are used by firms for multiple purposes including hedge activities.</w:t>
      </w:r>
    </w:p>
    <w:p>
      <w:pPr>
        <w:pStyle w:val="Normal"/>
        <w:rPr>
          <w:sz w:val="24"/>
        </w:rPr>
      </w:pPr>
      <w:r>
        <w:rPr>
          <w:sz w:val="24"/>
        </w:rPr>
      </w:r>
    </w:p>
    <w:p>
      <w:pPr>
        <w:pStyle w:val="Normal"/>
        <w:rPr>
          <w:sz w:val="24"/>
        </w:rPr>
      </w:pPr>
      <w:r>
        <w:rPr>
          <w:sz w:val="24"/>
        </w:rPr>
        <w:t>Many energy organizations have begun to realize that future buying and selling energy commodities will look very different from the way the energy sector buys and sells products today.  In the future, your organization may be purchasing and selling "hot" and "cold" instead of electricity, natural gas, coal, and other energy products.  And, increasingly, they will be utilizing a variety of hedging tools to transfer unwanted future price risks.</w:t>
      </w:r>
    </w:p>
    <w:p>
      <w:pPr>
        <w:pStyle w:val="Normal"/>
        <w:rPr>
          <w:sz w:val="24"/>
        </w:rPr>
      </w:pPr>
      <w:r>
        <w:rPr>
          <w:sz w:val="24"/>
        </w:rPr>
      </w:r>
    </w:p>
    <w:p>
      <w:pPr>
        <w:pStyle w:val="Normal"/>
        <w:rPr>
          <w:sz w:val="24"/>
        </w:rPr>
      </w:pPr>
      <w:r>
        <w:rPr>
          <w:sz w:val="24"/>
        </w:rPr>
        <w:t>The contract used by nearly every hedging participant is the ISDA Master Agreement (or similar master agreement).  If the counterparties to an ISDA Master Agreement want to establish rules for exchanging collateral, they will also utilize the Credit Support Annex.   This two day course is designed to assist risk management professionals in the utilization of the necessary contracts.</w:t>
      </w:r>
    </w:p>
    <w:p>
      <w:pPr>
        <w:pStyle w:val="Normal"/>
        <w:rPr>
          <w:sz w:val="24"/>
        </w:rPr>
      </w:pPr>
      <w:r>
        <w:rPr>
          <w:sz w:val="24"/>
        </w:rPr>
      </w:r>
    </w:p>
    <w:p>
      <w:pPr>
        <w:pStyle w:val="Heading4"/>
        <w:ind w:hanging="0" w:start="0"/>
        <w:jc w:val="start"/>
        <w:rPr/>
      </w:pPr>
      <w:r>
        <w:rPr/>
        <w:t>DAY 1</w:t>
      </w:r>
      <w:r>
        <w:rPr>
          <w:sz w:val="24"/>
        </w:rPr>
        <w:t xml:space="preserve"> -- OCTOBER 23, 2000 – the Master Agreement</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sz w:val="24"/>
        </w:rPr>
        <w:t>Part 1:</w:t>
        <w:tab/>
      </w:r>
      <w:r>
        <w:rPr>
          <w:rFonts w:cs="Times New Roman" w:ascii="Times New Roman" w:hAnsi="Times New Roman"/>
          <w:b/>
          <w:sz w:val="24"/>
        </w:rPr>
        <w:t>Introduction to over-the-counter products</w:t>
      </w:r>
      <w:r>
        <w:rPr>
          <w:rFonts w:cs="Times New Roman" w:ascii="Times New Roman" w:hAnsi="Times New Roman"/>
          <w:sz w:val="24"/>
        </w:rPr>
        <w:t>.  This portion will serve as an introduction to the types of tools used for hedging future risks in the energy industry.  These tools—options, swaps, and swaptions primarily—are the transactions for which the documentation (or contract) was developed.</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sz w:val="24"/>
        </w:rPr>
        <w:t xml:space="preserve">Part 2:  </w:t>
      </w:r>
      <w:r>
        <w:rPr>
          <w:rFonts w:cs="Times New Roman" w:ascii="Times New Roman" w:hAnsi="Times New Roman"/>
          <w:b/>
          <w:sz w:val="24"/>
        </w:rPr>
        <w:t>The basic agreement</w:t>
      </w:r>
      <w:r>
        <w:rPr>
          <w:rFonts w:cs="Times New Roman" w:ascii="Times New Roman" w:hAnsi="Times New Roman"/>
          <w:sz w:val="24"/>
        </w:rPr>
        <w:t>.  This will include an examination of the contract issues affecting OTC derivative transactions such as legal capacity to contract and suitability of derivative transactions.  The most widely used document, the ISDA Master Agreement, will be introduced with differences between the two forms available for use—Multicurrency--Cross Border, and Single Currency--Local Jurisdiction.  The various components of the Master Agreement will be discussed.</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sz w:val="24"/>
        </w:rPr>
        <w:t xml:space="preserve">Part 3:  </w:t>
      </w:r>
      <w:r>
        <w:rPr>
          <w:rFonts w:cs="Times New Roman" w:ascii="Times New Roman" w:hAnsi="Times New Roman"/>
          <w:b/>
          <w:sz w:val="24"/>
        </w:rPr>
        <w:t>Analysis of the agreement</w:t>
      </w:r>
      <w:r>
        <w:rPr>
          <w:rFonts w:cs="Times New Roman" w:ascii="Times New Roman" w:hAnsi="Times New Roman"/>
          <w:sz w:val="24"/>
        </w:rPr>
        <w:t>.  Each section of the ISDA Master Agreement will be discussed during this portion.  The format will be a clause-by-clause examination of this agreement.  The issues, and the order in which they will be discussed, are as follows:</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1.  Interpretations (Definitions, Inconsistency, and Single Agreement)</w:t>
      </w:r>
    </w:p>
    <w:p>
      <w:pPr>
        <w:pStyle w:val="PlainText"/>
        <w:rPr>
          <w:rFonts w:ascii="Times New Roman" w:hAnsi="Times New Roman" w:cs="Times New Roman"/>
          <w:sz w:val="24"/>
        </w:rPr>
      </w:pPr>
      <w:r>
        <w:rPr>
          <w:rFonts w:cs="Times New Roman" w:ascii="Times New Roman" w:hAnsi="Times New Roman"/>
          <w:sz w:val="24"/>
        </w:rPr>
        <w:t>2.  Obligations (General Conditions, Change of Account, Netting, Deductions for Tax, Default Interest)</w:t>
      </w:r>
    </w:p>
    <w:p>
      <w:pPr>
        <w:pStyle w:val="PlainText"/>
        <w:rPr>
          <w:rFonts w:ascii="Times New Roman" w:hAnsi="Times New Roman" w:cs="Times New Roman"/>
          <w:sz w:val="24"/>
        </w:rPr>
      </w:pPr>
      <w:r>
        <w:rPr>
          <w:rFonts w:cs="Times New Roman" w:ascii="Times New Roman" w:hAnsi="Times New Roman"/>
          <w:sz w:val="24"/>
        </w:rPr>
        <w:t>3.  Representations (Basic Representations, Absence of Certain Events, Absence of Litigation, Accuracy of Specified Information)</w:t>
      </w:r>
    </w:p>
    <w:p>
      <w:pPr>
        <w:pStyle w:val="PlainText"/>
        <w:rPr>
          <w:rFonts w:ascii="Times New Roman" w:hAnsi="Times New Roman" w:cs="Times New Roman"/>
          <w:sz w:val="24"/>
        </w:rPr>
      </w:pPr>
      <w:r>
        <w:rPr>
          <w:rFonts w:cs="Times New Roman" w:ascii="Times New Roman" w:hAnsi="Times New Roman"/>
          <w:sz w:val="24"/>
        </w:rPr>
        <w:t xml:space="preserve">4.  Agreements (Furnish Specified Information, Maintain Authorizations, </w:t>
      </w:r>
    </w:p>
    <w:p>
      <w:pPr>
        <w:pStyle w:val="PlainText"/>
        <w:rPr>
          <w:rFonts w:ascii="Times New Roman" w:hAnsi="Times New Roman" w:cs="Times New Roman"/>
          <w:sz w:val="24"/>
        </w:rPr>
      </w:pPr>
      <w:r>
        <w:rPr>
          <w:rFonts w:cs="Times New Roman" w:ascii="Times New Roman" w:hAnsi="Times New Roman"/>
          <w:sz w:val="24"/>
        </w:rPr>
        <w:t>Comply with Laws)</w:t>
      </w:r>
    </w:p>
    <w:p>
      <w:pPr>
        <w:pStyle w:val="PlainText"/>
        <w:rPr>
          <w:rFonts w:ascii="Times New Roman" w:hAnsi="Times New Roman" w:cs="Times New Roman"/>
          <w:sz w:val="24"/>
        </w:rPr>
      </w:pPr>
      <w:r>
        <w:rPr>
          <w:rFonts w:cs="Times New Roman" w:ascii="Times New Roman" w:hAnsi="Times New Roman"/>
          <w:sz w:val="24"/>
        </w:rPr>
        <w:t>5.  Events of Default and Termination Events</w:t>
      </w:r>
    </w:p>
    <w:p>
      <w:pPr>
        <w:pStyle w:val="PlainText"/>
        <w:rPr>
          <w:rFonts w:ascii="Times New Roman" w:hAnsi="Times New Roman" w:cs="Times New Roman"/>
          <w:sz w:val="24"/>
        </w:rPr>
      </w:pPr>
      <w:r>
        <w:rPr>
          <w:rFonts w:cs="Times New Roman" w:ascii="Times New Roman" w:hAnsi="Times New Roman"/>
          <w:sz w:val="24"/>
        </w:rPr>
        <w:t>Default:  Failure to pay, breach of agreement, credit support default, misrepresentation, default under a Specified Transaction, Cross Default, Bankruptcy, and Merger without Assumption Termination Event:  Illegality, Tax Event, Tax Event Upon Merger, Credit Event Upon Merger and Additional Termination Event</w:t>
      </w:r>
    </w:p>
    <w:p>
      <w:pPr>
        <w:pStyle w:val="PlainText"/>
        <w:rPr>
          <w:rFonts w:ascii="Times New Roman" w:hAnsi="Times New Roman" w:cs="Times New Roman"/>
          <w:sz w:val="24"/>
        </w:rPr>
      </w:pPr>
      <w:r>
        <w:rPr>
          <w:rFonts w:cs="Times New Roman" w:ascii="Times New Roman" w:hAnsi="Times New Roman"/>
          <w:sz w:val="24"/>
        </w:rPr>
        <w:t>6.  Early Termination (Right to Termination following Event of Default, Right to Terminate Following Termination Event, Effect of Designation, Calculations, Payments on Early Termination [First/Second Method-Market Quotation/Loss], Adjustment for Bankruptcy</w:t>
      </w:r>
    </w:p>
    <w:p>
      <w:pPr>
        <w:pStyle w:val="PlainText"/>
        <w:rPr>
          <w:rFonts w:ascii="Times New Roman" w:hAnsi="Times New Roman" w:cs="Times New Roman"/>
          <w:sz w:val="24"/>
        </w:rPr>
      </w:pPr>
      <w:r>
        <w:rPr>
          <w:rFonts w:cs="Times New Roman" w:ascii="Times New Roman" w:hAnsi="Times New Roman"/>
          <w:sz w:val="24"/>
        </w:rPr>
        <w:t>7.  Transfer</w:t>
      </w:r>
    </w:p>
    <w:p>
      <w:pPr>
        <w:pStyle w:val="PlainText"/>
        <w:rPr>
          <w:rFonts w:ascii="Times New Roman" w:hAnsi="Times New Roman" w:cs="Times New Roman"/>
          <w:sz w:val="24"/>
        </w:rPr>
      </w:pPr>
      <w:r>
        <w:rPr>
          <w:rFonts w:cs="Times New Roman" w:ascii="Times New Roman" w:hAnsi="Times New Roman"/>
          <w:sz w:val="24"/>
        </w:rPr>
        <w:t>8.  Contractual Currency (Payment in Contractual Currency, Judgments)</w:t>
      </w:r>
    </w:p>
    <w:p>
      <w:pPr>
        <w:pStyle w:val="PlainText"/>
        <w:rPr>
          <w:rFonts w:ascii="Times New Roman" w:hAnsi="Times New Roman" w:cs="Times New Roman"/>
          <w:sz w:val="24"/>
        </w:rPr>
      </w:pPr>
      <w:r>
        <w:rPr>
          <w:rFonts w:cs="Times New Roman" w:ascii="Times New Roman" w:hAnsi="Times New Roman"/>
          <w:sz w:val="24"/>
        </w:rPr>
        <w:t>9.  Miscellaneous</w:t>
      </w:r>
    </w:p>
    <w:p>
      <w:pPr>
        <w:pStyle w:val="PlainText"/>
        <w:rPr>
          <w:rFonts w:ascii="Times New Roman" w:hAnsi="Times New Roman" w:cs="Times New Roman"/>
          <w:sz w:val="24"/>
        </w:rPr>
      </w:pPr>
      <w:r>
        <w:rPr>
          <w:rFonts w:cs="Times New Roman" w:ascii="Times New Roman" w:hAnsi="Times New Roman"/>
          <w:sz w:val="24"/>
        </w:rPr>
        <w:t>10. Offices; Multibranch Parties</w:t>
      </w:r>
    </w:p>
    <w:p>
      <w:pPr>
        <w:pStyle w:val="PlainText"/>
        <w:rPr>
          <w:rFonts w:ascii="Times New Roman" w:hAnsi="Times New Roman" w:cs="Times New Roman"/>
          <w:sz w:val="24"/>
        </w:rPr>
      </w:pPr>
      <w:r>
        <w:rPr>
          <w:rFonts w:cs="Times New Roman" w:ascii="Times New Roman" w:hAnsi="Times New Roman"/>
          <w:sz w:val="24"/>
        </w:rPr>
        <w:t>11. Expenses</w:t>
      </w:r>
    </w:p>
    <w:p>
      <w:pPr>
        <w:pStyle w:val="PlainText"/>
        <w:rPr>
          <w:rFonts w:ascii="Times New Roman" w:hAnsi="Times New Roman" w:cs="Times New Roman"/>
          <w:sz w:val="24"/>
        </w:rPr>
      </w:pPr>
      <w:r>
        <w:rPr>
          <w:rFonts w:cs="Times New Roman" w:ascii="Times New Roman" w:hAnsi="Times New Roman"/>
          <w:sz w:val="24"/>
        </w:rPr>
        <w:t>12. Notices</w:t>
      </w:r>
    </w:p>
    <w:p>
      <w:pPr>
        <w:pStyle w:val="PlainText"/>
        <w:rPr>
          <w:rFonts w:ascii="Times New Roman" w:hAnsi="Times New Roman" w:cs="Times New Roman"/>
          <w:sz w:val="24"/>
        </w:rPr>
      </w:pPr>
      <w:r>
        <w:rPr>
          <w:rFonts w:cs="Times New Roman" w:ascii="Times New Roman" w:hAnsi="Times New Roman"/>
          <w:sz w:val="24"/>
        </w:rPr>
        <w:t>13. Governing Law and Jurisdiction</w:t>
      </w:r>
    </w:p>
    <w:p>
      <w:pPr>
        <w:pStyle w:val="PlainText"/>
        <w:rPr>
          <w:rFonts w:ascii="Times New Roman" w:hAnsi="Times New Roman" w:cs="Times New Roman"/>
          <w:sz w:val="24"/>
        </w:rPr>
      </w:pPr>
      <w:r>
        <w:rPr>
          <w:rFonts w:cs="Times New Roman" w:ascii="Times New Roman" w:hAnsi="Times New Roman"/>
          <w:sz w:val="24"/>
        </w:rPr>
        <w:t>14. Definitions</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sz w:val="24"/>
        </w:rPr>
        <w:t xml:space="preserve">Part 4:  </w:t>
      </w:r>
      <w:r>
        <w:rPr>
          <w:rFonts w:cs="Times New Roman" w:ascii="Times New Roman" w:hAnsi="Times New Roman"/>
          <w:b/>
          <w:sz w:val="24"/>
        </w:rPr>
        <w:t>The Schedule to the Master Agreement</w:t>
      </w:r>
      <w:r>
        <w:rPr>
          <w:rFonts w:cs="Times New Roman" w:ascii="Times New Roman" w:hAnsi="Times New Roman"/>
          <w:sz w:val="24"/>
        </w:rPr>
        <w:t>.  This final portion of the day's activities will focus on all Parts of a typical schedule used for OTC commodity derivative transactions.  As with the other segments, this segment will include exercises and examples.</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b/>
          <w:sz w:val="28"/>
        </w:rPr>
        <w:t xml:space="preserve">DAY 2 </w:t>
      </w:r>
      <w:r>
        <w:rPr>
          <w:rFonts w:cs="Times New Roman" w:ascii="Times New Roman" w:hAnsi="Times New Roman"/>
          <w:sz w:val="28"/>
        </w:rPr>
        <w:t xml:space="preserve">-- </w:t>
      </w:r>
      <w:r>
        <w:rPr>
          <w:rFonts w:cs="Times New Roman" w:ascii="Times New Roman" w:hAnsi="Times New Roman"/>
          <w:b/>
          <w:sz w:val="24"/>
        </w:rPr>
        <w:t>OCTOBER 24, 2000 -- Credit and the Security Agreement/Collateral Exchange</w:t>
      </w:r>
    </w:p>
    <w:p>
      <w:pPr>
        <w:pStyle w:val="PlainText"/>
        <w:rPr>
          <w:rFonts w:ascii="Times New Roman" w:hAnsi="Times New Roman" w:cs="Times New Roman"/>
          <w:b/>
          <w:sz w:val="24"/>
        </w:rPr>
      </w:pPr>
      <w:r>
        <w:rPr>
          <w:rFonts w:cs="Times New Roman" w:ascii="Times New Roman" w:hAnsi="Times New Roman"/>
          <w:b/>
          <w:sz w:val="24"/>
        </w:rPr>
      </w:r>
    </w:p>
    <w:p>
      <w:pPr>
        <w:pStyle w:val="PlainText"/>
        <w:rPr/>
      </w:pPr>
      <w:r>
        <w:rPr>
          <w:rFonts w:cs="Times New Roman" w:ascii="Times New Roman" w:hAnsi="Times New Roman"/>
          <w:sz w:val="24"/>
        </w:rPr>
        <w:t xml:space="preserve">Part 1: </w:t>
      </w:r>
      <w:r>
        <w:rPr>
          <w:rFonts w:cs="Times New Roman" w:ascii="Times New Roman" w:hAnsi="Times New Roman"/>
          <w:b/>
          <w:sz w:val="24"/>
        </w:rPr>
        <w:t>Credit, security interests, and collateral</w:t>
      </w:r>
      <w:r>
        <w:rPr>
          <w:rFonts w:cs="Times New Roman" w:ascii="Times New Roman" w:hAnsi="Times New Roman"/>
          <w:sz w:val="24"/>
        </w:rPr>
        <w:t>.  A discussion of how the Master Agreement and the typical security agreement work together.  Why is the ISDA Credit Support Annex the most frequently used form of security agreement?</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sz w:val="24"/>
        </w:rPr>
        <w:t xml:space="preserve">Part 2:  </w:t>
      </w:r>
      <w:r>
        <w:rPr>
          <w:rFonts w:cs="Times New Roman" w:ascii="Times New Roman" w:hAnsi="Times New Roman"/>
          <w:b/>
          <w:sz w:val="24"/>
        </w:rPr>
        <w:t>A review of the most widely used security agreement</w:t>
      </w:r>
      <w:r>
        <w:rPr>
          <w:rFonts w:cs="Times New Roman" w:ascii="Times New Roman" w:hAnsi="Times New Roman"/>
          <w:sz w:val="24"/>
        </w:rPr>
        <w:t xml:space="preserve">.  This portion of the course will be a clause-by-clause review of the first 12 paragraphs of the ISDA Credit Support Annex and will include: </w:t>
      </w:r>
    </w:p>
    <w:p>
      <w:pPr>
        <w:pStyle w:val="PlainText"/>
        <w:rPr>
          <w:rFonts w:ascii="Times New Roman" w:hAnsi="Times New Roman" w:cs="Times New Roman"/>
          <w:sz w:val="24"/>
        </w:rPr>
      </w:pPr>
      <w:r>
        <w:rPr>
          <w:rFonts w:cs="Times New Roman" w:ascii="Times New Roman" w:hAnsi="Times New Roman"/>
          <w:sz w:val="24"/>
        </w:rPr>
        <w:t xml:space="preserve">1.  Interpretations </w:t>
      </w:r>
    </w:p>
    <w:p>
      <w:pPr>
        <w:pStyle w:val="PlainText"/>
        <w:rPr>
          <w:rFonts w:ascii="Times New Roman" w:hAnsi="Times New Roman" w:cs="Times New Roman"/>
          <w:sz w:val="24"/>
        </w:rPr>
      </w:pPr>
      <w:r>
        <w:rPr>
          <w:rFonts w:cs="Times New Roman" w:ascii="Times New Roman" w:hAnsi="Times New Roman"/>
          <w:sz w:val="24"/>
        </w:rPr>
        <w:t xml:space="preserve">2.  Security Interest </w:t>
      </w:r>
    </w:p>
    <w:p>
      <w:pPr>
        <w:pStyle w:val="PlainText"/>
        <w:rPr>
          <w:rFonts w:ascii="Times New Roman" w:hAnsi="Times New Roman" w:cs="Times New Roman"/>
          <w:sz w:val="24"/>
        </w:rPr>
      </w:pPr>
      <w:r>
        <w:rPr>
          <w:rFonts w:cs="Times New Roman" w:ascii="Times New Roman" w:hAnsi="Times New Roman"/>
          <w:sz w:val="24"/>
        </w:rPr>
        <w:t xml:space="preserve">3.  Credit Support Obligations </w:t>
      </w:r>
    </w:p>
    <w:p>
      <w:pPr>
        <w:pStyle w:val="PlainText"/>
        <w:rPr>
          <w:rFonts w:ascii="Times New Roman" w:hAnsi="Times New Roman" w:cs="Times New Roman"/>
          <w:sz w:val="24"/>
        </w:rPr>
      </w:pPr>
      <w:r>
        <w:rPr>
          <w:rFonts w:cs="Times New Roman" w:ascii="Times New Roman" w:hAnsi="Times New Roman"/>
          <w:sz w:val="24"/>
        </w:rPr>
        <w:t xml:space="preserve">4.  Conditions Precedent </w:t>
      </w:r>
    </w:p>
    <w:p>
      <w:pPr>
        <w:pStyle w:val="PlainText"/>
        <w:rPr>
          <w:rFonts w:ascii="Times New Roman" w:hAnsi="Times New Roman" w:cs="Times New Roman"/>
          <w:sz w:val="24"/>
        </w:rPr>
      </w:pPr>
      <w:r>
        <w:rPr>
          <w:rFonts w:cs="Times New Roman" w:ascii="Times New Roman" w:hAnsi="Times New Roman"/>
          <w:sz w:val="24"/>
        </w:rPr>
        <w:t xml:space="preserve">5.  Transfer Timing </w:t>
      </w:r>
    </w:p>
    <w:p>
      <w:pPr>
        <w:pStyle w:val="PlainText"/>
        <w:rPr>
          <w:rFonts w:ascii="Times New Roman" w:hAnsi="Times New Roman" w:cs="Times New Roman"/>
          <w:sz w:val="24"/>
        </w:rPr>
      </w:pPr>
      <w:r>
        <w:rPr>
          <w:rFonts w:cs="Times New Roman" w:ascii="Times New Roman" w:hAnsi="Times New Roman"/>
          <w:sz w:val="24"/>
        </w:rPr>
        <w:t xml:space="preserve">6.  Calculations </w:t>
      </w:r>
    </w:p>
    <w:p>
      <w:pPr>
        <w:pStyle w:val="PlainText"/>
        <w:rPr>
          <w:rFonts w:ascii="Times New Roman" w:hAnsi="Times New Roman" w:cs="Times New Roman"/>
          <w:sz w:val="24"/>
        </w:rPr>
      </w:pPr>
      <w:r>
        <w:rPr>
          <w:rFonts w:cs="Times New Roman" w:ascii="Times New Roman" w:hAnsi="Times New Roman"/>
          <w:sz w:val="24"/>
        </w:rPr>
        <w:t xml:space="preserve">7.  Substitutions </w:t>
      </w:r>
    </w:p>
    <w:p>
      <w:pPr>
        <w:pStyle w:val="PlainText"/>
        <w:rPr>
          <w:rFonts w:ascii="Times New Roman" w:hAnsi="Times New Roman" w:cs="Times New Roman"/>
          <w:sz w:val="24"/>
        </w:rPr>
      </w:pPr>
      <w:r>
        <w:rPr>
          <w:rFonts w:cs="Times New Roman" w:ascii="Times New Roman" w:hAnsi="Times New Roman"/>
          <w:sz w:val="24"/>
        </w:rPr>
        <w:t xml:space="preserve">8.  Dispute Resolution </w:t>
      </w:r>
    </w:p>
    <w:p>
      <w:pPr>
        <w:pStyle w:val="PlainText"/>
        <w:rPr>
          <w:rFonts w:ascii="Times New Roman" w:hAnsi="Times New Roman" w:cs="Times New Roman"/>
          <w:sz w:val="24"/>
        </w:rPr>
      </w:pPr>
      <w:r>
        <w:rPr>
          <w:rFonts w:cs="Times New Roman" w:ascii="Times New Roman" w:hAnsi="Times New Roman"/>
          <w:sz w:val="24"/>
        </w:rPr>
        <w:t xml:space="preserve">9.  Holding and Using Posted Collateral </w:t>
      </w:r>
    </w:p>
    <w:p>
      <w:pPr>
        <w:pStyle w:val="PlainText"/>
        <w:rPr>
          <w:rFonts w:ascii="Times New Roman" w:hAnsi="Times New Roman" w:cs="Times New Roman"/>
          <w:sz w:val="24"/>
        </w:rPr>
      </w:pPr>
      <w:r>
        <w:rPr>
          <w:rFonts w:cs="Times New Roman" w:ascii="Times New Roman" w:hAnsi="Times New Roman"/>
          <w:sz w:val="24"/>
        </w:rPr>
        <w:t xml:space="preserve">10. Events of Default </w:t>
      </w:r>
    </w:p>
    <w:p>
      <w:pPr>
        <w:pStyle w:val="PlainText"/>
        <w:rPr>
          <w:rFonts w:ascii="Times New Roman" w:hAnsi="Times New Roman" w:cs="Times New Roman"/>
          <w:sz w:val="24"/>
        </w:rPr>
      </w:pPr>
      <w:r>
        <w:rPr>
          <w:rFonts w:cs="Times New Roman" w:ascii="Times New Roman" w:hAnsi="Times New Roman"/>
          <w:sz w:val="24"/>
        </w:rPr>
        <w:t xml:space="preserve">11. Certain Rights and Remedies </w:t>
      </w:r>
    </w:p>
    <w:p>
      <w:pPr>
        <w:pStyle w:val="PlainText"/>
        <w:rPr>
          <w:rFonts w:ascii="Times New Roman" w:hAnsi="Times New Roman" w:cs="Times New Roman"/>
          <w:sz w:val="24"/>
        </w:rPr>
      </w:pPr>
      <w:r>
        <w:rPr>
          <w:rFonts w:cs="Times New Roman" w:ascii="Times New Roman" w:hAnsi="Times New Roman"/>
          <w:sz w:val="24"/>
        </w:rPr>
        <w:t xml:space="preserve">12. Representations </w:t>
      </w:r>
    </w:p>
    <w:p>
      <w:pPr>
        <w:pStyle w:val="PlainText"/>
        <w:rPr>
          <w:rFonts w:ascii="Times New Roman" w:hAnsi="Times New Roman" w:cs="Times New Roman"/>
          <w:sz w:val="24"/>
        </w:rPr>
      </w:pPr>
      <w:r>
        <w:rPr>
          <w:rFonts w:cs="Times New Roman" w:ascii="Times New Roman" w:hAnsi="Times New Roman"/>
          <w:sz w:val="24"/>
        </w:rPr>
        <w:t xml:space="preserve">13. Expenses </w:t>
      </w:r>
    </w:p>
    <w:p>
      <w:pPr>
        <w:pStyle w:val="PlainText"/>
        <w:rPr>
          <w:rFonts w:ascii="Times New Roman" w:hAnsi="Times New Roman" w:cs="Times New Roman"/>
          <w:sz w:val="24"/>
        </w:rPr>
      </w:pPr>
      <w:r>
        <w:rPr>
          <w:rFonts w:cs="Times New Roman" w:ascii="Times New Roman" w:hAnsi="Times New Roman"/>
          <w:sz w:val="24"/>
        </w:rPr>
        <w:t xml:space="preserve">14. Miscellaneous </w:t>
      </w:r>
    </w:p>
    <w:p>
      <w:pPr>
        <w:pStyle w:val="PlainText"/>
        <w:rPr>
          <w:rFonts w:ascii="Times New Roman" w:hAnsi="Times New Roman" w:cs="Times New Roman"/>
          <w:sz w:val="24"/>
        </w:rPr>
      </w:pPr>
      <w:r>
        <w:rPr>
          <w:rFonts w:cs="Times New Roman" w:ascii="Times New Roman" w:hAnsi="Times New Roman"/>
          <w:sz w:val="24"/>
        </w:rPr>
        <w:t xml:space="preserve">15. Definitions </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sz w:val="24"/>
        </w:rPr>
        <w:t>Part 3</w:t>
      </w:r>
      <w:r>
        <w:rPr>
          <w:rFonts w:cs="Times New Roman" w:ascii="Times New Roman" w:hAnsi="Times New Roman"/>
          <w:b/>
          <w:sz w:val="24"/>
        </w:rPr>
        <w:t xml:space="preserve">:  Paragraph 13 - Elections and Variables.  </w:t>
      </w:r>
      <w:r>
        <w:rPr>
          <w:rFonts w:cs="Times New Roman" w:ascii="Times New Roman" w:hAnsi="Times New Roman"/>
          <w:sz w:val="24"/>
        </w:rPr>
        <w:t>Parties negotiating a Master Agreement typically make numerous choices in the final paragraph.  A complete review of typical Paragraph 13 issues will include answers to questions like the following:</w:t>
      </w:r>
    </w:p>
    <w:p>
      <w:pPr>
        <w:pStyle w:val="PlainText"/>
        <w:rPr>
          <w:rFonts w:ascii="Times New Roman" w:hAnsi="Times New Roman" w:cs="Times New Roman"/>
          <w:sz w:val="24"/>
        </w:rPr>
      </w:pPr>
      <w:r>
        <w:rPr>
          <w:rFonts w:cs="Times New Roman" w:ascii="Times New Roman" w:hAnsi="Times New Roman"/>
          <w:sz w:val="24"/>
        </w:rPr>
      </w:r>
    </w:p>
    <w:p>
      <w:pPr>
        <w:pStyle w:val="PlainText"/>
        <w:ind w:firstLine="720" w:end="0"/>
        <w:rPr>
          <w:rFonts w:ascii="Times New Roman" w:hAnsi="Times New Roman" w:cs="Times New Roman"/>
          <w:sz w:val="24"/>
        </w:rPr>
      </w:pPr>
      <w:r>
        <w:rPr>
          <w:rFonts w:cs="Times New Roman" w:ascii="Times New Roman" w:hAnsi="Times New Roman"/>
          <w:sz w:val="24"/>
        </w:rPr>
        <w:t>When will a collateral exchange apply and how is the payment calculated?</w:t>
      </w:r>
    </w:p>
    <w:p>
      <w:pPr>
        <w:pStyle w:val="PlainText"/>
        <w:ind w:firstLine="720" w:end="0"/>
        <w:rPr>
          <w:rFonts w:ascii="Times New Roman" w:hAnsi="Times New Roman" w:cs="Times New Roman"/>
          <w:sz w:val="24"/>
        </w:rPr>
      </w:pPr>
      <w:r>
        <w:rPr>
          <w:rFonts w:cs="Times New Roman" w:ascii="Times New Roman" w:hAnsi="Times New Roman"/>
          <w:sz w:val="24"/>
        </w:rPr>
        <w:t xml:space="preserve">What forms Eligible Collateral? How will collateral exchange thresholds be determined? </w:t>
      </w:r>
    </w:p>
    <w:p>
      <w:pPr>
        <w:pStyle w:val="PlainText"/>
        <w:ind w:firstLine="720" w:end="0"/>
        <w:rPr>
          <w:rFonts w:ascii="Times New Roman" w:hAnsi="Times New Roman" w:cs="Times New Roman"/>
          <w:sz w:val="24"/>
        </w:rPr>
      </w:pPr>
      <w:r>
        <w:rPr>
          <w:rFonts w:cs="Times New Roman" w:ascii="Times New Roman" w:hAnsi="Times New Roman"/>
          <w:sz w:val="24"/>
        </w:rPr>
        <w:t xml:space="preserve">When are the calculations made? </w:t>
      </w:r>
    </w:p>
    <w:p>
      <w:pPr>
        <w:pStyle w:val="PlainText"/>
        <w:ind w:firstLine="720" w:end="0"/>
        <w:rPr>
          <w:rFonts w:ascii="Times New Roman" w:hAnsi="Times New Roman" w:cs="Times New Roman"/>
          <w:sz w:val="24"/>
        </w:rPr>
      </w:pPr>
      <w:r>
        <w:rPr>
          <w:rFonts w:cs="Times New Roman" w:ascii="Times New Roman" w:hAnsi="Times New Roman"/>
          <w:sz w:val="24"/>
        </w:rPr>
        <w:t xml:space="preserve">What, if any, restrictions apply to the use of collateral? </w:t>
      </w:r>
    </w:p>
    <w:p>
      <w:pPr>
        <w:pStyle w:val="PlainText"/>
        <w:ind w:start="720" w:end="0"/>
        <w:rPr>
          <w:rFonts w:ascii="Times New Roman" w:hAnsi="Times New Roman" w:cs="Times New Roman"/>
          <w:sz w:val="24"/>
        </w:rPr>
      </w:pPr>
      <w:r>
        <w:rPr>
          <w:rFonts w:cs="Times New Roman" w:ascii="Times New Roman" w:hAnsi="Times New Roman"/>
          <w:sz w:val="24"/>
        </w:rPr>
        <w:t xml:space="preserve">What are each party's rights regarding collateral if the other party is in default? </w:t>
      </w:r>
    </w:p>
    <w:p>
      <w:pPr>
        <w:pStyle w:val="PlainText"/>
        <w:ind w:firstLine="720" w:end="0"/>
        <w:rPr>
          <w:rFonts w:ascii="Times New Roman" w:hAnsi="Times New Roman" w:cs="Times New Roman"/>
          <w:sz w:val="24"/>
        </w:rPr>
      </w:pPr>
      <w:r>
        <w:rPr>
          <w:rFonts w:cs="Times New Roman" w:ascii="Times New Roman" w:hAnsi="Times New Roman"/>
          <w:sz w:val="24"/>
        </w:rPr>
        <w:t xml:space="preserve">How are letters of credit used in lieu of other forms of collateral? </w:t>
      </w:r>
    </w:p>
    <w:p>
      <w:pPr>
        <w:pStyle w:val="PlainText"/>
        <w:ind w:firstLine="720" w:end="0"/>
        <w:rPr>
          <w:rFonts w:ascii="Times New Roman" w:hAnsi="Times New Roman" w:cs="Times New Roman"/>
          <w:sz w:val="24"/>
        </w:rPr>
      </w:pPr>
      <w:r>
        <w:rPr>
          <w:rFonts w:cs="Times New Roman" w:ascii="Times New Roman" w:hAnsi="Times New Roman"/>
          <w:sz w:val="24"/>
        </w:rPr>
      </w:r>
    </w:p>
    <w:p>
      <w:pPr>
        <w:pStyle w:val="PlainText"/>
        <w:ind w:firstLine="720" w:end="0"/>
        <w:rPr>
          <w:rFonts w:ascii="Times New Roman" w:hAnsi="Times New Roman" w:cs="Times New Roman"/>
          <w:sz w:val="24"/>
        </w:rPr>
      </w:pPr>
      <w:r>
        <w:rPr>
          <w:rFonts w:cs="Times New Roman" w:ascii="Times New Roman" w:hAnsi="Times New Roman"/>
          <w:sz w:val="24"/>
        </w:rPr>
        <w:t>Sufficient time will be allocated at the end of each day for questions and answers.</w:t>
      </w:r>
    </w:p>
    <w:sectPr>
      <w:footerReference w:type="default" r:id="rId5"/>
      <w:footerReference w:type="first" r:id="rId6"/>
      <w:type w:val="nextPage"/>
      <w:pgSz w:w="12240" w:h="15840"/>
      <w:pgMar w:left="1440" w:right="1440" w:gutter="0" w:header="0"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Britannic Bold">
    <w:altName w:val="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r>
  </w:p>
  <w:p>
    <w:pPr>
      <w:pStyle w:val="Footer"/>
      <w:rPr>
        <w:sz w:val="22"/>
      </w:rPr>
    </w:pPr>
    <w:r>
      <w:rPr>
        <w:sz w:val="2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i/>
      <w:sz w:val="32"/>
    </w:rPr>
  </w:style>
  <w:style w:type="paragraph" w:styleId="Heading4">
    <w:name w:val="heading 4"/>
    <w:basedOn w:val="Normal"/>
    <w:next w:val="Normal"/>
    <w:qFormat/>
    <w:pPr>
      <w:keepNext w:val="true"/>
      <w:numPr>
        <w:ilvl w:val="3"/>
        <w:numId w:val="1"/>
      </w:numPr>
      <w:jc w:val="center"/>
      <w:outlineLvl w:val="3"/>
    </w:pPr>
    <w:rPr>
      <w:b/>
      <w:sz w:val="28"/>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Normal"/>
    <w:pPr>
      <w:ind w:hanging="360" w:start="360" w:end="0"/>
    </w:pPr>
    <w:rPr>
      <w:rFonts w:ascii="Arial" w:hAnsi="Arial" w:cs="Arial"/>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rFonts w:ascii="Arial" w:hAnsi="Arial" w:cs="Arial"/>
    </w:rPr>
  </w:style>
  <w:style w:type="paragraph" w:styleId="NormalIndent">
    <w:name w:val="Normal Indent"/>
    <w:basedOn w:val="Normal"/>
    <w:qFormat/>
    <w:pPr>
      <w:ind w:hanging="0" w:start="720" w:end="0"/>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rPr>
      <w:b/>
      <w:sz w:val="24"/>
    </w:rPr>
  </w:style>
  <w:style w:type="paragraph" w:styleId="BodyText3">
    <w:name w:val="Body Text 3"/>
    <w:basedOn w:val="Normal"/>
    <w:qFormat/>
    <w:pPr/>
    <w:rPr>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brett.robertson@southerneenegy.com"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2000-08-04T14:52:00Z</dcterms:created>
  <dc:creator>John Finnessy</dc:creator>
  <dc:description/>
  <dc:language>en-CA</dc:language>
  <cp:lastModifiedBy>LReece</cp:lastModifiedBy>
  <cp:lastPrinted>2000-08-04T12:53:00Z</cp:lastPrinted>
  <dcterms:modified xsi:type="dcterms:W3CDTF">2000-08-04T15:10:00Z</dcterms:modified>
  <cp:revision>3</cp:revision>
  <dc:subject/>
  <dc:title>THE INTERNATIONAL ENERGY CREDIT ASSOCIATION</dc:title>
</cp:coreProperties>
</file>