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RIDERS</w:t>
      </w:r>
    </w:p>
    <w:p>
      <w:pPr>
        <w:pStyle w:val="Normal"/>
        <w:rPr>
          <w:b/>
          <w:bCs/>
          <w:u w:val="single"/>
          <w:lang w:eastAsia="ja-JP"/>
        </w:rPr>
      </w:pPr>
      <w:r>
        <w:rPr>
          <w:b/>
          <w:bCs/>
          <w:u w:val="single"/>
          <w:lang w:eastAsia="ja-JP"/>
        </w:rPr>
      </w:r>
    </w:p>
    <w:p>
      <w:pPr>
        <w:pStyle w:val="Heading2"/>
        <w:ind w:hanging="0" w:start="0"/>
        <w:rPr/>
      </w:pPr>
      <w:r>
        <w:rPr/>
        <w:t xml:space="preserve">Rider A </w:t>
      </w:r>
      <w:r>
        <w:rPr/>
        <w:t>–</w:t>
      </w:r>
      <w:r>
        <w:rPr/>
        <w:t xml:space="preserve"> Part 1(d)</w:t>
      </w:r>
    </w:p>
    <w:p>
      <w:pPr>
        <w:pStyle w:val="Normal"/>
        <w:spacing w:lineRule="exact" w:line="240" w:before="240" w:after="0"/>
        <w:jc w:val="both"/>
        <w:rPr/>
      </w:pPr>
      <w:r>
        <w:rPr>
          <w:color w:val="000000"/>
          <w:sz w:val="22"/>
        </w:rPr>
        <w:t>(</w:t>
      </w:r>
      <w:r>
        <w:rPr>
          <w:color w:val="000000"/>
          <w:sz w:val="22"/>
          <w:lang w:eastAsia="ja-JP"/>
        </w:rPr>
        <w:t>d</w:t>
      </w:r>
      <w:r>
        <w:rPr>
          <w:color w:val="000000"/>
          <w:sz w:val="22"/>
        </w:rPr>
        <w:t>)</w:t>
        <w:tab/>
        <w:t xml:space="preserve">Section 5(a)(viii) is hereby amended by: </w:t>
      </w:r>
    </w:p>
    <w:p>
      <w:pPr>
        <w:pStyle w:val="Normal"/>
        <w:spacing w:lineRule="exact" w:line="240" w:before="240" w:after="0"/>
        <w:ind w:start="720" w:end="0"/>
        <w:jc w:val="both"/>
        <w:rPr>
          <w:color w:val="000000"/>
          <w:sz w:val="22"/>
        </w:rPr>
      </w:pPr>
      <w:r>
        <w:rPr>
          <w:color w:val="000000"/>
          <w:sz w:val="22"/>
        </w:rPr>
        <w:t xml:space="preserve">(i) </w:t>
        <w:tab/>
        <w:t>deleting the introductory paragraph in its entirety and replacing it with the following:</w:t>
      </w:r>
    </w:p>
    <w:p>
      <w:pPr>
        <w:pStyle w:val="Normal"/>
        <w:spacing w:lineRule="exact" w:line="240" w:before="240" w:after="0"/>
        <w:ind w:start="1350" w:end="0"/>
        <w:jc w:val="both"/>
        <w:rPr/>
      </w:pPr>
      <w:r>
        <w:rPr>
          <w:color w:val="000000"/>
          <w:sz w:val="22"/>
        </w:rPr>
        <w:t>“</w:t>
      </w:r>
      <w:r>
        <w:rPr>
          <w:color w:val="000000"/>
          <w:sz w:val="22"/>
        </w:rPr>
        <w:t xml:space="preserve">(viii)  </w:t>
      </w:r>
      <w:r>
        <w:rPr>
          <w:b/>
          <w:color w:val="000000"/>
          <w:sz w:val="22"/>
        </w:rPr>
        <w:t>Merger Without Assumption.</w:t>
      </w:r>
      <w:r>
        <w:rPr>
          <w:color w:val="000000"/>
          <w:sz w:val="22"/>
        </w:rPr>
        <w:t xml:space="preserve">  The party consolidates or amalgamates with, or merges with or into, or transfers all or substantially all its assets to, or reorganizes, incorporates, reincorporates, reconstitutes or reforms into or as, another entity and, at the time of such consolidation, amalgamation, merger, transfer, reorganization, incorporation, reincorporation, reconstitution, reformation or succession:”</w:t>
      </w:r>
    </w:p>
    <w:p>
      <w:pPr>
        <w:pStyle w:val="Normal"/>
        <w:numPr>
          <w:ilvl w:val="0"/>
          <w:numId w:val="3"/>
        </w:numPr>
        <w:spacing w:lineRule="exact" w:line="240" w:before="240" w:after="0"/>
        <w:jc w:val="both"/>
        <w:rPr>
          <w:color w:val="000000"/>
          <w:sz w:val="22"/>
          <w:lang w:eastAsia="ja-JP"/>
        </w:rPr>
      </w:pPr>
      <w:r>
        <w:rPr>
          <w:color w:val="000000"/>
          <w:sz w:val="22"/>
        </w:rPr>
        <w:t>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rPr>
          <w:b/>
          <w:bCs/>
          <w:color w:val="000000"/>
          <w:sz w:val="22"/>
          <w:u w:val="single"/>
          <w:lang w:eastAsia="ja-JP"/>
        </w:rPr>
      </w:pPr>
      <w:r>
        <w:rPr>
          <w:b/>
          <w:bCs/>
          <w:color w:val="000000"/>
          <w:sz w:val="22"/>
          <w:u w:val="single"/>
          <w:lang w:eastAsia="ja-JP"/>
        </w:rPr>
      </w:r>
    </w:p>
    <w:p>
      <w:pPr>
        <w:pStyle w:val="Heading2"/>
        <w:ind w:hanging="0" w:start="0"/>
        <w:rPr/>
      </w:pPr>
      <w:r>
        <w:rPr/>
        <w:t xml:space="preserve">Rider B </w:t>
      </w:r>
      <w:r>
        <w:rPr/>
        <w:t>–</w:t>
      </w:r>
      <w:r>
        <w:rPr/>
        <w:t xml:space="preserve"> Part 1(h)</w:t>
      </w:r>
    </w:p>
    <w:p>
      <w:pPr>
        <w:pStyle w:val="Normal"/>
        <w:numPr>
          <w:ilvl w:val="1"/>
          <w:numId w:val="3"/>
        </w:numPr>
        <w:spacing w:lineRule="exact" w:line="240" w:before="240" w:after="0"/>
        <w:jc w:val="both"/>
        <w:rPr>
          <w:sz w:val="22"/>
          <w:lang w:eastAsia="ja-JP"/>
        </w:rPr>
      </w:pPr>
      <w:r>
        <w:rPr>
          <w:sz w:val="22"/>
        </w:rPr>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(1) if after such action or event such resulting, surviving, or transferee entity (which entity is the successor-in-interest to such party</w:t>
      </w:r>
      <w:r>
        <w:rPr>
          <w:sz w:val="22"/>
          <w:lang w:eastAsia="ja-JP"/>
        </w:rPr>
        <w:t>)</w:t>
      </w:r>
      <w:r>
        <w:rPr>
          <w:sz w:val="22"/>
        </w:rPr>
        <w:t xml:space="preserve"> is directly or indirectly owned or controlled by Enron Corp. and the Credit Support Documents supporting Party </w:t>
      </w:r>
      <w:r>
        <w:rPr>
          <w:sz w:val="22"/>
          <w:lang w:eastAsia="ja-JP"/>
        </w:rPr>
        <w:t>B</w:t>
      </w:r>
      <w:r>
        <w:rPr>
          <w:sz w:val="22"/>
        </w:rPr>
        <w:t xml:space="preserve">’s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rPr>
          <w:b/>
          <w:bCs/>
          <w:sz w:val="22"/>
          <w:u w:val="single"/>
          <w:lang w:eastAsia="ja-JP"/>
        </w:rPr>
      </w:pPr>
      <w:r>
        <w:rPr>
          <w:b/>
          <w:bCs/>
          <w:sz w:val="22"/>
          <w:u w:val="single"/>
          <w:lang w:eastAsia="ja-JP"/>
        </w:rPr>
      </w:r>
    </w:p>
    <w:p>
      <w:pPr>
        <w:pStyle w:val="Heading2"/>
        <w:ind w:hanging="0" w:start="0"/>
        <w:rPr/>
      </w:pPr>
      <w:r>
        <w:rPr/>
        <w:t xml:space="preserve">Rider C </w:t>
      </w:r>
      <w:r>
        <w:rPr/>
        <w:t>–</w:t>
      </w:r>
      <w:r>
        <w:rPr/>
        <w:t xml:space="preserve"> Part 1(j)-(l)</w:t>
      </w:r>
    </w:p>
    <w:p>
      <w:pPr>
        <w:pStyle w:val="Normal"/>
        <w:spacing w:lineRule="exact" w:line="240" w:before="240" w:after="0"/>
        <w:ind w:hanging="720" w:start="720" w:end="0"/>
        <w:jc w:val="both"/>
        <w:rPr/>
      </w:pPr>
      <w:r>
        <w:rPr>
          <w:color w:val="000000"/>
          <w:sz w:val="22"/>
        </w:rPr>
        <w:t>(</w:t>
      </w:r>
      <w:r>
        <w:rPr>
          <w:color w:val="000000"/>
          <w:sz w:val="22"/>
          <w:lang w:eastAsia="ja-JP"/>
        </w:rPr>
        <w:t>j</w:t>
      </w:r>
      <w:r>
        <w:rPr>
          <w:color w:val="000000"/>
          <w:sz w:val="22"/>
        </w:rPr>
        <w:t>)</w:t>
      </w:r>
      <w:r>
        <w:rPr>
          <w:b/>
          <w:color w:val="000000"/>
          <w:sz w:val="22"/>
        </w:rPr>
        <w:tab/>
        <w:t>Additional Event of Default.</w:t>
      </w:r>
      <w:r>
        <w:rPr>
          <w:color w:val="000000"/>
          <w:sz w:val="22"/>
        </w:rPr>
        <w:t xml:space="preserve">  The following will constitute additional Events of Default for purposes of Section 5(a):</w:t>
      </w:r>
    </w:p>
    <w:p>
      <w:pPr>
        <w:pStyle w:val="Normal"/>
        <w:widowControl w:val="false"/>
        <w:spacing w:lineRule="atLeast" w:line="240"/>
        <w:ind w:hanging="567" w:start="2007" w:end="0"/>
        <w:jc w:val="both"/>
        <w:rPr>
          <w:color w:val="000000"/>
          <w:sz w:val="22"/>
        </w:rPr>
      </w:pPr>
      <w:r>
        <w:rPr>
          <w:color w:val="000000"/>
          <w:sz w:val="22"/>
        </w:rPr>
      </w:r>
    </w:p>
    <w:p>
      <w:pPr>
        <w:pStyle w:val="Normal"/>
        <w:widowControl w:val="false"/>
        <w:spacing w:lineRule="atLeast" w:line="240"/>
        <w:ind w:hanging="567" w:start="1440" w:end="0"/>
        <w:jc w:val="both"/>
        <w:rPr/>
      </w:pPr>
      <w:r>
        <w:rPr>
          <w:color w:val="000000"/>
          <w:sz w:val="22"/>
        </w:rPr>
        <w:t xml:space="preserve">(ix) </w:t>
        <w:tab/>
        <w:t>The party, or if applicable, any Credit Support Provider or any Specified Entity: (1) has a pre-judgment attachment (</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assets (other than its rights under this Agreement) in relation to a debt or debts in an aggregate amount of not less than US$</w:t>
      </w:r>
      <w:r>
        <w:rPr>
          <w:color w:val="000000"/>
          <w:sz w:val="22"/>
          <w:lang w:eastAsia="ja-JP"/>
        </w:rPr>
        <w:t>10</w:t>
      </w:r>
      <w:r>
        <w:rPr>
          <w:color w:val="000000"/>
          <w:sz w:val="22"/>
        </w:rPr>
        <w:t>0,000,000</w:t>
      </w:r>
      <w:r>
        <w:rPr>
          <w:color w:val="000000"/>
          <w:sz w:val="22"/>
          <w:lang w:eastAsia="ja-JP"/>
        </w:rPr>
        <w:t xml:space="preserve"> </w:t>
      </w:r>
      <w:r>
        <w:rPr>
          <w:color w:val="000000"/>
          <w:sz w:val="22"/>
        </w:rPr>
        <w:t>(</w:t>
      </w:r>
      <w:r>
        <w:rPr>
          <w:color w:val="000000"/>
          <w:sz w:val="22"/>
          <w:lang w:eastAsia="ja-JP"/>
        </w:rPr>
        <w:t>o</w:t>
      </w:r>
      <w:r>
        <w:rPr>
          <w:color w:val="000000"/>
          <w:sz w:val="22"/>
        </w:rPr>
        <w:t>r the equivalent in any currency) and such attachment or other court order of enforcement is not dismissed, discharged, stayed or restrained in each case within 30 days of the date of issue thereof; (2) has a pre-judgment attachment</w:t>
      </w:r>
      <w:r>
        <w:rPr>
          <w:rFonts w:cs="Arial" w:ascii="Arial" w:hAnsi="Arial"/>
          <w:color w:val="000000"/>
        </w:rPr>
        <w:t xml:space="preserve"> </w:t>
      </w:r>
      <w:r>
        <w:rPr>
          <w:color w:val="000000"/>
          <w:sz w:val="22"/>
        </w:rPr>
        <w:t>(</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rights under this Agreement; or (3) has clearance of its bills of exchange, promissory notes or checks suspended by any clearing house in Japan.</w:t>
      </w:r>
    </w:p>
    <w:p>
      <w:pPr>
        <w:pStyle w:val="Normal"/>
        <w:widowControl w:val="false"/>
        <w:spacing w:lineRule="atLeast" w:line="240"/>
        <w:ind w:hanging="567" w:start="1440" w:end="0"/>
        <w:jc w:val="both"/>
        <w:rPr>
          <w:color w:val="000000"/>
          <w:sz w:val="22"/>
        </w:rPr>
      </w:pPr>
      <w:r>
        <w:rPr>
          <w:color w:val="000000"/>
          <w:sz w:val="22"/>
        </w:rPr>
      </w:r>
    </w:p>
    <w:p>
      <w:pPr>
        <w:pStyle w:val="Normal"/>
        <w:widowControl w:val="false"/>
        <w:spacing w:lineRule="atLeast" w:line="240"/>
        <w:ind w:hanging="720" w:start="720" w:end="0"/>
        <w:jc w:val="both"/>
        <w:rPr/>
      </w:pPr>
      <w:r>
        <w:rPr>
          <w:color w:val="000000"/>
          <w:sz w:val="22"/>
        </w:rPr>
        <w:t>(</w:t>
      </w:r>
      <w:r>
        <w:rPr>
          <w:color w:val="000000"/>
          <w:sz w:val="22"/>
          <w:lang w:eastAsia="ja-JP"/>
        </w:rPr>
        <w:t>k</w:t>
      </w:r>
      <w:r>
        <w:rPr>
          <w:color w:val="000000"/>
          <w:sz w:val="22"/>
        </w:rPr>
        <w:t>)</w:t>
        <w:tab/>
      </w:r>
      <w:r>
        <w:rPr>
          <w:b/>
          <w:color w:val="000000"/>
          <w:sz w:val="22"/>
        </w:rPr>
        <w:t xml:space="preserve">“Early Termination”  </w:t>
      </w:r>
      <w:r>
        <w:rPr>
          <w:color w:val="000000"/>
          <w:sz w:val="22"/>
        </w:rPr>
        <w:t>Section 6(a) is hereby amended by inserting the words “or specified in Section 5(a)(ix) or Section 5(a)(x)”, after the words “or, to the extent analogous thereto, (8)” in line 8 thereof.</w:t>
      </w:r>
    </w:p>
    <w:p>
      <w:pPr>
        <w:pStyle w:val="Normal"/>
        <w:widowControl w:val="false"/>
        <w:spacing w:lineRule="atLeast" w:line="240"/>
        <w:ind w:hanging="720" w:start="720" w:end="0"/>
        <w:jc w:val="both"/>
        <w:rPr>
          <w:b/>
          <w:color w:val="000000"/>
          <w:sz w:val="22"/>
        </w:rPr>
      </w:pPr>
      <w:r>
        <w:rPr>
          <w:b/>
          <w:color w:val="000000"/>
          <w:sz w:val="22"/>
        </w:rPr>
      </w:r>
    </w:p>
    <w:p>
      <w:pPr>
        <w:pStyle w:val="Normal"/>
        <w:widowControl w:val="false"/>
        <w:spacing w:lineRule="atLeast" w:line="240"/>
        <w:ind w:hanging="720" w:start="720" w:end="0"/>
        <w:jc w:val="both"/>
        <w:rPr/>
      </w:pPr>
      <w:r>
        <w:rPr>
          <w:color w:val="000000"/>
          <w:sz w:val="22"/>
        </w:rPr>
        <w:t>(</w:t>
      </w:r>
      <w:r>
        <w:rPr>
          <w:color w:val="000000"/>
          <w:sz w:val="22"/>
          <w:lang w:eastAsia="ja-JP"/>
        </w:rPr>
        <w:t>l</w:t>
      </w:r>
      <w:r>
        <w:rPr>
          <w:color w:val="000000"/>
          <w:sz w:val="22"/>
        </w:rPr>
        <w:t>)</w:t>
      </w:r>
      <w:r>
        <w:rPr>
          <w:b/>
          <w:color w:val="000000"/>
          <w:sz w:val="22"/>
        </w:rPr>
        <w:tab/>
        <w:t>“Contractual Currency”</w:t>
      </w:r>
      <w:r>
        <w:rPr>
          <w:color w:val="000000"/>
          <w:sz w:val="22"/>
        </w:rPr>
        <w:t xml:space="preserve"> unless otherwise specified in a Confirmation, shall mean Yen.</w:t>
      </w:r>
    </w:p>
    <w:p>
      <w:pPr>
        <w:pStyle w:val="Heading2"/>
        <w:ind w:hanging="0" w:start="0"/>
        <w:rPr>
          <w:color w:val="000000"/>
          <w:sz w:val="22"/>
        </w:rPr>
      </w:pPr>
      <w:r>
        <w:rPr>
          <w:color w:val="000000"/>
          <w:sz w:val="22"/>
        </w:rPr>
      </w:r>
    </w:p>
    <w:p>
      <w:pPr>
        <w:pStyle w:val="Heading2"/>
        <w:ind w:hanging="0" w:start="0"/>
        <w:rPr/>
      </w:pPr>
      <w:r>
        <w:rPr/>
        <w:t xml:space="preserve">Rider D </w:t>
      </w:r>
      <w:r>
        <w:rPr/>
        <w:t>–</w:t>
      </w:r>
      <w:r>
        <w:rPr/>
        <w:t xml:space="preserve"> Part 3(b)</w:t>
      </w:r>
    </w:p>
    <w:p>
      <w:pPr>
        <w:pStyle w:val="Normal"/>
        <w:rPr>
          <w:lang w:eastAsia="ja-JP"/>
        </w:rPr>
      </w:pPr>
      <w:r>
        <w:rPr>
          <w:lang w:eastAsia="ja-JP"/>
        </w:rPr>
      </w:r>
    </w:p>
    <w:tbl>
      <w:tblPr>
        <w:tblW w:w="9756" w:type="dxa"/>
        <w:jc w:val="start"/>
        <w:tblInd w:w="0" w:type="dxa"/>
        <w:tblLayout w:type="fixed"/>
        <w:tblCellMar>
          <w:top w:w="0" w:type="dxa"/>
          <w:start w:w="216" w:type="dxa"/>
          <w:bottom w:w="0" w:type="dxa"/>
          <w:end w:w="216" w:type="dxa"/>
        </w:tblCellMar>
      </w:tblPr>
      <w:tblGrid>
        <w:gridCol w:w="1386"/>
        <w:gridCol w:w="3870"/>
        <w:gridCol w:w="2970"/>
        <w:gridCol w:w="1530"/>
      </w:tblGrid>
      <w:tr>
        <w:trPr/>
        <w:tc>
          <w:tcPr>
            <w:tcW w:w="1386" w:type="dxa"/>
            <w:tcBorders/>
          </w:tcPr>
          <w:p>
            <w:pPr>
              <w:pStyle w:val="Header"/>
              <w:widowControl/>
              <w:tabs>
                <w:tab w:val="clear" w:pos="4320"/>
                <w:tab w:val="clear" w:pos="8640"/>
              </w:tabs>
              <w:spacing w:lineRule="atLeast" w:line="240" w:before="240" w:after="0"/>
              <w:rPr>
                <w:color w:val="000000"/>
                <w:sz w:val="20"/>
              </w:rPr>
            </w:pPr>
            <w:r>
              <w:rPr>
                <w:color w:val="000000"/>
                <w:sz w:val="20"/>
              </w:rPr>
              <w:t>Party A and Party B</w:t>
            </w:r>
          </w:p>
        </w:tc>
        <w:tc>
          <w:tcPr>
            <w:tcW w:w="387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This Agreement (comprising the Master Agreement and this Schedule) duly executed by the representative director of the party.</w:t>
            </w:r>
          </w:p>
        </w:tc>
        <w:tc>
          <w:tcPr>
            <w:tcW w:w="2970" w:type="dxa"/>
            <w:tcBorders/>
          </w:tcPr>
          <w:p>
            <w:pPr>
              <w:pStyle w:val="Normal"/>
              <w:snapToGrid w:val="false"/>
              <w:spacing w:lineRule="atLeast" w:line="240" w:before="240" w:after="0"/>
              <w:rPr>
                <w:rFonts w:ascii="Times New Roman" w:hAnsi="Times New Roman" w:cs="Times New Roman"/>
                <w:color w:val="000000"/>
                <w:sz w:val="20"/>
              </w:rPr>
            </w:pPr>
            <w:r>
              <w:rPr>
                <w:rFonts w:cs="Times New Roman"/>
                <w:color w:val="000000"/>
                <w:sz w:val="20"/>
              </w:rPr>
            </w:r>
          </w:p>
        </w:tc>
        <w:tc>
          <w:tcPr>
            <w:tcW w:w="1530" w:type="dxa"/>
            <w:tcBorders/>
          </w:tcPr>
          <w:p>
            <w:pPr>
              <w:pStyle w:val="Normal"/>
              <w:snapToGrid w:val="false"/>
              <w:spacing w:lineRule="atLeast" w:line="240" w:before="240" w:after="0"/>
              <w:rPr>
                <w:color w:val="000000"/>
              </w:rPr>
            </w:pPr>
            <w:r>
              <w:rPr>
                <w:color w:val="000000"/>
              </w:rPr>
            </w:r>
          </w:p>
        </w:tc>
      </w:tr>
      <w:tr>
        <w:trPr/>
        <w:tc>
          <w:tcPr>
            <w:tcW w:w="1386" w:type="dxa"/>
            <w:tcBorders/>
          </w:tcPr>
          <w:p>
            <w:pPr>
              <w:pStyle w:val="Normal"/>
              <w:spacing w:lineRule="atLeast" w:line="240" w:before="240" w:after="0"/>
              <w:rPr>
                <w:b/>
                <w:color w:val="000000"/>
              </w:rPr>
            </w:pPr>
            <w:r>
              <w:rPr>
                <w:color w:val="000000"/>
              </w:rPr>
              <w:t>Party B</w:t>
            </w:r>
          </w:p>
        </w:tc>
        <w:tc>
          <w:tcPr>
            <w:tcW w:w="38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lang w:eastAsia="ja-JP"/>
              </w:rPr>
              <w:t xml:space="preserve">The Enron Corp. Guaranty referred to </w:t>
            </w:r>
            <w:r>
              <w:rPr>
                <w:rFonts w:cs="Times New Roman" w:ascii="Times New Roman" w:hAnsi="Times New Roman"/>
                <w:color w:val="000000"/>
                <w:sz w:val="20"/>
              </w:rPr>
              <w:t>in Part 4(</w:t>
            </w:r>
            <w:r>
              <w:rPr>
                <w:rFonts w:cs="Times New Roman" w:ascii="Times New Roman" w:hAnsi="Times New Roman"/>
                <w:color w:val="000000"/>
                <w:sz w:val="20"/>
                <w:lang w:eastAsia="ja-JP"/>
              </w:rPr>
              <w:t>f</w:t>
            </w:r>
            <w:r>
              <w:rPr>
                <w:rFonts w:cs="Times New Roman" w:ascii="Times New Roman" w:hAnsi="Times New Roman"/>
                <w:color w:val="000000"/>
                <w:sz w:val="20"/>
              </w:rPr>
              <w:t>) duly executed</w:t>
            </w:r>
            <w:r>
              <w:rPr>
                <w:rFonts w:cs="Times New Roman" w:ascii="Times New Roman" w:hAnsi="Times New Roman"/>
                <w:color w:val="000000"/>
                <w:sz w:val="20"/>
                <w:lang w:eastAsia="ja-JP"/>
              </w:rPr>
              <w:t xml:space="preserve"> </w:t>
            </w:r>
            <w:r>
              <w:rPr>
                <w:rFonts w:cs="Times New Roman" w:ascii="Times New Roman" w:hAnsi="Times New Roman"/>
                <w:color w:val="000000"/>
                <w:sz w:val="20"/>
              </w:rPr>
              <w:t>by a duly authorised officer of Enron Corp.</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rPr>
                <w:color w:val="000000"/>
              </w:rPr>
            </w:pPr>
            <w:r>
              <w:rPr>
                <w:color w:val="000000"/>
              </w:rPr>
              <w:t>Party A and Party B</w:t>
            </w:r>
          </w:p>
        </w:tc>
        <w:tc>
          <w:tcPr>
            <w:tcW w:w="3870" w:type="dxa"/>
            <w:tcBorders/>
          </w:tcPr>
          <w:p>
            <w:pPr>
              <w:pStyle w:val="Heading2"/>
              <w:spacing w:before="240" w:after="0"/>
              <w:ind w:hanging="0" w:start="0"/>
              <w:jc w:val="both"/>
              <w:rPr/>
            </w:pPr>
            <w:r>
              <w:rPr>
                <w:b w:val="false"/>
                <w:bCs w:val="false"/>
                <w:color w:val="000000"/>
                <w:sz w:val="20"/>
              </w:rPr>
              <w:t>The corporate register (</w:t>
            </w:r>
            <w:r>
              <w:rPr>
                <w:b w:val="false"/>
                <w:bCs w:val="false"/>
                <w:i/>
                <w:color w:val="000000"/>
                <w:sz w:val="20"/>
              </w:rPr>
              <w:t>tokibo tohon</w:t>
            </w:r>
            <w:r>
              <w:rPr>
                <w:b w:val="false"/>
                <w:bCs w:val="false"/>
                <w:color w:val="000000"/>
                <w:sz w:val="20"/>
              </w:rPr>
              <w:t>), articles of incorporation (</w:t>
            </w:r>
            <w:r>
              <w:rPr>
                <w:b w:val="false"/>
                <w:bCs w:val="false"/>
                <w:i/>
                <w:color w:val="000000"/>
                <w:sz w:val="20"/>
              </w:rPr>
              <w:t>teikan</w:t>
            </w:r>
            <w:r>
              <w:rPr>
                <w:b w:val="false"/>
                <w:bCs w:val="false"/>
                <w:color w:val="000000"/>
                <w:sz w:val="20"/>
              </w:rPr>
              <w:t>) and board rules (</w:t>
            </w:r>
            <w:r>
              <w:rPr>
                <w:b w:val="false"/>
                <w:bCs w:val="false"/>
                <w:i/>
                <w:color w:val="000000"/>
                <w:sz w:val="20"/>
              </w:rPr>
              <w:t>torishimariya-kai ketsugi</w:t>
            </w:r>
            <w:r>
              <w:rPr>
                <w:b w:val="false"/>
                <w:bCs w:val="false"/>
                <w:color w:val="000000"/>
                <w:sz w:val="20"/>
              </w:rPr>
              <w:t>) (if any) of each party and its Credit Support Providers (if any) or, in the case of the Enron Corp. Guaranty, evidence of corporate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rPr>
                <w:color w:val="000000"/>
              </w:rPr>
            </w:pPr>
            <w:r>
              <w:rPr>
                <w:color w:val="000000"/>
              </w:rPr>
              <w:t>Party B</w:t>
            </w:r>
          </w:p>
        </w:tc>
        <w:tc>
          <w:tcPr>
            <w:tcW w:w="3870" w:type="dxa"/>
            <w:tcBorders/>
          </w:tcPr>
          <w:p>
            <w:pPr>
              <w:pStyle w:val="Heading2"/>
              <w:spacing w:before="240" w:after="0"/>
              <w:ind w:hanging="0" w:start="0"/>
              <w:rPr/>
            </w:pPr>
            <w:r>
              <w:rPr/>
              <w:t xml:space="preserve">The seal certificate or signature certificate (as applicable) for the representative director of the party and its Credit Support Providers (if any) </w:t>
            </w:r>
            <w:r>
              <w:rPr>
                <w:color w:val="000000"/>
              </w:rPr>
              <w:t>or, in the case of the Enron Corp. Guaranty, evidence of signing authority.</w:t>
            </w:r>
          </w:p>
        </w:tc>
        <w:tc>
          <w:tcPr>
            <w:tcW w:w="2970" w:type="dxa"/>
            <w:tcBorders/>
          </w:tcPr>
          <w:p>
            <w:pPr>
              <w:pStyle w:val="Normal"/>
              <w:spacing w:lineRule="atLeast" w:line="240" w:before="240" w:after="0"/>
              <w:jc w:val="both"/>
              <w:rPr>
                <w:b/>
                <w:color w:val="000000"/>
              </w:rPr>
            </w:pPr>
            <w:r>
              <w:rPr>
                <w:color w:val="000000"/>
              </w:rPr>
              <w:t>At execution of this Master Agreement.</w:t>
            </w:r>
          </w:p>
        </w:tc>
        <w:tc>
          <w:tcPr>
            <w:tcW w:w="153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386" w:type="dxa"/>
            <w:tcBorders/>
          </w:tcPr>
          <w:p>
            <w:pPr>
              <w:pStyle w:val="Normal"/>
              <w:spacing w:lineRule="atLeast" w:line="240" w:before="240" w:after="0"/>
              <w:jc w:val="both"/>
              <w:rPr>
                <w:color w:val="000000"/>
              </w:rPr>
            </w:pPr>
            <w:r>
              <w:rPr>
                <w:color w:val="000000"/>
              </w:rPr>
              <w:t xml:space="preserve">Party </w:t>
            </w:r>
            <w:r>
              <w:rPr>
                <w:color w:val="000000"/>
                <w:lang w:eastAsia="ja-JP"/>
              </w:rPr>
              <w:t>B</w:t>
            </w:r>
          </w:p>
        </w:tc>
        <w:tc>
          <w:tcPr>
            <w:tcW w:w="3870" w:type="dxa"/>
            <w:tcBorders/>
          </w:tcPr>
          <w:p>
            <w:pPr>
              <w:pStyle w:val="Normal"/>
              <w:spacing w:lineRule="atLeast" w:line="240" w:before="240" w:after="0"/>
              <w:jc w:val="both"/>
              <w:rPr>
                <w:b/>
                <w:color w:val="000000"/>
              </w:rPr>
            </w:pPr>
            <w:r>
              <w:rPr>
                <w:color w:val="000000"/>
              </w:rPr>
              <w:t>Annual Audited Consolidated Financial Statement of Enron Corp. certified by independent public accountants.</w:t>
            </w:r>
          </w:p>
        </w:tc>
        <w:tc>
          <w:tcPr>
            <w:tcW w:w="2970" w:type="dxa"/>
            <w:tcBorders/>
          </w:tcPr>
          <w:p>
            <w:pPr>
              <w:pStyle w:val="Justified"/>
              <w:widowControl/>
              <w:spacing w:lineRule="atLeast" w:line="240" w:before="240" w:after="0"/>
              <w:rPr>
                <w:rFonts w:ascii="Times New Roman" w:hAnsi="Times New Roman" w:cs="Times New Roman"/>
                <w:b/>
                <w:color w:val="000000"/>
                <w:sz w:val="20"/>
              </w:rPr>
            </w:pPr>
            <w:r>
              <w:rPr>
                <w:rFonts w:cs="Times New Roman" w:ascii="Times New Roman" w:hAnsi="Times New Roman"/>
                <w:color w:val="000000"/>
                <w:sz w:val="20"/>
              </w:rPr>
              <w:t>Promptly following demand by Party B, but in no event later than 120 days after the end of each fiscal year of Enron Corp. if such Financial Statement is not available on “EDGAR” or Enron Corp’s  home page on the World Wide Web at www.enron.com</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pPr>
            <w:r>
              <w:rPr>
                <w:color w:val="000000"/>
              </w:rPr>
              <w:t xml:space="preserve">Party </w:t>
            </w:r>
            <w:r>
              <w:rPr>
                <w:color w:val="000000"/>
                <w:lang w:eastAsia="ja-JP"/>
              </w:rPr>
              <w:t>B</w:t>
            </w:r>
          </w:p>
        </w:tc>
        <w:tc>
          <w:tcPr>
            <w:tcW w:w="3870" w:type="dxa"/>
            <w:tcBorders/>
          </w:tcPr>
          <w:p>
            <w:pPr>
              <w:pStyle w:val="Normal"/>
              <w:spacing w:lineRule="atLeast" w:line="240" w:before="240" w:after="0"/>
              <w:jc w:val="both"/>
              <w:rPr>
                <w:b/>
                <w:color w:val="000000"/>
              </w:rPr>
            </w:pPr>
            <w:r>
              <w:rPr>
                <w:color w:val="000000"/>
              </w:rPr>
              <w:t>Quarterly Unaudited Consolidated Financial Statement of Enron Corp.</w:t>
            </w:r>
          </w:p>
        </w:tc>
        <w:tc>
          <w:tcPr>
            <w:tcW w:w="2970" w:type="dxa"/>
            <w:tcBorders/>
          </w:tcPr>
          <w:p>
            <w:pPr>
              <w:pStyle w:val="Justified"/>
              <w:widowControl/>
              <w:spacing w:lineRule="atLeast" w:line="240" w:before="240" w:after="0"/>
              <w:rPr/>
            </w:pPr>
            <w:r>
              <w:rPr>
                <w:rFonts w:cs="Times New Roman" w:ascii="Times New Roman" w:hAnsi="Times New Roman"/>
                <w:color w:val="000000"/>
                <w:sz w:val="20"/>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color w:val="000000"/>
                <w:sz w:val="20"/>
              </w:rPr>
              <w:t xml:space="preserve"> </w:t>
            </w:r>
          </w:p>
        </w:tc>
        <w:tc>
          <w:tcPr>
            <w:tcW w:w="1530" w:type="dxa"/>
            <w:tcBorders/>
          </w:tcPr>
          <w:p>
            <w:pPr>
              <w:pStyle w:val="Normal"/>
              <w:spacing w:lineRule="atLeast" w:line="240" w:before="240" w:after="0"/>
              <w:jc w:val="both"/>
              <w:rPr>
                <w:b/>
                <w:color w:val="000000"/>
              </w:rPr>
            </w:pPr>
            <w:r>
              <w:rPr>
                <w:color w:val="000000"/>
              </w:rPr>
              <w:t>Yes</w:t>
            </w:r>
          </w:p>
        </w:tc>
      </w:tr>
      <w:tr>
        <w:trPr/>
        <w:tc>
          <w:tcPr>
            <w:tcW w:w="1386" w:type="dxa"/>
            <w:tcBorders/>
          </w:tcPr>
          <w:p>
            <w:pPr>
              <w:pStyle w:val="Normal"/>
              <w:spacing w:lineRule="atLeast" w:line="240" w:before="240" w:after="0"/>
              <w:jc w:val="both"/>
              <w:rPr>
                <w:color w:val="000000"/>
              </w:rPr>
            </w:pPr>
            <w:r>
              <w:rPr>
                <w:color w:val="000000"/>
              </w:rPr>
              <w:t xml:space="preserve">Party </w:t>
            </w:r>
            <w:r>
              <w:rPr>
                <w:color w:val="000000"/>
                <w:lang w:eastAsia="ja-JP"/>
              </w:rPr>
              <w:t>A</w:t>
            </w:r>
          </w:p>
        </w:tc>
        <w:tc>
          <w:tcPr>
            <w:tcW w:w="3870" w:type="dxa"/>
            <w:tcBorders/>
          </w:tcPr>
          <w:p>
            <w:pPr>
              <w:pStyle w:val="Normal"/>
              <w:spacing w:lineRule="atLeast" w:line="240" w:before="240" w:after="0"/>
              <w:jc w:val="both"/>
              <w:rPr/>
            </w:pPr>
            <w:r>
              <w:rPr>
                <w:color w:val="000000"/>
              </w:rPr>
              <w:t xml:space="preserve">Annual Audited Consolidated Financial Statements of Party </w:t>
            </w:r>
            <w:r>
              <w:rPr>
                <w:color w:val="000000"/>
                <w:lang w:eastAsia="ja-JP"/>
              </w:rPr>
              <w:t>A</w:t>
            </w:r>
            <w:r>
              <w:rPr>
                <w:color w:val="000000"/>
              </w:rPr>
              <w:t xml:space="preserve"> certified by independent public accountants.</w:t>
            </w:r>
          </w:p>
        </w:tc>
        <w:tc>
          <w:tcPr>
            <w:tcW w:w="2970" w:type="dxa"/>
            <w:tcBorders/>
          </w:tcPr>
          <w:p>
            <w:pPr>
              <w:pStyle w:val="Justified"/>
              <w:widowControl/>
              <w:spacing w:lineRule="atLeast" w:line="240" w:before="240" w:after="0"/>
              <w:rPr/>
            </w:pPr>
            <w:r>
              <w:rPr>
                <w:rFonts w:cs="Times New Roman" w:ascii="Times New Roman" w:hAnsi="Times New Roman"/>
                <w:color w:val="000000"/>
                <w:sz w:val="20"/>
              </w:rPr>
              <w:t xml:space="preserve">Promptly following demand by Party A, but in no event later than 120 days after the end of each fiscal year of Party </w:t>
            </w:r>
            <w:r>
              <w:rPr>
                <w:rFonts w:cs="Times New Roman" w:ascii="Times New Roman" w:hAnsi="Times New Roman"/>
                <w:color w:val="000000"/>
                <w:sz w:val="20"/>
                <w:lang w:eastAsia="ja-JP"/>
              </w:rPr>
              <w:t>A</w:t>
            </w:r>
            <w:r>
              <w:rPr>
                <w:rFonts w:cs="Times New Roman" w:ascii="Times New Roman" w:hAnsi="Times New Roman"/>
                <w:color w:val="000000"/>
                <w:sz w:val="20"/>
              </w:rPr>
              <w:t>.</w:t>
            </w:r>
          </w:p>
        </w:tc>
        <w:tc>
          <w:tcPr>
            <w:tcW w:w="1530" w:type="dxa"/>
            <w:tcBorders/>
          </w:tcPr>
          <w:p>
            <w:pPr>
              <w:pStyle w:val="Justified"/>
              <w:widowControl/>
              <w:spacing w:lineRule="atLeast" w:line="240" w:before="240" w:after="0"/>
              <w:rPr>
                <w:rFonts w:ascii="Times New Roman" w:hAnsi="Times New Roman" w:cs="Times New Roman"/>
                <w:color w:val="000000"/>
                <w:sz w:val="20"/>
              </w:rPr>
            </w:pPr>
            <w:r>
              <w:rPr>
                <w:rFonts w:cs="Times New Roman" w:ascii="Times New Roman" w:hAnsi="Times New Roman"/>
                <w:color w:val="000000"/>
                <w:sz w:val="20"/>
              </w:rPr>
              <w:t>Yes</w:t>
            </w:r>
          </w:p>
        </w:tc>
      </w:tr>
      <w:tr>
        <w:trPr/>
        <w:tc>
          <w:tcPr>
            <w:tcW w:w="1386" w:type="dxa"/>
            <w:tcBorders/>
          </w:tcPr>
          <w:p>
            <w:pPr>
              <w:pStyle w:val="Normal"/>
              <w:spacing w:lineRule="atLeast" w:line="240" w:before="240" w:after="0"/>
              <w:jc w:val="both"/>
              <w:rPr/>
            </w:pPr>
            <w:r>
              <w:rPr>
                <w:color w:val="000000"/>
              </w:rPr>
              <w:t xml:space="preserve">Party </w:t>
            </w:r>
            <w:r>
              <w:rPr>
                <w:color w:val="000000"/>
                <w:lang w:eastAsia="ja-JP"/>
              </w:rPr>
              <w:t>A</w:t>
            </w:r>
          </w:p>
        </w:tc>
        <w:tc>
          <w:tcPr>
            <w:tcW w:w="3870" w:type="dxa"/>
            <w:tcBorders/>
          </w:tcPr>
          <w:p>
            <w:pPr>
              <w:pStyle w:val="Normal"/>
              <w:spacing w:lineRule="atLeast" w:line="240" w:before="240" w:after="0"/>
              <w:jc w:val="both"/>
              <w:rPr/>
            </w:pPr>
            <w:r>
              <w:rPr>
                <w:color w:val="000000"/>
              </w:rPr>
              <w:t>Semi-annual</w:t>
            </w:r>
            <w:r>
              <w:rPr>
                <w:color w:val="000000"/>
                <w:lang w:eastAsia="ja-JP"/>
              </w:rPr>
              <w:t xml:space="preserve"> </w:t>
            </w:r>
            <w:r>
              <w:rPr>
                <w:color w:val="000000"/>
              </w:rPr>
              <w:t xml:space="preserve">Unaudited Consolidated Financial Statement of Party </w:t>
            </w:r>
            <w:r>
              <w:rPr>
                <w:color w:val="000000"/>
                <w:lang w:eastAsia="ja-JP"/>
              </w:rPr>
              <w:t>A</w:t>
            </w:r>
            <w:r>
              <w:rPr>
                <w:color w:val="000000"/>
              </w:rPr>
              <w:t>.</w:t>
            </w:r>
          </w:p>
        </w:tc>
        <w:tc>
          <w:tcPr>
            <w:tcW w:w="2970" w:type="dxa"/>
            <w:tcBorders/>
          </w:tcPr>
          <w:p>
            <w:pPr>
              <w:pStyle w:val="Normal"/>
              <w:spacing w:lineRule="atLeast" w:line="240" w:before="240" w:after="0"/>
              <w:jc w:val="both"/>
              <w:rPr/>
            </w:pPr>
            <w:r>
              <w:rPr>
                <w:color w:val="000000"/>
              </w:rPr>
              <w:t xml:space="preserve">Promptly following demand by Party A, but in no event later than 60 days after the end of each of the first three fiscal quarters of each fiscal year of Party </w:t>
            </w:r>
            <w:r>
              <w:rPr>
                <w:color w:val="000000"/>
                <w:lang w:eastAsia="ja-JP"/>
              </w:rPr>
              <w:t>A</w:t>
            </w:r>
            <w:r>
              <w:rPr>
                <w:color w:val="000000"/>
              </w:rPr>
              <w:t>.</w:t>
            </w:r>
          </w:p>
        </w:tc>
        <w:tc>
          <w:tcPr>
            <w:tcW w:w="1530" w:type="dxa"/>
            <w:tcBorders/>
          </w:tcPr>
          <w:p>
            <w:pPr>
              <w:pStyle w:val="Normal"/>
              <w:spacing w:lineRule="atLeast" w:line="240" w:before="240" w:after="0"/>
              <w:jc w:val="both"/>
              <w:rPr>
                <w:color w:val="000000"/>
              </w:rPr>
            </w:pPr>
            <w:r>
              <w:rPr>
                <w:color w:val="000000"/>
              </w:rPr>
              <w:t>Yes</w:t>
            </w:r>
          </w:p>
        </w:tc>
      </w:tr>
    </w:tbl>
    <w:p>
      <w:pPr>
        <w:pStyle w:val="Heading2"/>
        <w:ind w:hanging="0" w:start="0"/>
        <w:rPr/>
      </w:pPr>
      <w:r>
        <w:rPr/>
      </w:r>
    </w:p>
    <w:p>
      <w:pPr>
        <w:pStyle w:val="Heading2"/>
        <w:ind w:hanging="0" w:start="0"/>
        <w:rPr/>
      </w:pPr>
      <w:r>
        <w:rPr/>
        <w:t xml:space="preserve">Rider E </w:t>
      </w:r>
      <w:r>
        <w:rPr/>
        <w:t>–</w:t>
      </w:r>
      <w:r>
        <w:rPr/>
        <w:t xml:space="preserve"> Part 4(a)</w:t>
      </w:r>
    </w:p>
    <w:p>
      <w:pPr>
        <w:pStyle w:val="Normal"/>
        <w:rPr>
          <w:lang w:eastAsia="ja-JP"/>
        </w:rPr>
      </w:pPr>
      <w:r>
        <w:rPr>
          <w:lang w:eastAsia="ja-JP"/>
        </w:rPr>
      </w:r>
    </w:p>
    <w:p>
      <w:pPr>
        <w:pStyle w:val="Normal"/>
        <w:rPr>
          <w:lang w:eastAsia="ja-JP"/>
        </w:rPr>
      </w:pPr>
      <w:r>
        <w:rPr>
          <w:color w:val="000000"/>
          <w:sz w:val="22"/>
        </w:rPr>
        <w:t xml:space="preserve">Section 12(a) is hereby amended to delete the following phrase from the second and third line thereof:  “(except that a notice or other communication under Section 5 or 6 may not be given by facsimile transmission or electronic messaging system)”.  </w:t>
      </w:r>
    </w:p>
    <w:p>
      <w:pPr>
        <w:pStyle w:val="Heading2"/>
        <w:ind w:hanging="0" w:start="0"/>
        <w:rPr>
          <w:lang w:eastAsia="ja-JP"/>
        </w:rPr>
      </w:pPr>
      <w:r>
        <w:rPr>
          <w:lang w:eastAsia="ja-JP"/>
        </w:rPr>
      </w:r>
    </w:p>
    <w:p>
      <w:pPr>
        <w:pStyle w:val="Heading2"/>
        <w:ind w:hanging="0" w:start="0"/>
        <w:rPr/>
      </w:pPr>
      <w:r>
        <w:rPr/>
        <w:t xml:space="preserve">Rider F </w:t>
      </w:r>
      <w:r>
        <w:rPr/>
        <w:t>–</w:t>
      </w:r>
      <w:r>
        <w:rPr/>
        <w:t xml:space="preserve"> Part 4(a)</w:t>
      </w:r>
    </w:p>
    <w:p>
      <w:pPr>
        <w:pStyle w:val="Normal"/>
        <w:rPr>
          <w:lang w:eastAsia="ja-JP"/>
        </w:rPr>
      </w:pPr>
      <w:r>
        <w:rPr>
          <w:lang w:eastAsia="ja-JP"/>
        </w:rPr>
      </w:r>
    </w:p>
    <w:p>
      <w:pPr>
        <w:pStyle w:val="Normal"/>
        <w:tabs>
          <w:tab w:val="clear" w:pos="720"/>
          <w:tab w:val="left" w:pos="4230" w:leader="none"/>
          <w:tab w:val="left" w:pos="9360" w:leader="none"/>
        </w:tabs>
        <w:spacing w:lineRule="exact" w:line="240"/>
        <w:jc w:val="both"/>
        <w:rPr/>
      </w:pPr>
      <w:r>
        <w:rPr>
          <w:color w:val="000000"/>
          <w:sz w:val="22"/>
        </w:rPr>
        <w:t xml:space="preserve">A copy of any notice sent to Party </w:t>
      </w:r>
      <w:r>
        <w:rPr>
          <w:color w:val="000000"/>
          <w:sz w:val="22"/>
          <w:lang w:eastAsia="ja-JP"/>
        </w:rPr>
        <w:t>B</w:t>
      </w:r>
      <w:r>
        <w:rPr>
          <w:color w:val="000000"/>
          <w:sz w:val="22"/>
        </w:rPr>
        <w:t xml:space="preserve"> pursuant to Section 5 or 6 or </w:t>
      </w:r>
      <w:r>
        <w:rPr>
          <w:color w:val="000000"/>
          <w:sz w:val="22"/>
          <w:u w:val="single"/>
        </w:rPr>
        <w:t>Annex A</w:t>
      </w:r>
      <w:r>
        <w:rPr>
          <w:color w:val="000000"/>
          <w:sz w:val="22"/>
        </w:rPr>
        <w:t xml:space="preserve"> must also be sent to:</w:t>
      </w:r>
    </w:p>
    <w:p>
      <w:pPr>
        <w:pStyle w:val="Normal"/>
        <w:tabs>
          <w:tab w:val="clear" w:pos="720"/>
          <w:tab w:val="left" w:pos="4230" w:leader="none"/>
          <w:tab w:val="left" w:pos="9360" w:leader="none"/>
        </w:tabs>
        <w:spacing w:lineRule="exact" w:line="240"/>
        <w:ind w:firstLine="900" w:end="0"/>
        <w:jc w:val="both"/>
        <w:rPr>
          <w:color w:val="000000"/>
          <w:sz w:val="22"/>
        </w:rPr>
      </w:pPr>
      <w:r>
        <w:rPr>
          <w:color w:val="000000"/>
          <w:sz w:val="22"/>
        </w:rPr>
      </w:r>
    </w:p>
    <w:p>
      <w:pPr>
        <w:pStyle w:val="BodyText"/>
        <w:rPr/>
      </w:pPr>
      <w:r>
        <w:rPr/>
        <w:t xml:space="preserve">(i) </w:t>
        <w:tab/>
        <w:t xml:space="preserve">Enron Corp., Attention:  Corporate Secretary at 1400 Smith Street, Houston, Texas  77002 and facsimile no. (713) 853-2534, and </w:t>
      </w:r>
    </w:p>
    <w:p>
      <w:pPr>
        <w:pStyle w:val="Normal"/>
        <w:spacing w:lineRule="exact" w:line="240"/>
        <w:ind w:firstLine="900" w:end="0"/>
        <w:jc w:val="both"/>
        <w:rPr>
          <w:color w:val="000000"/>
          <w:sz w:val="22"/>
        </w:rPr>
      </w:pPr>
      <w:r>
        <w:rPr>
          <w:color w:val="000000"/>
          <w:sz w:val="22"/>
        </w:rPr>
      </w:r>
    </w:p>
    <w:p>
      <w:pPr>
        <w:pStyle w:val="Normal"/>
        <w:spacing w:lineRule="exact" w:line="240"/>
        <w:jc w:val="both"/>
        <w:rPr/>
      </w:pPr>
      <w:r>
        <w:rPr>
          <w:color w:val="000000"/>
          <w:sz w:val="22"/>
        </w:rPr>
        <w:t xml:space="preserve">(ii) </w:t>
        <w:tab/>
        <w:t xml:space="preserve">Enron </w:t>
      </w:r>
      <w:r>
        <w:rPr>
          <w:color w:val="000000"/>
          <w:sz w:val="22"/>
          <w:lang w:eastAsia="ja-JP"/>
        </w:rPr>
        <w:t>Glbal Markets</w:t>
      </w:r>
      <w:r>
        <w:rPr>
          <w:color w:val="000000"/>
          <w:sz w:val="22"/>
        </w:rPr>
        <w:t>, Attention:  Assistant General Counsel, Trading Group at 1400 Smith Street Houston, Texas 77002 and facsimile no. (713) 646-4818.</w:t>
      </w:r>
    </w:p>
    <w:p>
      <w:pPr>
        <w:pStyle w:val="Heading2"/>
        <w:ind w:hanging="0" w:start="0"/>
        <w:rPr>
          <w:color w:val="000000"/>
          <w:sz w:val="22"/>
        </w:rPr>
      </w:pPr>
      <w:r>
        <w:rPr>
          <w:color w:val="000000"/>
          <w:sz w:val="22"/>
        </w:rPr>
      </w:r>
    </w:p>
    <w:p>
      <w:pPr>
        <w:pStyle w:val="Heading2"/>
        <w:ind w:hanging="0" w:start="0"/>
        <w:rPr/>
      </w:pPr>
      <w:r>
        <w:rPr/>
        <w:t xml:space="preserve">Rider G </w:t>
      </w:r>
      <w:r>
        <w:rPr/>
        <w:t>–</w:t>
      </w:r>
      <w:r>
        <w:rPr/>
        <w:t xml:space="preserve"> Part 4(f)</w:t>
      </w:r>
    </w:p>
    <w:p>
      <w:pPr>
        <w:pStyle w:val="Normal"/>
        <w:numPr>
          <w:ilvl w:val="0"/>
          <w:numId w:val="2"/>
        </w:numPr>
        <w:tabs>
          <w:tab w:val="clear" w:pos="720"/>
        </w:tabs>
        <w:spacing w:lineRule="exact" w:line="240" w:before="240" w:after="0"/>
        <w:ind w:hanging="0" w:start="0" w:end="0"/>
        <w:jc w:val="both"/>
        <w:rPr>
          <w:color w:val="000000"/>
          <w:sz w:val="22"/>
          <w:lang w:eastAsia="ja-JP"/>
        </w:rPr>
      </w:pPr>
      <w:r>
        <w:rPr>
          <w:b/>
          <w:color w:val="000000"/>
          <w:sz w:val="22"/>
        </w:rPr>
        <w:t>Credit Support Documents.</w:t>
      </w:r>
      <w:r>
        <w:rPr>
          <w:color w:val="000000"/>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w:t>
      </w:r>
      <w:r>
        <w:rPr>
          <w:color w:val="000000"/>
          <w:sz w:val="22"/>
          <w:lang w:eastAsia="ja-JP"/>
        </w:rPr>
        <w:t>A</w:t>
      </w:r>
      <w:r>
        <w:rPr>
          <w:color w:val="000000"/>
          <w:sz w:val="22"/>
        </w:rPr>
        <w:t xml:space="preserve"> as beneficiary thereof in the form attached hereto as </w:t>
      </w:r>
      <w:r>
        <w:rPr>
          <w:color w:val="000000"/>
          <w:sz w:val="22"/>
          <w:u w:val="single"/>
        </w:rPr>
        <w:t>Exhibit A</w:t>
      </w:r>
      <w:r>
        <w:rPr>
          <w:color w:val="000000"/>
          <w:sz w:val="22"/>
        </w:rPr>
        <w:t xml:space="preserve">, and (ii) ISDA Credit Support Annex attached hereto as </w:t>
      </w:r>
      <w:r>
        <w:rPr>
          <w:color w:val="000000"/>
          <w:sz w:val="22"/>
          <w:u w:val="single"/>
        </w:rPr>
        <w:t>Annex A</w:t>
      </w:r>
      <w:r>
        <w:rPr>
          <w:color w:val="000000"/>
          <w:sz w:val="22"/>
        </w:rPr>
        <w:t>.</w:t>
      </w:r>
    </w:p>
    <w:p>
      <w:pPr>
        <w:pStyle w:val="Normal"/>
        <w:spacing w:lineRule="exact" w:line="240" w:before="240" w:after="0"/>
        <w:jc w:val="both"/>
        <w:rPr>
          <w:color w:val="000000"/>
          <w:sz w:val="22"/>
          <w:lang w:eastAsia="ja-JP"/>
        </w:rPr>
      </w:pPr>
      <w:r>
        <w:rPr>
          <w:color w:val="000000"/>
          <w:sz w:val="22"/>
          <w:lang w:eastAsia="ja-JP"/>
        </w:rPr>
      </w:r>
    </w:p>
    <w:p>
      <w:pPr>
        <w:pStyle w:val="Normal"/>
        <w:spacing w:lineRule="exact" w:line="240" w:before="240" w:after="0"/>
        <w:ind w:hanging="720" w:start="720" w:end="0"/>
        <w:jc w:val="both"/>
        <w:rPr/>
      </w:pPr>
      <w:r>
        <w:rPr>
          <w:b/>
          <w:bCs/>
          <w:color w:val="000000"/>
          <w:sz w:val="22"/>
          <w:lang w:eastAsia="ja-JP"/>
        </w:rPr>
        <w:t xml:space="preserve">Rider H </w:t>
      </w:r>
      <w:r>
        <w:rPr>
          <w:b/>
          <w:bCs/>
          <w:color w:val="000000"/>
          <w:sz w:val="22"/>
          <w:lang w:eastAsia="ja-JP"/>
        </w:rPr>
        <w:t>–</w:t>
      </w:r>
      <w:r>
        <w:rPr>
          <w:b/>
          <w:bCs/>
          <w:color w:val="000000"/>
          <w:sz w:val="22"/>
          <w:lang w:eastAsia="ja-JP"/>
        </w:rPr>
        <w:t xml:space="preserve"> Part 5(p) </w:t>
      </w:r>
      <w:r>
        <w:rPr>
          <w:b/>
          <w:bCs/>
          <w:color w:val="000000"/>
          <w:sz w:val="22"/>
          <w:lang w:eastAsia="ja-JP"/>
        </w:rPr>
        <w:t>–</w:t>
      </w:r>
      <w:r>
        <w:rPr>
          <w:b/>
          <w:bCs/>
          <w:color w:val="000000"/>
          <w:sz w:val="22"/>
          <w:lang w:eastAsia="ja-JP"/>
        </w:rPr>
        <w:t xml:space="preserve"> (x)</w:t>
      </w:r>
    </w:p>
    <w:p>
      <w:pPr>
        <w:pStyle w:val="Normal"/>
        <w:spacing w:lineRule="exact" w:line="240" w:before="240" w:after="0"/>
        <w:ind w:hanging="720" w:start="720" w:end="0"/>
        <w:jc w:val="both"/>
        <w:rPr>
          <w:color w:val="000000"/>
          <w:sz w:val="22"/>
          <w:lang w:eastAsia="ja-JP"/>
        </w:rPr>
      </w:pPr>
      <w:r>
        <w:rPr>
          <w:color w:val="000000"/>
          <w:sz w:val="22"/>
        </w:rPr>
        <w:t>(</w:t>
      </w:r>
      <w:r>
        <w:rPr>
          <w:color w:val="000000"/>
          <w:sz w:val="22"/>
          <w:lang w:eastAsia="ja-JP"/>
        </w:rPr>
        <w:t>p</w:t>
      </w:r>
      <w:r>
        <w:rPr>
          <w:color w:val="000000"/>
          <w:sz w:val="22"/>
        </w:rPr>
        <w:t>)</w:t>
        <w:tab/>
      </w:r>
      <w:r>
        <w:rPr>
          <w:b/>
          <w:color w:val="000000"/>
          <w:sz w:val="22"/>
        </w:rPr>
        <w:t>Conditions Precedent.</w:t>
      </w:r>
      <w:r>
        <w:rPr>
          <w:color w:val="000000"/>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hanging="720" w:start="720" w:end="0"/>
        <w:jc w:val="both"/>
        <w:rPr>
          <w:color w:val="000000"/>
          <w:sz w:val="22"/>
          <w:lang w:eastAsia="ja-JP"/>
        </w:rPr>
      </w:pPr>
      <w:r>
        <w:rPr>
          <w:color w:val="000000"/>
          <w:sz w:val="22"/>
          <w:lang w:eastAsia="ja-JP"/>
        </w:rPr>
        <w:t>(q)</w:t>
        <w:tab/>
      </w:r>
      <w:r>
        <w:rPr>
          <w:b/>
          <w:color w:val="000000"/>
          <w:sz w:val="22"/>
        </w:rPr>
        <w:t>Reference Market-makers.</w:t>
      </w:r>
      <w:r>
        <w:rPr>
          <w:color w:val="000000"/>
          <w:sz w:val="22"/>
        </w:rPr>
        <w:t xml:space="preserve">  The definition of </w:t>
      </w:r>
      <w:r>
        <w:rPr>
          <w:b/>
          <w:color w:val="000000"/>
          <w:sz w:val="22"/>
        </w:rPr>
        <w:t>“Reference Market-makers”</w:t>
      </w:r>
      <w:r>
        <w:rPr>
          <w:color w:val="000000"/>
          <w:sz w:val="22"/>
        </w:rPr>
        <w:t xml:space="preserve"> in Section 14 is hereby amended by deleting clause (b) thereof.</w:t>
      </w:r>
    </w:p>
    <w:p>
      <w:pPr>
        <w:pStyle w:val="Normal"/>
        <w:spacing w:lineRule="exact" w:line="240" w:before="240" w:after="0"/>
        <w:ind w:hanging="720" w:start="720" w:end="0"/>
        <w:jc w:val="both"/>
        <w:rPr/>
      </w:pPr>
      <w:r>
        <w:rPr>
          <w:color w:val="000000"/>
          <w:sz w:val="22"/>
          <w:lang w:eastAsia="ja-JP"/>
        </w:rPr>
        <w:t>(r)</w:t>
        <w:tab/>
      </w:r>
      <w:r>
        <w:rPr>
          <w:b/>
          <w:color w:val="000000"/>
          <w:sz w:val="22"/>
        </w:rPr>
        <w:t>Definitions.</w:t>
      </w:r>
      <w:r>
        <w:rPr>
          <w:color w:val="000000"/>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BodyTextIndent2"/>
        <w:ind w:hanging="720" w:start="720" w:end="0"/>
        <w:rPr>
          <w:lang w:eastAsia="ja-JP"/>
        </w:rPr>
      </w:pPr>
      <w:r>
        <w:rPr>
          <w:lang w:eastAsia="ja-JP"/>
        </w:rPr>
        <w:t>(s)</w:t>
        <w:tab/>
      </w:r>
      <w:r>
        <w:rPr/>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hanging="720" w:start="720" w:end="0"/>
        <w:jc w:val="both"/>
        <w:rPr/>
      </w:pPr>
      <w:r>
        <w:rPr>
          <w:b/>
          <w:color w:val="000000"/>
          <w:sz w:val="22"/>
          <w:lang w:eastAsia="ja-JP"/>
        </w:rPr>
        <w:t>(t)</w:t>
        <w:tab/>
      </w:r>
      <w:r>
        <w:rPr>
          <w:b/>
          <w:color w:val="000000"/>
          <w:sz w:val="22"/>
        </w:rPr>
        <w:t>Confidentiality.</w:t>
      </w:r>
      <w:r>
        <w:rPr>
          <w:color w:val="000000"/>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before="240" w:after="0"/>
        <w:ind w:hanging="720" w:start="720" w:end="0"/>
        <w:jc w:val="both"/>
        <w:rPr/>
      </w:pPr>
      <w:r>
        <w:rPr>
          <w:b/>
          <w:color w:val="000000"/>
          <w:sz w:val="22"/>
          <w:lang w:eastAsia="ja-JP"/>
        </w:rPr>
        <w:t>(u)</w:t>
        <w:tab/>
      </w:r>
      <w:r>
        <w:rPr>
          <w:b/>
          <w:color w:val="000000"/>
          <w:sz w:val="22"/>
        </w:rPr>
        <w:t>Applicable Rate.</w:t>
      </w:r>
      <w:r>
        <w:rPr>
          <w:color w:val="000000"/>
          <w:sz w:val="22"/>
        </w:rPr>
        <w:t xml:space="preserve">  The definition of </w:t>
      </w:r>
      <w:r>
        <w:rPr>
          <w:b/>
          <w:color w:val="000000"/>
          <w:sz w:val="22"/>
        </w:rPr>
        <w:t>“Applicable Rate”</w:t>
      </w:r>
      <w:r>
        <w:rPr>
          <w:color w:val="000000"/>
          <w:sz w:val="22"/>
        </w:rPr>
        <w:t xml:space="preserve"> set forth in Section 14 is hereby amended by adding to the end of Subsection (b) of the definition after the word “Rate” the following provision:  “; </w:t>
      </w:r>
      <w:r>
        <w:rPr>
          <w:color w:val="000000"/>
          <w:sz w:val="22"/>
          <w:u w:val="single"/>
        </w:rPr>
        <w:t>provided</w:t>
      </w:r>
      <w:r>
        <w:rPr>
          <w:color w:val="000000"/>
          <w:sz w:val="22"/>
        </w:rPr>
        <w:t xml:space="preserve">, </w:t>
      </w:r>
      <w:r>
        <w:rPr>
          <w:color w:val="000000"/>
          <w:sz w:val="22"/>
          <w:u w:val="single"/>
        </w:rPr>
        <w:t>however</w:t>
      </w:r>
      <w:r>
        <w:rPr>
          <w:color w:val="000000"/>
          <w:sz w:val="22"/>
        </w:rPr>
        <w:t>, that if the payee is a Defaulting Party for purposes of Section 6(e), then the rate shall be the Non-default Rate.”</w:t>
      </w:r>
    </w:p>
    <w:p>
      <w:pPr>
        <w:pStyle w:val="Normal"/>
        <w:spacing w:lineRule="exact" w:line="240" w:before="240" w:after="0"/>
        <w:ind w:hanging="720" w:start="720" w:end="0"/>
        <w:jc w:val="both"/>
        <w:rPr/>
      </w:pPr>
      <w:r>
        <w:rPr>
          <w:color w:val="000000"/>
          <w:sz w:val="22"/>
        </w:rPr>
        <w:t>(</w:t>
      </w:r>
      <w:r>
        <w:rPr>
          <w:color w:val="000000"/>
          <w:sz w:val="22"/>
          <w:lang w:eastAsia="ja-JP"/>
        </w:rPr>
        <w:t>v</w:t>
      </w:r>
      <w:r>
        <w:rPr>
          <w:color w:val="000000"/>
          <w:sz w:val="22"/>
        </w:rPr>
        <w:t>)</w:t>
        <w:tab/>
      </w:r>
      <w:r>
        <w:rPr>
          <w:b/>
          <w:color w:val="000000"/>
          <w:sz w:val="22"/>
        </w:rPr>
        <w:t>Severability.</w:t>
      </w:r>
      <w:r>
        <w:rPr>
          <w:color w:val="000000"/>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u w:val="single"/>
        </w:rPr>
        <w:t>provided</w:t>
      </w:r>
      <w:r>
        <w:rPr>
          <w:color w:val="000000"/>
          <w:sz w:val="22"/>
        </w:rPr>
        <w:t xml:space="preserve">, </w:t>
      </w:r>
      <w:r>
        <w:rPr>
          <w:color w:val="000000"/>
          <w:sz w:val="22"/>
          <w:u w:val="single"/>
        </w:rPr>
        <w:t>however</w:t>
      </w:r>
      <w:r>
        <w:rPr>
          <w:color w:val="000000"/>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hanging="720" w:start="720" w:end="0"/>
        <w:jc w:val="both"/>
        <w:rPr/>
      </w:pPr>
      <w:r>
        <w:rPr>
          <w:color w:val="000000"/>
          <w:sz w:val="22"/>
        </w:rPr>
        <w:t>(</w:t>
      </w:r>
      <w:r>
        <w:rPr>
          <w:color w:val="000000"/>
          <w:sz w:val="22"/>
          <w:lang w:eastAsia="ja-JP"/>
        </w:rPr>
        <w:t>w</w:t>
      </w:r>
      <w:r>
        <w:rPr>
          <w:color w:val="000000"/>
          <w:sz w:val="22"/>
        </w:rPr>
        <w:t xml:space="preserve">) </w:t>
        <w:tab/>
      </w:r>
      <w:r>
        <w:rPr>
          <w:b/>
          <w:color w:val="000000"/>
          <w:sz w:val="22"/>
        </w:rPr>
        <w:t>Existing Transactions</w:t>
      </w:r>
      <w:r>
        <w:rPr>
          <w:color w:val="000000"/>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hanging="720" w:start="720" w:end="0"/>
        <w:jc w:val="both"/>
        <w:rPr/>
      </w:pPr>
      <w:r>
        <w:rPr>
          <w:color w:val="000000"/>
          <w:sz w:val="22"/>
        </w:rPr>
        <w:t>(</w:t>
      </w:r>
      <w:r>
        <w:rPr>
          <w:color w:val="000000"/>
          <w:sz w:val="22"/>
          <w:lang w:eastAsia="ja-JP"/>
        </w:rPr>
        <w:t>x</w:t>
      </w:r>
      <w:r>
        <w:rPr>
          <w:color w:val="000000"/>
          <w:sz w:val="22"/>
        </w:rPr>
        <w:t>)</w:t>
        <w:tab/>
      </w:r>
      <w:r>
        <w:rPr>
          <w:b/>
          <w:color w:val="000000"/>
          <w:sz w:val="22"/>
        </w:rPr>
        <w:t>English Language.</w:t>
      </w:r>
      <w:r>
        <w:rPr>
          <w:color w:val="000000"/>
          <w:sz w:val="22"/>
        </w:rPr>
        <w:t xml:space="preserve">  The parties hereby have requested that this Agreement and the Schedule be drafted in the English language and that all present and future Confirmations be drafted in the English language.  </w:t>
      </w:r>
    </w:p>
    <w:p>
      <w:pPr>
        <w:pStyle w:val="Normal"/>
        <w:spacing w:lineRule="exact" w:line="240" w:before="240" w:after="0"/>
        <w:ind w:hanging="720" w:start="720" w:end="0"/>
        <w:jc w:val="both"/>
        <w:rPr/>
      </w:pPr>
      <w:r>
        <w:rPr>
          <w:b/>
          <w:bCs/>
          <w:color w:val="000000"/>
          <w:sz w:val="22"/>
          <w:lang w:eastAsia="ja-JP"/>
        </w:rPr>
        <w:t xml:space="preserve">Rider I </w:t>
      </w:r>
      <w:r>
        <w:rPr>
          <w:b/>
          <w:bCs/>
          <w:color w:val="000000"/>
          <w:sz w:val="22"/>
          <w:lang w:eastAsia="ja-JP"/>
        </w:rPr>
        <w:t>–</w:t>
      </w:r>
      <w:r>
        <w:rPr>
          <w:b/>
          <w:bCs/>
          <w:color w:val="000000"/>
          <w:sz w:val="22"/>
          <w:lang w:eastAsia="ja-JP"/>
        </w:rPr>
        <w:t xml:space="preserve"> Part 5(f)</w:t>
      </w:r>
    </w:p>
    <w:p>
      <w:pPr>
        <w:pStyle w:val="Normal"/>
        <w:spacing w:lineRule="exact" w:line="240" w:before="240" w:after="0"/>
        <w:ind w:hanging="720" w:start="1440" w:end="0"/>
        <w:jc w:val="both"/>
        <w:rPr/>
      </w:pPr>
      <w:r>
        <w:rPr>
          <w:rFonts w:eastAsia="Times New Roman"/>
          <w:color w:val="000000"/>
          <w:sz w:val="22"/>
        </w:rPr>
        <w:t xml:space="preserve"> </w:t>
      </w:r>
      <w:r>
        <w:rPr>
          <w:color w:val="000000"/>
          <w:sz w:val="22"/>
        </w:rPr>
        <w:t>(</w:t>
      </w:r>
      <w:r>
        <w:rPr>
          <w:color w:val="000000"/>
          <w:sz w:val="22"/>
          <w:lang w:eastAsia="ja-JP"/>
        </w:rPr>
        <w:t>g</w:t>
      </w:r>
      <w:r>
        <w:rPr>
          <w:color w:val="000000"/>
          <w:sz w:val="22"/>
        </w:rPr>
        <w:t>)</w:t>
        <w:tab/>
      </w:r>
      <w:r>
        <w:rPr>
          <w:b/>
          <w:color w:val="000000"/>
          <w:sz w:val="22"/>
        </w:rPr>
        <w:t>No Reliance.</w:t>
      </w:r>
      <w:r>
        <w:rPr>
          <w:color w:val="000000"/>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hanging="720" w:start="1440" w:end="0"/>
        <w:jc w:val="both"/>
        <w:rPr>
          <w:b/>
          <w:color w:val="000000"/>
          <w:sz w:val="22"/>
        </w:rPr>
      </w:pPr>
      <w:r>
        <w:rPr>
          <w:color w:val="000000"/>
          <w:sz w:val="22"/>
        </w:rPr>
        <w:t>(</w:t>
      </w:r>
      <w:r>
        <w:rPr>
          <w:color w:val="000000"/>
          <w:sz w:val="22"/>
          <w:lang w:eastAsia="ja-JP"/>
        </w:rPr>
        <w:t>h</w:t>
      </w:r>
      <w:r>
        <w:rPr>
          <w:color w:val="000000"/>
          <w:sz w:val="22"/>
        </w:rPr>
        <w:t>)</w:t>
        <w:tab/>
      </w:r>
      <w:r>
        <w:rPr>
          <w:b/>
          <w:color w:val="000000"/>
          <w:sz w:val="22"/>
        </w:rPr>
        <w:t>Line of Business.</w:t>
      </w:r>
      <w:r>
        <w:rPr>
          <w:color w:val="000000"/>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t>
      </w:r>
      <w:r>
        <w:rPr>
          <w:b/>
          <w:color w:val="000000"/>
          <w:sz w:val="22"/>
        </w:rPr>
        <w:t>WITH RESPECT TO ANY WEATHER-RELATED TRANSACTIONS:</w:t>
      </w:r>
      <w:r>
        <w:rPr>
          <w:b/>
          <w:color w:val="000000"/>
          <w:sz w:val="22"/>
          <w:lang w:eastAsia="ja-JP"/>
        </w:rPr>
        <w:t xml:space="preserve"> (A) IT </w:t>
      </w:r>
      <w:r>
        <w:rPr>
          <w:b/>
          <w:color w:val="000000"/>
          <w:sz w:val="22"/>
          <w:lang w:eastAsia="ja-JP"/>
        </w:rPr>
        <w:t>HAS READ AND FULLY UNDERSTAND THE TERMS OF THE PROPOSED TRANSACTION;</w:t>
      </w:r>
      <w:r>
        <w:rPr>
          <w:b/>
          <w:color w:val="000000"/>
          <w:sz w:val="22"/>
          <w:lang w:eastAsia="ja-JP"/>
        </w:rPr>
        <w:t xml:space="preserve"> (B) </w:t>
      </w:r>
      <w:r>
        <w:rPr>
          <w:b/>
          <w:color w:val="000000"/>
          <w:sz w:val="22"/>
          <w:lang w:eastAsia="ja-JP"/>
        </w:rPr>
        <w:t>IT IS ENTERING INTO THIS TRANSACTION TO HEDGE WEATHER RELATED RISKS ARISING IN THE ORDINARY COURSE OF ITS BUSINESS; AND</w:t>
      </w:r>
      <w:r>
        <w:rPr>
          <w:b/>
          <w:color w:val="000000"/>
          <w:sz w:val="22"/>
          <w:lang w:eastAsia="ja-JP"/>
        </w:rPr>
        <w:t xml:space="preserve"> (C) </w:t>
      </w:r>
      <w:r>
        <w:rPr>
          <w:b/>
          <w:color w:val="000000"/>
          <w:sz w:val="22"/>
          <w:lang w:eastAsia="ja-JP"/>
        </w:rPr>
        <w:t xml:space="preserve">ACCORDINGLY, </w:t>
      </w:r>
      <w:r>
        <w:rPr>
          <w:b/>
          <w:color w:val="000000"/>
          <w:sz w:val="22"/>
          <w:lang w:eastAsia="ja-JP"/>
        </w:rPr>
        <w:t>IT</w:t>
      </w:r>
      <w:r>
        <w:rPr>
          <w:b/>
          <w:color w:val="000000"/>
          <w:sz w:val="22"/>
          <w:lang w:eastAsia="ja-JP"/>
        </w:rPr>
        <w:t xml:space="preserve"> HAS A LEGITIMATE BUSINESS PURPOSE TO ENTER INTO </w:t>
      </w:r>
      <w:r>
        <w:rPr>
          <w:b/>
          <w:color w:val="000000"/>
          <w:sz w:val="22"/>
          <w:lang w:eastAsia="ja-JP"/>
        </w:rPr>
        <w:t>SUCH</w:t>
      </w:r>
      <w:r>
        <w:rPr>
          <w:b/>
          <w:color w:val="000000"/>
          <w:sz w:val="22"/>
          <w:lang w:eastAsia="ja-JP"/>
        </w:rPr>
        <w:t xml:space="preserve"> TRANSACTION.</w:t>
      </w:r>
    </w:p>
    <w:p>
      <w:pPr>
        <w:pStyle w:val="Normal"/>
        <w:spacing w:before="120" w:after="0"/>
        <w:ind w:hanging="720" w:start="1440" w:end="0"/>
        <w:jc w:val="both"/>
        <w:rPr/>
      </w:pPr>
      <w:r>
        <w:rPr>
          <w:color w:val="000000"/>
          <w:sz w:val="22"/>
        </w:rPr>
        <w:t>(</w:t>
      </w:r>
      <w:r>
        <w:rPr>
          <w:color w:val="000000"/>
          <w:sz w:val="22"/>
          <w:lang w:eastAsia="ja-JP"/>
        </w:rPr>
        <w:t>i</w:t>
      </w:r>
      <w:r>
        <w:rPr>
          <w:color w:val="000000"/>
          <w:sz w:val="22"/>
        </w:rPr>
        <w:t>)</w:t>
      </w:r>
      <w:r>
        <w:rPr>
          <w:b/>
          <w:color w:val="000000"/>
          <w:sz w:val="22"/>
        </w:rPr>
        <w:tab/>
        <w:t>Customization and Creditworthiness.</w:t>
      </w:r>
      <w:r>
        <w:rPr>
          <w:color w:val="000000"/>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hanging="720" w:start="720" w:end="0"/>
        <w:jc w:val="both"/>
        <w:rPr/>
      </w:pPr>
      <w:r>
        <w:rPr>
          <w:b/>
          <w:bCs/>
          <w:color w:val="000000"/>
          <w:sz w:val="22"/>
          <w:lang w:eastAsia="ja-JP"/>
        </w:rPr>
        <w:t xml:space="preserve">Rider J </w:t>
      </w:r>
      <w:r>
        <w:rPr>
          <w:b/>
          <w:bCs/>
          <w:color w:val="000000"/>
          <w:sz w:val="22"/>
          <w:lang w:eastAsia="ja-JP"/>
        </w:rPr>
        <w:t>–</w:t>
      </w:r>
      <w:r>
        <w:rPr>
          <w:b/>
          <w:bCs/>
          <w:color w:val="000000"/>
          <w:sz w:val="22"/>
          <w:lang w:eastAsia="ja-JP"/>
        </w:rPr>
        <w:t xml:space="preserve"> Part 5(h)</w:t>
      </w:r>
    </w:p>
    <w:p>
      <w:pPr>
        <w:pStyle w:val="Normal"/>
        <w:spacing w:lineRule="exact" w:line="240" w:before="240" w:after="0"/>
        <w:jc w:val="both"/>
        <w:rPr/>
      </w:pPr>
      <w:r>
        <w:rPr>
          <w:color w:val="000000"/>
          <w:sz w:val="22"/>
        </w:rPr>
        <w:t xml:space="preserve">adding the following sentences at the end thereof:  “On or promptly following the Trade Date of a Transaction, Party </w:t>
      </w:r>
      <w:r>
        <w:rPr>
          <w:color w:val="000000"/>
          <w:sz w:val="22"/>
          <w:lang w:eastAsia="ja-JP"/>
        </w:rPr>
        <w:t>B</w:t>
      </w:r>
      <w:r>
        <w:rPr>
          <w:color w:val="000000"/>
          <w:sz w:val="22"/>
        </w:rPr>
        <w:t xml:space="preserve"> will send to Party </w:t>
      </w:r>
      <w:r>
        <w:rPr>
          <w:color w:val="000000"/>
          <w:sz w:val="22"/>
          <w:lang w:eastAsia="ja-JP"/>
        </w:rPr>
        <w:t>A</w:t>
      </w:r>
      <w:r>
        <w:rPr>
          <w:color w:val="000000"/>
          <w:sz w:val="22"/>
        </w:rPr>
        <w:t xml:space="preserve"> a Confirmation.  Party </w:t>
      </w:r>
      <w:r>
        <w:rPr>
          <w:color w:val="000000"/>
          <w:sz w:val="22"/>
          <w:lang w:eastAsia="ja-JP"/>
        </w:rPr>
        <w:t>A</w:t>
      </w:r>
      <w:r>
        <w:rPr>
          <w:color w:val="000000"/>
          <w:sz w:val="22"/>
        </w:rPr>
        <w:t xml:space="preserve"> will promptly thereafter confirm the accuracy of, or request the correction of, such Confirmation.  If any dispute shall arise as to whether an error exists in a Confirmation, the parties shall in good faith make reasonable efforts to resolve the dispute.  If Party </w:t>
      </w:r>
      <w:r>
        <w:rPr>
          <w:color w:val="000000"/>
          <w:sz w:val="22"/>
          <w:lang w:eastAsia="ja-JP"/>
        </w:rPr>
        <w:t>A</w:t>
      </w:r>
      <w:r>
        <w:rPr>
          <w:color w:val="000000"/>
          <w:sz w:val="22"/>
        </w:rPr>
        <w:t xml:space="preserve"> fails to accept or dispute the Confirmation in the manner set forth above within two Local Business Days after it was effectively sent to Party </w:t>
      </w:r>
      <w:r>
        <w:rPr>
          <w:color w:val="000000"/>
          <w:sz w:val="22"/>
          <w:lang w:eastAsia="ja-JP"/>
        </w:rPr>
        <w:t>A</w:t>
      </w:r>
      <w:r>
        <w:rPr>
          <w:color w:val="000000"/>
          <w:sz w:val="22"/>
        </w:rPr>
        <w:t>,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hanging="720" w:start="720" w:end="0"/>
        <w:jc w:val="both"/>
        <w:rPr/>
      </w:pPr>
      <w:r>
        <w:rPr>
          <w:b/>
          <w:bCs/>
          <w:color w:val="000000"/>
          <w:sz w:val="22"/>
          <w:lang w:eastAsia="ja-JP"/>
        </w:rPr>
        <w:t xml:space="preserve">Rider K </w:t>
      </w:r>
      <w:r>
        <w:rPr>
          <w:b/>
          <w:bCs/>
          <w:color w:val="000000"/>
          <w:sz w:val="22"/>
          <w:lang w:eastAsia="ja-JP"/>
        </w:rPr>
        <w:t>–</w:t>
      </w:r>
      <w:r>
        <w:rPr>
          <w:b/>
          <w:bCs/>
          <w:color w:val="000000"/>
          <w:sz w:val="22"/>
          <w:lang w:eastAsia="ja-JP"/>
        </w:rPr>
        <w:t xml:space="preserve"> Part 5(i)</w:t>
      </w:r>
    </w:p>
    <w:p>
      <w:pPr>
        <w:pStyle w:val="Normal"/>
        <w:spacing w:lineRule="exact" w:line="240" w:before="240" w:after="0"/>
        <w:jc w:val="both"/>
        <w:rPr/>
      </w:pPr>
      <w:r>
        <w:rPr>
          <w:b/>
          <w:color w:val="000000"/>
          <w:sz w:val="22"/>
        </w:rPr>
        <w:t>Recording.</w:t>
      </w:r>
      <w:r>
        <w:rPr>
          <w:color w:val="000000"/>
          <w:sz w:val="22"/>
        </w:rPr>
        <w:t xml:space="preserve">  Each party consents to the recording, at any time and from time to time, by the other party of any and all communications between officers or employees of the parties, and waives any </w:t>
      </w:r>
      <w:r>
        <w:rPr>
          <w:color w:val="000000"/>
          <w:sz w:val="22"/>
          <w:lang w:eastAsia="ja-JP"/>
        </w:rPr>
        <w:t>f</w:t>
      </w:r>
      <w:r>
        <w:rPr>
          <w:color w:val="000000"/>
          <w:sz w:val="22"/>
        </w:rPr>
        <w:t>urther notice of such recording.</w:t>
      </w:r>
    </w:p>
    <w:p>
      <w:pPr>
        <w:pStyle w:val="Normal"/>
        <w:spacing w:lineRule="exact" w:line="240" w:before="240" w:after="0"/>
        <w:ind w:hanging="720" w:start="720" w:end="0"/>
        <w:jc w:val="both"/>
        <w:rPr/>
      </w:pPr>
      <w:r>
        <w:rPr>
          <w:b/>
          <w:bCs/>
          <w:color w:val="000000"/>
          <w:sz w:val="22"/>
          <w:lang w:eastAsia="ja-JP"/>
        </w:rPr>
        <w:t xml:space="preserve">Rider L </w:t>
      </w:r>
      <w:r>
        <w:rPr>
          <w:b/>
          <w:bCs/>
          <w:color w:val="000000"/>
          <w:sz w:val="22"/>
          <w:lang w:eastAsia="ja-JP"/>
        </w:rPr>
        <w:t>–</w:t>
      </w:r>
      <w:r>
        <w:rPr>
          <w:b/>
          <w:bCs/>
          <w:color w:val="000000"/>
          <w:sz w:val="22"/>
          <w:lang w:eastAsia="ja-JP"/>
        </w:rPr>
        <w:t xml:space="preserve"> Part 5(d)</w:t>
      </w:r>
    </w:p>
    <w:p>
      <w:pPr>
        <w:pStyle w:val="Normal"/>
        <w:spacing w:lineRule="exact" w:line="240" w:before="240" w:after="0"/>
        <w:ind w:hanging="720" w:start="720" w:end="0"/>
        <w:jc w:val="both"/>
        <w:rPr/>
      </w:pPr>
      <w:r>
        <w:rPr>
          <w:b/>
          <w:color w:val="000000"/>
          <w:sz w:val="22"/>
        </w:rPr>
        <w:t>Setoff.</w:t>
      </w:r>
      <w:r>
        <w:rPr>
          <w:color w:val="000000"/>
          <w:sz w:val="22"/>
        </w:rPr>
        <w:t xml:space="preserve">  </w:t>
      </w:r>
    </w:p>
    <w:p>
      <w:pPr>
        <w:pStyle w:val="BodyTextIndent"/>
        <w:rPr/>
      </w:pPr>
      <w:r>
        <w:rPr/>
        <w:t xml:space="preserve">(A) </w:t>
        <w:tab/>
        <w:t xml:space="preserve">Upon the designation or deemed designation of an Early Termination Date the Non-defaulting Party or the non-Affected Party (in either case, “X”) may, at its option and in its discretion, setoff, against any amounts owed to the Defaulting Party or Affected Party (in either case, “Y”) in Yen or any other currency by X or any Affiliate of X under this Agreement or otherwise, any amounts owed in </w:t>
      </w:r>
      <w:r>
        <w:rPr>
          <w:lang w:eastAsia="ja-JP"/>
        </w:rPr>
        <w:t>Y</w:t>
      </w:r>
      <w:r>
        <w:rPr/>
        <w:t>en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BodyTextIndent"/>
        <w:rPr>
          <w:lang w:eastAsia="ja-JP"/>
        </w:rPr>
      </w:pPr>
      <w:r>
        <w:rPr/>
        <w:t xml:space="preserve">(B)  </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hanging="720" w:start="720" w:end="0"/>
        <w:jc w:val="both"/>
        <w:rPr/>
      </w:pPr>
      <w:r>
        <w:rPr>
          <w:b/>
          <w:bCs/>
          <w:color w:val="000000"/>
          <w:sz w:val="22"/>
          <w:lang w:eastAsia="ja-JP"/>
        </w:rPr>
        <w:t xml:space="preserve">Rider M </w:t>
      </w:r>
      <w:r>
        <w:rPr>
          <w:b/>
          <w:bCs/>
          <w:color w:val="000000"/>
          <w:sz w:val="22"/>
          <w:lang w:eastAsia="ja-JP"/>
        </w:rPr>
        <w:t>–</w:t>
      </w:r>
      <w:r>
        <w:rPr>
          <w:b/>
          <w:bCs/>
          <w:color w:val="000000"/>
          <w:sz w:val="22"/>
          <w:lang w:eastAsia="ja-JP"/>
        </w:rPr>
        <w:t xml:space="preserve"> Part 6</w:t>
      </w:r>
    </w:p>
    <w:p>
      <w:pPr>
        <w:pStyle w:val="Normal"/>
        <w:spacing w:lineRule="exact" w:line="240"/>
        <w:jc w:val="both"/>
        <w:rPr>
          <w:b/>
          <w:bCs/>
          <w:color w:val="000000"/>
          <w:sz w:val="22"/>
          <w:lang w:eastAsia="ja-JP"/>
        </w:rPr>
      </w:pPr>
      <w:r>
        <w:rPr>
          <w:b/>
          <w:bCs/>
          <w:color w:val="000000"/>
          <w:sz w:val="22"/>
          <w:lang w:eastAsia="ja-JP"/>
        </w:rPr>
      </w:r>
    </w:p>
    <w:p>
      <w:pPr>
        <w:pStyle w:val="Normal"/>
        <w:spacing w:lineRule="exact" w:line="240"/>
        <w:jc w:val="both"/>
        <w:rPr>
          <w:b/>
          <w:color w:val="000000"/>
          <w:sz w:val="22"/>
        </w:rPr>
      </w:pPr>
      <w:r>
        <w:rPr>
          <w:b/>
          <w:color w:val="000000"/>
          <w:sz w:val="22"/>
        </w:rPr>
        <w:t>Part 6.  Additional Provisions For Commodity Derivatives Transactions.</w:t>
      </w:r>
    </w:p>
    <w:p>
      <w:pPr>
        <w:pStyle w:val="Normal"/>
        <w:spacing w:lineRule="exact" w:line="240"/>
        <w:jc w:val="both"/>
        <w:rPr>
          <w:b/>
          <w:color w:val="000000"/>
          <w:sz w:val="22"/>
        </w:rPr>
      </w:pPr>
      <w:r>
        <w:rPr>
          <w:b/>
          <w:color w:val="000000"/>
          <w:sz w:val="22"/>
        </w:rPr>
      </w:r>
    </w:p>
    <w:p>
      <w:pPr>
        <w:pStyle w:val="Normal"/>
        <w:spacing w:lineRule="exact" w:line="240"/>
        <w:ind w:hanging="720" w:start="720" w:end="0"/>
        <w:jc w:val="both"/>
        <w:rPr>
          <w:color w:val="000000"/>
          <w:sz w:val="22"/>
        </w:rPr>
      </w:pPr>
      <w:r>
        <w:rPr>
          <w:color w:val="000000"/>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(c)</w:t>
        <w:tab/>
        <w:t>Section 7.4(c)(viii) of the Commodity Definitions is hereby amended by the addition of the following at the end thereof:</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ab/>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(d)</w:t>
        <w:tab/>
        <w:t>Section 7.5(e) of the Commodity Definitions is hereby deleted.</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(e)</w:t>
        <w:tab/>
        <w:t>“Additional Market Disruption Events” shall apply only if so specified in the relevant Confirmation.</w:t>
      </w:r>
    </w:p>
    <w:p>
      <w:pPr>
        <w:pStyle w:val="BodyTextIndent2"/>
        <w:ind w:hanging="720" w:start="720" w:end="0"/>
        <w:rPr/>
      </w:pPr>
      <w:r>
        <w:rPr/>
        <w:t>(f)</w:t>
        <w:tab/>
        <w:t>The following “Disruption Fallbacks” specified in Section 7.5(c) of the Commodity Definitions shall apply, in the following order, except as otherwise specified in the relevant Confirmation:</w:t>
      </w:r>
    </w:p>
    <w:p>
      <w:pPr>
        <w:pStyle w:val="Normal"/>
        <w:jc w:val="both"/>
        <w:rPr>
          <w:color w:val="000000"/>
          <w:sz w:val="22"/>
        </w:rPr>
      </w:pPr>
      <w:r>
        <w:rPr>
          <w:color w:val="000000"/>
          <w:sz w:val="22"/>
        </w:rPr>
      </w:r>
    </w:p>
    <w:p>
      <w:pPr>
        <w:pStyle w:val="BlockText"/>
        <w:ind w:hanging="720" w:start="1440" w:end="-43"/>
        <w:rPr>
          <w:color w:val="000000"/>
        </w:rPr>
      </w:pPr>
      <w:r>
        <w:rPr>
          <w:color w:val="000000"/>
        </w:rPr>
        <w:t>(i)</w:t>
        <w:tab/>
        <w:t>“Postponement”, with three (3) Commodity Business Days as the Maximum Days of Disruption;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w:t>
        <w:tab/>
        <w:t>“Fallback Reference Price” (if the relevant parties have specified an alternate Commodity Reference Price in the Confirmation);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rPr>
      </w:pPr>
      <w:r>
        <w:rPr>
          <w:color w:val="000000"/>
          <w:sz w:val="22"/>
        </w:rPr>
      </w:r>
    </w:p>
    <w:p>
      <w:pPr>
        <w:pStyle w:val="Normal"/>
        <w:ind w:hanging="720" w:start="1440" w:end="0"/>
        <w:jc w:val="both"/>
        <w:rPr/>
      </w:pPr>
      <w:r>
        <w:rPr>
          <w:color w:val="000000"/>
          <w:sz w:val="22"/>
        </w:rPr>
        <w:t>(iv)</w:t>
        <w:tab/>
        <w:t xml:space="preserve">The Relevant Price will be determined and calculated as set forth in the definition of “Commodity-Reference Dealers”, however, notwithstanding any reference to the number of Specified Prices in such definition, Party </w:t>
      </w:r>
      <w:r>
        <w:rPr>
          <w:color w:val="000000"/>
          <w:sz w:val="22"/>
          <w:lang w:eastAsia="ja-JP"/>
        </w:rPr>
        <w:t xml:space="preserve">B </w:t>
      </w:r>
      <w:r>
        <w:rPr>
          <w:color w:val="000000"/>
          <w:sz w:val="22"/>
        </w:rPr>
        <w:t>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rPr>
      </w:pPr>
      <w:r>
        <w:rPr>
          <w:color w:val="000000"/>
          <w:sz w:val="22"/>
        </w:rPr>
      </w:r>
    </w:p>
    <w:p>
      <w:pPr>
        <w:pStyle w:val="Normal"/>
        <w:ind w:hanging="720" w:start="720" w:end="0"/>
        <w:jc w:val="both"/>
        <w:rPr>
          <w:color w:val="000000"/>
          <w:sz w:val="22"/>
        </w:rPr>
      </w:pPr>
      <w:r>
        <w:rPr>
          <w:color w:val="000000"/>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hanging="720" w:start="720" w:end="0"/>
        <w:jc w:val="both"/>
        <w:rPr>
          <w:color w:val="000000"/>
          <w:sz w:val="22"/>
        </w:rPr>
      </w:pPr>
      <w:r>
        <w:rPr>
          <w:color w:val="000000"/>
          <w:sz w:val="22"/>
        </w:rPr>
      </w:r>
    </w:p>
    <w:p>
      <w:pPr>
        <w:pStyle w:val="Normal"/>
        <w:ind w:hanging="720" w:start="720" w:end="0"/>
        <w:jc w:val="both"/>
        <w:rPr/>
      </w:pPr>
      <w:r>
        <w:rPr>
          <w:color w:val="000000"/>
          <w:sz w:val="22"/>
        </w:rPr>
        <w:t>(h)</w:t>
        <w:tab/>
        <w:t xml:space="preserve">For purposes of any Transaction in which the relevant Commodity is traded in a market that is less liquid than other OTC derivatives markets, Party </w:t>
      </w:r>
      <w:r>
        <w:rPr>
          <w:color w:val="000000"/>
          <w:sz w:val="22"/>
          <w:lang w:eastAsia="ja-JP"/>
        </w:rPr>
        <w:t>A</w:t>
      </w:r>
      <w:r>
        <w:rPr>
          <w:color w:val="000000"/>
          <w:sz w:val="22"/>
        </w:rPr>
        <w:t xml:space="preserve">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w:t>
      </w:r>
      <w:r>
        <w:rPr>
          <w:color w:val="000000"/>
          <w:sz w:val="22"/>
          <w:lang w:eastAsia="ja-JP"/>
        </w:rPr>
        <w:t>B</w:t>
      </w:r>
      <w:r>
        <w:rPr>
          <w:color w:val="000000"/>
          <w:sz w:val="22"/>
        </w:rPr>
        <w:t xml:space="preserve"> for entering into, modifying, or terminating a Transaction, although based upon what Party </w:t>
      </w:r>
      <w:r>
        <w:rPr>
          <w:color w:val="000000"/>
          <w:sz w:val="22"/>
          <w:lang w:eastAsia="ja-JP"/>
        </w:rPr>
        <w:t>B</w:t>
      </w:r>
      <w:r>
        <w:rPr>
          <w:color w:val="000000"/>
          <w:sz w:val="22"/>
        </w:rPr>
        <w:t xml:space="preserve"> believes to be a commercially reasonable valuation methodology, may be different than if this market were more mature and liquid; and (iv) any valuations which may be provided by Party </w:t>
      </w:r>
      <w:r>
        <w:rPr>
          <w:color w:val="000000"/>
          <w:sz w:val="22"/>
          <w:lang w:eastAsia="ja-JP"/>
        </w:rPr>
        <w:t>B</w:t>
      </w:r>
      <w:r>
        <w:rPr>
          <w:color w:val="000000"/>
          <w:sz w:val="22"/>
        </w:rPr>
        <w:t xml:space="preserve"> do not necessarily reflect Party </w:t>
      </w:r>
      <w:r>
        <w:rPr>
          <w:color w:val="000000"/>
          <w:sz w:val="22"/>
          <w:lang w:eastAsia="ja-JP"/>
        </w:rPr>
        <w:t>B</w:t>
      </w:r>
      <w:r>
        <w:rPr>
          <w:color w:val="000000"/>
          <w:sz w:val="22"/>
        </w:rPr>
        <w:t>’s internal bookkeeping or theoretical model-based valuations of the Transaction and may reflect other factors, including without limitation the creditworthiness of a counterparty, costs of carry, use of capital, and profit.</w:t>
      </w:r>
    </w:p>
    <w:p>
      <w:pPr>
        <w:pStyle w:val="Justified"/>
        <w:keepNext w:val="true"/>
        <w:widowControl/>
        <w:spacing w:before="0" w:after="0"/>
        <w:rPr>
          <w:rFonts w:ascii="Times New Roman" w:hAnsi="Times New Roman" w:cs="Times New Roman"/>
          <w:color w:val="000000"/>
          <w:sz w:val="22"/>
        </w:rPr>
      </w:pPr>
      <w:r>
        <w:rPr>
          <w:rFonts w:cs="Times New Roman" w:ascii="Times New Roman" w:hAnsi="Times New Roman"/>
          <w:color w:val="000000"/>
          <w:sz w:val="22"/>
        </w:rPr>
      </w:r>
    </w:p>
    <w:p>
      <w:pPr>
        <w:pStyle w:val="Justified"/>
        <w:keepNext w:val="true"/>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keepNext w:val="true"/>
        <w:jc w:val="both"/>
        <w:rPr>
          <w:rFonts w:ascii="Times New Roman" w:hAnsi="Times New Roman" w:cs="Times New Roman"/>
          <w:color w:val="000000"/>
          <w:sz w:val="22"/>
        </w:rPr>
      </w:pPr>
      <w:r>
        <w:rPr>
          <w:rFonts w:cs="Times New Roman"/>
          <w:color w:val="000000"/>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color w:val="000000"/>
                <w:sz w:val="22"/>
                <w:lang w:eastAsia="ja-JP"/>
              </w:rPr>
            </w:pPr>
            <w:r>
              <w:rPr>
                <w:b/>
                <w:color w:val="000000"/>
                <w:sz w:val="22"/>
                <w:lang w:eastAsia="ja-JP"/>
              </w:rPr>
              <w:t xml:space="preserve">THE BANK OF TOKYO-MITSUBISHI, LTD. </w:t>
            </w:r>
          </w:p>
          <w:p>
            <w:pPr>
              <w:pStyle w:val="Normal"/>
              <w:keepNext w:val="true"/>
              <w:spacing w:lineRule="exact" w:line="240"/>
              <w:jc w:val="both"/>
              <w:rPr>
                <w:b/>
                <w:color w:val="000000"/>
                <w:sz w:val="22"/>
                <w:lang w:eastAsia="ja-JP"/>
              </w:rPr>
            </w:pPr>
            <w:r>
              <w:rPr>
                <w:b/>
                <w:color w:val="000000"/>
                <w:sz w:val="22"/>
                <w:lang w:eastAsia="ja-JP"/>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   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lang w:eastAsia="ja-JP"/>
              </w:rPr>
              <w:t>ENRON JAPAN CORP.</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u w:val="single"/>
              </w:rPr>
            </w:pPr>
            <w:r>
              <w:rPr>
                <w:color w:val="000000"/>
                <w:sz w:val="22"/>
                <w:u w:val="single"/>
              </w:rPr>
            </w:r>
          </w:p>
          <w:p>
            <w:pPr>
              <w:pStyle w:val="Normal"/>
              <w:keepNext w:val="true"/>
              <w:spacing w:lineRule="exact" w:line="240"/>
              <w:jc w:val="both"/>
              <w:rPr>
                <w:color w:val="000000"/>
                <w:sz w:val="22"/>
              </w:rPr>
            </w:pPr>
            <w:r>
              <w:rPr>
                <w:color w:val="000000"/>
                <w:sz w:val="22"/>
              </w:rPr>
              <w:t>Title:</w:t>
              <w:tab/>
              <w:t>Representative Director</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keepNext w:val="true"/>
        <w:tabs>
          <w:tab w:val="clear" w:pos="720"/>
          <w:tab w:val="left" w:pos="2880" w:leader="none"/>
        </w:tabs>
        <w:spacing w:lineRule="exact" w:line="240"/>
        <w:ind w:hanging="2880" w:start="288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ANNEX A</w:t>
        <w:tab/>
        <w:t>ISDA CREDIT SUPPORT ANNEX (PARAGRAPH 13)</w:t>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pPr>
      <w:r>
        <w:rPr>
          <w:color w:val="000000"/>
          <w:sz w:val="22"/>
        </w:rPr>
        <w:t>EXHIBIT A</w:t>
        <w:tab/>
        <w:t xml:space="preserve">FORM OF GUARANTY (PARTY </w:t>
      </w:r>
      <w:r>
        <w:rPr>
          <w:color w:val="000000"/>
          <w:sz w:val="22"/>
          <w:lang w:eastAsia="ja-JP"/>
        </w:rPr>
        <w:t>B</w:t>
      </w:r>
      <w:r>
        <w:rPr>
          <w:color w:val="000000"/>
          <w:sz w:val="22"/>
        </w:rPr>
        <w:t>)</w:t>
      </w:r>
    </w:p>
    <w:p>
      <w:pPr>
        <w:pStyle w:val="Normal"/>
        <w:spacing w:lineRule="exact" w:line="240" w:before="240" w:after="0"/>
        <w:ind w:hanging="720" w:start="720" w:end="0"/>
        <w:jc w:val="both"/>
        <w:rPr>
          <w:b/>
          <w:bCs/>
          <w:color w:val="000000"/>
          <w:sz w:val="22"/>
          <w:lang w:eastAsia="ja-JP"/>
        </w:rPr>
      </w:pPr>
      <w:r>
        <w:rPr>
          <w:b/>
          <w:bCs/>
          <w:color w:val="000000"/>
          <w:sz w:val="22"/>
          <w:lang w:eastAsia="ja-JP"/>
        </w:rPr>
      </w:r>
    </w:p>
    <w:p>
      <w:pPr>
        <w:pStyle w:val="Normal"/>
        <w:spacing w:lineRule="exact" w:line="240" w:before="240" w:after="0"/>
        <w:ind w:hanging="720" w:start="720" w:end="0"/>
        <w:jc w:val="both"/>
        <w:rPr>
          <w:b/>
          <w:bCs/>
          <w:color w:val="000000"/>
          <w:sz w:val="22"/>
          <w:lang w:eastAsia="ja-JP"/>
        </w:rPr>
      </w:pPr>
      <w:r>
        <w:rPr>
          <w:b/>
          <w:bCs/>
          <w:color w:val="000000"/>
          <w:sz w:val="22"/>
          <w:lang w:eastAsia="ja-JP"/>
        </w:rPr>
      </w:r>
    </w:p>
    <w:p>
      <w:pPr>
        <w:pStyle w:val="Normal"/>
        <w:spacing w:lineRule="exact" w:line="240" w:before="240" w:after="0"/>
        <w:ind w:hanging="720" w:start="720" w:end="0"/>
        <w:jc w:val="both"/>
        <w:rPr>
          <w:b/>
          <w:bCs/>
          <w:color w:val="000000"/>
          <w:sz w:val="22"/>
          <w:lang w:eastAsia="ja-JP"/>
        </w:rPr>
      </w:pPr>
      <w:r>
        <w:rPr>
          <w:b/>
          <w:bCs/>
          <w:color w:val="000000"/>
          <w:sz w:val="22"/>
          <w:lang w:eastAsia="ja-JP"/>
        </w:rPr>
      </w:r>
    </w:p>
    <w:p>
      <w:pPr>
        <w:pStyle w:val="Normal"/>
        <w:spacing w:lineRule="exact" w:line="240" w:before="240" w:after="0"/>
        <w:ind w:hanging="720" w:start="720" w:end="0"/>
        <w:jc w:val="both"/>
        <w:rPr>
          <w:b/>
          <w:bCs/>
          <w:color w:val="000000"/>
          <w:sz w:val="22"/>
          <w:lang w:eastAsia="ja-JP"/>
        </w:rPr>
      </w:pPr>
      <w:r>
        <w:rPr>
          <w:b/>
          <w:bCs/>
          <w:color w:val="000000"/>
          <w:sz w:val="22"/>
          <w:lang w:eastAsia="ja-JP"/>
        </w:rPr>
      </w:r>
    </w:p>
    <w:p>
      <w:pPr>
        <w:pStyle w:val="Normal"/>
        <w:rPr>
          <w:b/>
          <w:bCs/>
          <w:color w:val="000000"/>
          <w:sz w:val="22"/>
          <w:lang w:eastAsia="ja-JP"/>
        </w:rPr>
      </w:pPr>
      <w:r>
        <w:rPr>
          <w:b/>
          <w:bCs/>
          <w:color w:val="000000"/>
          <w:sz w:val="22"/>
          <w:lang w:eastAsia="ja-JP"/>
        </w:rPr>
      </w:r>
    </w:p>
    <w:p>
      <w:pPr>
        <w:pStyle w:val="Normal"/>
        <w:rPr>
          <w:lang w:eastAsia="ja-JP"/>
        </w:rPr>
      </w:pPr>
      <w:r>
        <w:rPr>
          <w:lang w:eastAsia="ja-JP"/>
        </w:rPr>
      </w:r>
    </w:p>
    <w:p>
      <w:pPr>
        <w:pStyle w:val="Normal"/>
        <w:rPr>
          <w:lang w:eastAsia="ja-JP"/>
        </w:rPr>
      </w:pPr>
      <w:r>
        <w:rPr>
          <w:lang w:eastAsia="ja-JP"/>
        </w:rPr>
      </w:r>
    </w:p>
    <w:p>
      <w:pPr>
        <w:pStyle w:val="Normal"/>
        <w:rPr>
          <w:lang w:eastAsia="ja-JP"/>
        </w:rPr>
      </w:pPr>
      <w:r>
        <w:rPr>
          <w:lang w:eastAsia="ja-JP"/>
        </w:rPr>
      </w:r>
    </w:p>
    <w:p>
      <w:pPr>
        <w:pStyle w:val="Normal"/>
        <w:spacing w:lineRule="exact" w:line="240" w:before="240" w:after="0"/>
        <w:ind w:start="720" w:end="0"/>
        <w:jc w:val="both"/>
        <w:rPr>
          <w:sz w:val="22"/>
          <w:lang w:eastAsia="ja-JP"/>
        </w:rPr>
      </w:pPr>
      <w:r>
        <w:rPr>
          <w:sz w:val="22"/>
          <w:lang w:eastAsia="ja-JP"/>
        </w:rPr>
      </w:r>
    </w:p>
    <w:p>
      <w:pPr>
        <w:pStyle w:val="Normal"/>
        <w:spacing w:lineRule="exact" w:line="240" w:before="240" w:after="0"/>
        <w:jc w:val="both"/>
        <w:rPr>
          <w:color w:val="000000"/>
          <w:sz w:val="22"/>
          <w:lang w:eastAsia="ja-JP"/>
        </w:rPr>
      </w:pPr>
      <w:r>
        <w:rPr>
          <w:color w:val="000000"/>
          <w:sz w:val="22"/>
        </w:rPr>
        <w:tab/>
      </w:r>
    </w:p>
    <w:p>
      <w:pPr>
        <w:pStyle w:val="Normal"/>
        <w:spacing w:lineRule="exact" w:line="240" w:before="240" w:after="0"/>
        <w:jc w:val="both"/>
        <w:rPr>
          <w:color w:val="000000"/>
          <w:sz w:val="22"/>
          <w:lang w:eastAsia="ja-JP"/>
        </w:rPr>
      </w:pPr>
      <w:r>
        <w:rPr>
          <w:color w:val="000000"/>
          <w:sz w:val="22"/>
          <w:lang w:eastAsia="ja-JP"/>
        </w:rPr>
      </w:r>
    </w:p>
    <w:p>
      <w:pPr>
        <w:pStyle w:val="Normal"/>
        <w:rPr>
          <w:b/>
          <w:bCs/>
          <w:color w:val="000000"/>
          <w:sz w:val="22"/>
          <w:lang w:eastAsia="ja-JP"/>
        </w:rPr>
      </w:pPr>
      <w:r>
        <w:rPr>
          <w:b/>
          <w:bCs/>
          <w:color w:val="000000"/>
          <w:sz w:val="22"/>
          <w:lang w:eastAsia="ja-JP"/>
        </w:rPr>
      </w:r>
    </w:p>
    <w:p>
      <w:pPr>
        <w:pStyle w:val="Normal"/>
        <w:rPr>
          <w:b/>
          <w:bCs/>
          <w:lang w:eastAsia="ja-JP"/>
        </w:rPr>
      </w:pPr>
      <w:r>
        <w:rPr>
          <w:b/>
          <w:bCs/>
          <w:lang w:eastAsia="ja-JP"/>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720"/>
        </w:tabs>
        <w:ind w:start="720" w:hanging="360"/>
      </w:pPr>
      <w:rPr/>
    </w:lvl>
  </w:abstractNum>
  <w:abstractNum w:abstractNumId="3">
    <w:lvl w:ilvl="0">
      <w:start w:val="2"/>
      <w:numFmt w:val="lowerRoman"/>
      <w:lvlText w:val="(%1)"/>
      <w:lvlJc w:val="start"/>
      <w:pPr>
        <w:tabs>
          <w:tab w:val="num" w:pos="1440"/>
        </w:tabs>
        <w:ind w:start="1440" w:hanging="720"/>
      </w:pPr>
      <w:rPr>
        <w:rFonts w:eastAsia="Times New Roman"/>
      </w:rPr>
    </w:lvl>
    <w:lvl w:ilvl="1">
      <w:start w:val="8"/>
      <w:numFmt w:val="lowerLetter"/>
      <w:lvlText w:val="(%2)"/>
      <w:lvlJc w:val="start"/>
      <w:pPr>
        <w:tabs>
          <w:tab w:val="num" w:pos="2160"/>
        </w:tabs>
        <w:ind w:start="2160" w:hanging="720"/>
      </w:pPr>
      <w:rPr>
        <w:color w:val="000000"/>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eastAsia="ＭＳ 明朝;MS Mincho"/>
      <w:b/>
      <w:bCs/>
      <w:u w:val="single"/>
      <w:lang w:eastAsia="ja-JP"/>
    </w:rPr>
  </w:style>
  <w:style w:type="paragraph" w:styleId="Heading2">
    <w:name w:val="heading 2"/>
    <w:basedOn w:val="Normal"/>
    <w:next w:val="Normal"/>
    <w:qFormat/>
    <w:pPr>
      <w:keepNext w:val="true"/>
      <w:numPr>
        <w:ilvl w:val="1"/>
        <w:numId w:val="1"/>
      </w:numPr>
      <w:outlineLvl w:val="1"/>
    </w:pPr>
    <w:rPr>
      <w:rFonts w:eastAsia="ＭＳ 明朝;MS Mincho"/>
      <w:b/>
      <w:bCs/>
      <w:lang w:eastAsia="ja-JP"/>
    </w:rPr>
  </w:style>
  <w:style w:type="character" w:styleId="WW8Num1z0">
    <w:name w:val="WW8Num1z0"/>
    <w:qFormat/>
    <w:rPr/>
  </w:style>
  <w:style w:type="character" w:styleId="WW8Num3z0">
    <w:name w:val="WW8Num3z0"/>
    <w:qFormat/>
    <w:rPr>
      <w:rFonts w:eastAsia="Times New Roman"/>
    </w:rPr>
  </w:style>
  <w:style w:type="character" w:styleId="WW8Num3z1">
    <w:name w:val="WW8Num3z1"/>
    <w:qFormat/>
    <w:rPr>
      <w:color w:val="000000"/>
    </w:rPr>
  </w:style>
  <w:style w:type="character" w:styleId="WW8Num4z0">
    <w:name w:val="WW8Num4z0"/>
    <w:qFormat/>
    <w:rPr>
      <w:b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40"/>
      <w:jc w:val="both"/>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tabs>
        <w:tab w:val="clear" w:pos="720"/>
        <w:tab w:val="center" w:pos="4419" w:leader="none"/>
        <w:tab w:val="right" w:pos="8838" w:leader="none"/>
      </w:tabs>
    </w:pPr>
    <w:rPr/>
  </w:style>
  <w:style w:type="paragraph" w:styleId="BodyTextIndent">
    <w:name w:val="Body Text Indent"/>
    <w:basedOn w:val="Normal"/>
    <w:pPr>
      <w:spacing w:lineRule="exact" w:line="240" w:before="240" w:after="0"/>
      <w:ind w:hanging="720" w:start="720" w:end="0"/>
      <w:jc w:val="both"/>
    </w:pPr>
    <w:rPr>
      <w:color w:val="000000"/>
      <w:sz w:val="22"/>
    </w:rPr>
  </w:style>
  <w:style w:type="paragraph" w:styleId="BodyTextIndent2">
    <w:name w:val="Body Text Indent 2"/>
    <w:basedOn w:val="Normal"/>
    <w:qFormat/>
    <w:pPr>
      <w:spacing w:lineRule="exact" w:line="240" w:before="240" w:after="0"/>
      <w:ind w:hanging="0" w:start="360" w:end="0"/>
      <w:jc w:val="both"/>
    </w:pPr>
    <w:rPr>
      <w:b/>
      <w:color w:val="000000"/>
      <w:sz w:val="22"/>
    </w:rPr>
  </w:style>
  <w:style w:type="paragraph" w:styleId="BlockText">
    <w:name w:val="Block Text"/>
    <w:basedOn w:val="Normal"/>
    <w:qFormat/>
    <w:pPr>
      <w:ind w:firstLine="720" w:start="720" w:end="720"/>
      <w:jc w:val="both"/>
    </w:pPr>
    <w:rPr>
      <w:rFonts w:eastAsia="Times New Roman"/>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2001-01-22T08:36:00Z</dcterms:created>
  <dc:creator>jmcbrid3</dc:creator>
  <dc:description/>
  <dc:language>en-CA</dc:language>
  <cp:lastModifiedBy>jmcbrid3</cp:lastModifiedBy>
  <dcterms:modified xsi:type="dcterms:W3CDTF">2001-01-22T09:06:00Z</dcterms:modified>
  <cp:revision>3</cp:revision>
  <dc:subject/>
  <dc:title>RIDERS</dc:title>
</cp:coreProperties>
</file>