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bookmarkStart w:id="0" w:name="currPos"/>
      <w:bookmarkEnd w:id="0"/>
      <w:r>
        <w:rPr>
          <w:b/>
        </w:rPr>
        <w:t>ISDA EUROPEAN ENERGY COMMITTEE</w:t>
      </w:r>
    </w:p>
    <w:p>
      <w:pPr>
        <w:pStyle w:val="Normal"/>
        <w:jc w:val="center"/>
        <w:rPr>
          <w:b/>
        </w:rPr>
      </w:pPr>
      <w:r>
        <w:rPr>
          <w:b/>
        </w:rPr>
      </w:r>
    </w:p>
    <w:p>
      <w:pPr>
        <w:pStyle w:val="Normal"/>
        <w:numPr>
          <w:ilvl w:val="0"/>
          <w:numId w:val="0"/>
        </w:numPr>
        <w:jc w:val="center"/>
        <w:outlineLvl w:val="0"/>
        <w:rPr>
          <w:b/>
        </w:rPr>
      </w:pPr>
      <w:r>
        <w:rPr>
          <w:b/>
        </w:rPr>
        <w:t>Standard Documentation for OTC Power and Gas Trading in Europe</w:t>
      </w:r>
    </w:p>
    <w:p>
      <w:pPr>
        <w:pStyle w:val="Normal"/>
        <w:rPr>
          <w:b/>
        </w:rPr>
      </w:pPr>
      <w:r>
        <w:rPr>
          <w:b/>
        </w:rPr>
      </w:r>
    </w:p>
    <w:p>
      <w:pPr>
        <w:pStyle w:val="Normal"/>
        <w:rPr/>
      </w:pPr>
      <w:r>
        <w:rPr/>
      </w:r>
    </w:p>
    <w:tbl>
      <w:tblPr>
        <w:tblW w:w="15867" w:type="dxa"/>
        <w:jc w:val="start"/>
        <w:tblInd w:w="0" w:type="dxa"/>
        <w:tblLayout w:type="fixed"/>
        <w:tblCellMar>
          <w:top w:w="0" w:type="dxa"/>
          <w:start w:w="108" w:type="dxa"/>
          <w:bottom w:w="0" w:type="dxa"/>
          <w:end w:w="108" w:type="dxa"/>
        </w:tblCellMar>
      </w:tblPr>
      <w:tblGrid>
        <w:gridCol w:w="558"/>
        <w:gridCol w:w="1701"/>
        <w:gridCol w:w="2268"/>
        <w:gridCol w:w="2268"/>
        <w:gridCol w:w="2268"/>
        <w:gridCol w:w="2268"/>
        <w:gridCol w:w="2268"/>
        <w:gridCol w:w="2268"/>
      </w:tblGrid>
      <w:tr>
        <w:trPr>
          <w:tblHeader w:val="true"/>
        </w:trPr>
        <w:tc>
          <w:tcPr>
            <w:tcW w:w="2259" w:type="dxa"/>
            <w:gridSpan w:val="2"/>
            <w:vMerge w:val="restart"/>
            <w:tcBorders>
              <w:top w:val="single" w:sz="4" w:space="0" w:color="000000"/>
              <w:start w:val="single" w:sz="4" w:space="0" w:color="000000"/>
              <w:bottom w:val="single" w:sz="4" w:space="0" w:color="000000"/>
              <w:end w:val="single" w:sz="4" w:space="0" w:color="000000"/>
            </w:tcBorders>
            <w:shd w:fill="D8D8D8" w:val="clear"/>
          </w:tcPr>
          <w:p>
            <w:pPr>
              <w:pStyle w:val="Heading2"/>
              <w:snapToGrid w:val="false"/>
              <w:spacing w:before="120" w:after="120"/>
              <w:rPr/>
            </w:pPr>
            <w:r>
              <w:rPr/>
            </w:r>
          </w:p>
        </w:tc>
        <w:tc>
          <w:tcPr>
            <w:tcW w:w="13608" w:type="dxa"/>
            <w:gridSpan w:val="6"/>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Agreement</w:t>
            </w:r>
          </w:p>
        </w:tc>
      </w:tr>
      <w:tr>
        <w:trPr>
          <w:tblHeader w:val="true"/>
        </w:trPr>
        <w:tc>
          <w:tcPr>
            <w:tcW w:w="2259" w:type="dxa"/>
            <w:gridSpan w:val="2"/>
            <w:vMerge w:val="continue"/>
            <w:tcBorders>
              <w:top w:val="single" w:sz="4" w:space="0" w:color="000000"/>
              <w:start w:val="single" w:sz="4" w:space="0" w:color="000000"/>
              <w:bottom w:val="single" w:sz="4" w:space="0" w:color="000000"/>
              <w:end w:val="single" w:sz="4" w:space="0" w:color="000000"/>
            </w:tcBorders>
            <w:shd w:fill="D8D8D8" w:val="clear"/>
          </w:tcPr>
          <w:p>
            <w:pPr>
              <w:pStyle w:val="Heading2"/>
              <w:numPr>
                <w:ilvl w:val="0"/>
                <w:numId w:val="0"/>
              </w:numPr>
              <w:snapToGrid w:val="false"/>
              <w:spacing w:before="120" w:after="120"/>
              <w:ind w:hanging="0" w:start="0"/>
              <w:rPr/>
            </w:pPr>
            <w:r>
              <w:rPr/>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EFET</w:t>
            </w:r>
            <w:r>
              <w:rPr>
                <w:rStyle w:val="EndnoteCharacters"/>
                <w:rStyle w:val="EndnoteReference"/>
              </w:rPr>
              <w:endnoteReference w:id="2"/>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Nordic Association</w:t>
            </w:r>
            <w:r>
              <w:rPr>
                <w:rStyle w:val="EndnoteCharacters"/>
                <w:rStyle w:val="EndnoteReference"/>
              </w:rPr>
              <w:endnoteReference w:id="3"/>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EFA</w:t>
            </w:r>
            <w:r>
              <w:rPr>
                <w:rStyle w:val="EndnoteCharacters"/>
                <w:rStyle w:val="EndnoteReference"/>
              </w:rPr>
              <w:endnoteReference w:id="4"/>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NBP</w:t>
            </w:r>
            <w:r>
              <w:rPr>
                <w:rStyle w:val="EndnoteCharacters"/>
                <w:rStyle w:val="EndnoteReference"/>
              </w:rPr>
              <w:endnoteReference w:id="5"/>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Zeebrugge</w:t>
            </w:r>
            <w:r>
              <w:rPr>
                <w:rStyle w:val="EndnoteCharacters"/>
                <w:rStyle w:val="EndnoteReference"/>
              </w:rPr>
              <w:endnoteReference w:id="6"/>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ISDA</w:t>
            </w:r>
            <w:r>
              <w:rPr>
                <w:rStyle w:val="EndnoteCharacters"/>
                <w:rStyle w:val="EndnoteReference"/>
              </w:rPr>
              <w:endnoteReference w:id="7"/>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Underlying Commodity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Electricity.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Energy.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Electricity.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Gas.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Gas.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Multi-product, including electricity and gas.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2.</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Type of Transaction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(delivery).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Cash-settled.</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(nominations).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(nominations).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(nominations).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Cash-settled and physical (delivery).</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3.</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Applicable Countries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Germany (but intended to be used throughout Continental Europe).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Scandinavia (but may be adapted for Continental Europe).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England and Wales.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England, Wales and Scotland.</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Belgium.</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All countries.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4.</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Agreement Structure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Individual Contracts forming a single agreement with the General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Confirmations forming a single agreement with the Master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Confirmations forming a single agreement with the Master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Stand-alone.  Each Transaction is documented by means of a Confirmation, which incorporates the Terms and Conditions.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Stand-alone.  Each Transaction is documented by means of a Confirmation, which incorporates the Trading Terms and Conditions.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Confirmations forming a single agreement with the Master Agreement.</w:t>
            </w:r>
          </w:p>
          <w:p>
            <w:pPr>
              <w:pStyle w:val="Normal"/>
              <w:spacing w:before="120" w:after="120"/>
              <w:jc w:val="start"/>
              <w:rPr>
                <w:sz w:val="16"/>
              </w:rPr>
            </w:pPr>
            <w:r>
              <w:rPr>
                <w:sz w:val="16"/>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5.</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Nature of Obligations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physically deliver electricity.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Difference payments calculated by reference to prices specified by the parties in the Confirmation.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nominations under the Balancing and Settlement Code, the system rules for the England and Wales electricity transmission system.</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nominations under the Network Code, the system rules for the England, Wales and Scotland onshore gas transmission system.</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nominations under the Distrigas Hub Services Agreement, the system rules for the connection between the Belgium gas transportation network and the U.K./Belgium gas interconnector.</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payments or delivery as agreed by the parties.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6.</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Force Majeure Relief</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Obligations are suspended in the event of Force Majeure.  (Widely defined and arguably includes plant specific circumstances.)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 relief.</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Obligations are suspended in the event of Force Majeure.  (Narrowly defined.  Restricted to Force Majeure related to the operation of the market.)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Party shall be relieved from liability for non-performance caused by 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Obligations are suspended in the event of 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 relief.</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7.</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Remedy for Non-performance (short of termination)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Additional sale/purchase price paid by the other party and adjusted by reasonable additional costs payable for failure to deliver or accept electricity.</w:t>
            </w:r>
          </w:p>
          <w:p>
            <w:pPr>
              <w:pStyle w:val="Normal"/>
              <w:spacing w:before="120" w:after="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 xml:space="preserve">Interest on late payment.  </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System imbalance charges payable for failure to make electricity nomination.</w:t>
            </w:r>
          </w:p>
          <w:p>
            <w:pPr>
              <w:pStyle w:val="Normal"/>
              <w:spacing w:before="120" w:after="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Compensation for failure to make trade nomination based on deemed imbalance charges (at the parties' election, at System Marginal Buy/Sell Price or System Average Price).</w:t>
            </w:r>
          </w:p>
          <w:p>
            <w:pPr>
              <w:pStyle w:val="Normal"/>
              <w:spacing w:before="120" w:after="12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Compensation for failure to make trade nomination based on deemed imbalance charges.</w:t>
            </w:r>
          </w:p>
          <w:p>
            <w:pPr>
              <w:pStyle w:val="Normal"/>
              <w:spacing w:before="120" w:after="12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Interest on late payment.</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8.</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Payment Netting</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9.</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Close-out Netting</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No (no cross default to other NBP agreements).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No (no cross default to other Zeebrugge contracts).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10.</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Nature of Termination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Mark-to-market, also (unless termination relates to Force Majeure) incremental transmission and other reasonable costs.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Loss based on total losses and costs incurred by Non-defaulting Party in relation to the termination of the Transaction.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Parties elect either:</w:t>
            </w:r>
          </w:p>
          <w:p>
            <w:pPr>
              <w:pStyle w:val="Normal"/>
              <w:spacing w:before="120" w:after="0"/>
              <w:jc w:val="start"/>
              <w:rPr>
                <w:sz w:val="16"/>
              </w:rPr>
            </w:pPr>
            <w:r>
              <w:rPr>
                <w:sz w:val="16"/>
              </w:rPr>
              <w:t>1.  Market Amount based on market quotations for a replacement transaction; or</w:t>
            </w:r>
          </w:p>
          <w:p>
            <w:pPr>
              <w:pStyle w:val="Normal"/>
              <w:spacing w:before="120" w:after="120"/>
              <w:jc w:val="start"/>
              <w:rPr>
                <w:sz w:val="16"/>
              </w:rPr>
            </w:pPr>
            <w:r>
              <w:rPr>
                <w:sz w:val="16"/>
              </w:rPr>
              <w:t>2.  Loss based on total losses and costs incurred by Non-Defaulting Party in relation to the termination of the Transaction.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Early Termination Payment amount based on market value of the Transaction determined in accordance with formulae set out in the Terms and Conditions.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Early Termination Payment amount based on market value of the Transaction determined in accordance with formulae set out in the Trading Terms and Conditions.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Parties elect either:</w:t>
            </w:r>
          </w:p>
          <w:p>
            <w:pPr>
              <w:pStyle w:val="Normal"/>
              <w:spacing w:before="120" w:after="0"/>
              <w:jc w:val="start"/>
              <w:rPr>
                <w:sz w:val="16"/>
              </w:rPr>
            </w:pPr>
            <w:r>
              <w:rPr>
                <w:sz w:val="16"/>
              </w:rPr>
              <w:t>1.  Market Quotation based on quotations in the market for a replacement transaction.</w:t>
            </w:r>
          </w:p>
          <w:p>
            <w:pPr>
              <w:pStyle w:val="Normal"/>
              <w:spacing w:before="120" w:after="0"/>
              <w:jc w:val="start"/>
              <w:rPr>
                <w:sz w:val="16"/>
              </w:rPr>
            </w:pPr>
            <w:r>
              <w:rPr>
                <w:sz w:val="16"/>
              </w:rPr>
              <w:t>2.  Loss based on total losses and costs incurred by Non-defaulting Party in relation to the termination of the Transaction.</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11.</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Walk-away Option</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 other than where Defaulting Party is insolvent.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N/A.</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N/A.</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Parties can elect a walk-away clause under which the Non-defaulting Party would not have to make any termination payment due to the Defaulting Party.</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12.</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Events of Default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Failure to deliver or accept electricity.</w:t>
            </w:r>
          </w:p>
          <w:p>
            <w:pPr>
              <w:pStyle w:val="Normal"/>
              <w:spacing w:before="120" w:after="0"/>
              <w:jc w:val="start"/>
              <w:rPr>
                <w:sz w:val="16"/>
              </w:rPr>
            </w:pPr>
            <w:r>
              <w:rPr>
                <w:sz w:val="16"/>
              </w:rPr>
              <w:t>Breach of material obligation.</w:t>
            </w:r>
          </w:p>
          <w:p>
            <w:pPr>
              <w:pStyle w:val="Normal"/>
              <w:spacing w:before="120" w:after="0"/>
              <w:jc w:val="start"/>
              <w:rPr>
                <w:sz w:val="16"/>
              </w:rPr>
            </w:pPr>
            <w:r>
              <w:rPr>
                <w:sz w:val="16"/>
              </w:rPr>
              <w:t>Breach of representation or warranty.</w:t>
            </w:r>
          </w:p>
          <w:p>
            <w:pPr>
              <w:pStyle w:val="Normal"/>
              <w:spacing w:before="120" w:after="0"/>
              <w:jc w:val="start"/>
              <w:rPr>
                <w:sz w:val="16"/>
              </w:rPr>
            </w:pPr>
            <w:r>
              <w:rPr>
                <w:sz w:val="16"/>
              </w:rPr>
              <w:t>Insolvency.</w:t>
            </w:r>
          </w:p>
          <w:p>
            <w:pPr>
              <w:pStyle w:val="Normal"/>
              <w:spacing w:before="120" w:after="120"/>
              <w:jc w:val="start"/>
              <w:rPr>
                <w:sz w:val="16"/>
              </w:rPr>
            </w:pPr>
            <w:r>
              <w:rPr>
                <w:sz w:val="16"/>
              </w:rPr>
              <w:t>Credit support failure.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Breach of agreement.</w:t>
            </w:r>
          </w:p>
          <w:p>
            <w:pPr>
              <w:pStyle w:val="Normal"/>
              <w:spacing w:before="120" w:after="0"/>
              <w:jc w:val="start"/>
              <w:rPr>
                <w:sz w:val="16"/>
              </w:rPr>
            </w:pPr>
            <w:r>
              <w:rPr>
                <w:sz w:val="16"/>
              </w:rPr>
              <w:t>Misrepresentation.</w:t>
            </w:r>
          </w:p>
          <w:p>
            <w:pPr>
              <w:pStyle w:val="Normal"/>
              <w:spacing w:before="120" w:after="0"/>
              <w:jc w:val="start"/>
              <w:rPr>
                <w:sz w:val="16"/>
              </w:rPr>
            </w:pPr>
            <w:r>
              <w:rPr>
                <w:sz w:val="16"/>
              </w:rPr>
              <w:t>Insolvency.</w:t>
            </w:r>
          </w:p>
          <w:p>
            <w:pPr>
              <w:pStyle w:val="Normal"/>
              <w:spacing w:before="120" w:after="0"/>
              <w:jc w:val="start"/>
              <w:rPr>
                <w:sz w:val="16"/>
              </w:rPr>
            </w:pPr>
            <w:r>
              <w:rPr>
                <w:sz w:val="16"/>
              </w:rPr>
              <w:t>Merger.</w:t>
            </w:r>
          </w:p>
          <w:p>
            <w:pPr>
              <w:pStyle w:val="Normal"/>
              <w:spacing w:before="120" w:after="0"/>
              <w:jc w:val="start"/>
              <w:rPr>
                <w:sz w:val="16"/>
              </w:rPr>
            </w:pPr>
            <w:r>
              <w:rPr>
                <w:sz w:val="16"/>
              </w:rPr>
              <w:t>Cross default.</w:t>
            </w:r>
          </w:p>
          <w:p>
            <w:pPr>
              <w:pStyle w:val="Normal"/>
              <w:spacing w:before="120" w:after="0"/>
              <w:jc w:val="start"/>
              <w:rPr>
                <w:sz w:val="16"/>
              </w:rPr>
            </w:pPr>
            <w:r>
              <w:rPr>
                <w:sz w:val="16"/>
              </w:rPr>
              <w:t>Credit support default.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Persistent notification default.</w:t>
            </w:r>
          </w:p>
          <w:p>
            <w:pPr>
              <w:pStyle w:val="Normal"/>
              <w:spacing w:before="120" w:after="0"/>
              <w:jc w:val="start"/>
              <w:rPr>
                <w:sz w:val="16"/>
              </w:rPr>
            </w:pPr>
            <w:r>
              <w:rPr>
                <w:sz w:val="16"/>
              </w:rPr>
              <w:t>Breach of material obligation.</w:t>
            </w:r>
          </w:p>
          <w:p>
            <w:pPr>
              <w:pStyle w:val="Normal"/>
              <w:spacing w:before="120" w:after="0"/>
              <w:jc w:val="start"/>
              <w:rPr>
                <w:sz w:val="16"/>
              </w:rPr>
            </w:pPr>
            <w:r>
              <w:rPr>
                <w:sz w:val="16"/>
              </w:rPr>
              <w:t>Breach of representation or warranty.</w:t>
            </w:r>
          </w:p>
          <w:p>
            <w:pPr>
              <w:pStyle w:val="Normal"/>
              <w:spacing w:before="120" w:after="0"/>
              <w:jc w:val="start"/>
              <w:rPr>
                <w:sz w:val="16"/>
              </w:rPr>
            </w:pPr>
            <w:r>
              <w:rPr>
                <w:sz w:val="16"/>
              </w:rPr>
              <w:t>Insolvency.</w:t>
            </w:r>
          </w:p>
          <w:p>
            <w:pPr>
              <w:pStyle w:val="Normal"/>
              <w:spacing w:before="120" w:after="0"/>
              <w:jc w:val="start"/>
              <w:rPr>
                <w:sz w:val="16"/>
              </w:rPr>
            </w:pPr>
            <w:r>
              <w:rPr>
                <w:sz w:val="16"/>
              </w:rPr>
              <w:t>Cross default.</w:t>
            </w:r>
          </w:p>
          <w:p>
            <w:pPr>
              <w:pStyle w:val="Normal"/>
              <w:spacing w:before="120" w:after="0"/>
              <w:jc w:val="start"/>
              <w:rPr>
                <w:sz w:val="16"/>
              </w:rPr>
            </w:pPr>
            <w:r>
              <w:rPr>
                <w:sz w:val="16"/>
              </w:rPr>
              <w:t>Default under Relevant Transaction.</w:t>
            </w:r>
          </w:p>
          <w:p>
            <w:pPr>
              <w:pStyle w:val="Normal"/>
              <w:spacing w:before="120" w:after="0"/>
              <w:jc w:val="start"/>
              <w:rPr>
                <w:sz w:val="16"/>
              </w:rPr>
            </w:pPr>
            <w:r>
              <w:rPr>
                <w:sz w:val="16"/>
              </w:rPr>
              <w:t>Material adverse change.</w:t>
            </w:r>
          </w:p>
          <w:p>
            <w:pPr>
              <w:pStyle w:val="Normal"/>
              <w:spacing w:before="120" w:after="120"/>
              <w:jc w:val="start"/>
              <w:rPr>
                <w:sz w:val="16"/>
              </w:rPr>
            </w:pPr>
            <w:r>
              <w:rPr>
                <w:sz w:val="16"/>
              </w:rPr>
              <w:t>Credit support failure.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Material breach of obligation (including persistent failure to make trade nomination).</w:t>
            </w:r>
          </w:p>
          <w:p>
            <w:pPr>
              <w:pStyle w:val="Normal"/>
              <w:spacing w:before="120" w:after="0"/>
              <w:jc w:val="start"/>
              <w:rPr>
                <w:sz w:val="16"/>
              </w:rPr>
            </w:pPr>
            <w:r>
              <w:rPr>
                <w:sz w:val="16"/>
              </w:rPr>
              <w:t>Failure to maintain authorisations and consents.</w:t>
            </w:r>
          </w:p>
          <w:p>
            <w:pPr>
              <w:pStyle w:val="Normal"/>
              <w:spacing w:before="120" w:after="0"/>
              <w:jc w:val="start"/>
              <w:rPr>
                <w:sz w:val="16"/>
              </w:rPr>
            </w:pPr>
            <w:r>
              <w:rPr>
                <w:sz w:val="16"/>
              </w:rPr>
              <w:t>Material adverse change.</w:t>
            </w:r>
          </w:p>
          <w:p>
            <w:pPr>
              <w:pStyle w:val="Normal"/>
              <w:spacing w:before="120" w:after="0"/>
              <w:jc w:val="start"/>
              <w:rPr>
                <w:sz w:val="16"/>
              </w:rPr>
            </w:pPr>
            <w:r>
              <w:rPr>
                <w:sz w:val="16"/>
              </w:rPr>
              <w:t>Insolvency.</w:t>
            </w:r>
          </w:p>
          <w:p>
            <w:pPr>
              <w:pStyle w:val="Normal"/>
              <w:spacing w:before="120" w:after="0"/>
              <w:jc w:val="start"/>
              <w:rPr>
                <w:sz w:val="16"/>
              </w:rPr>
            </w:pPr>
            <w:r>
              <w:rPr>
                <w:sz w:val="16"/>
              </w:rPr>
              <w:t>Failure to provide or maintain any relevant security for performance of financial obligations.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Material breach of obligation (including persistent failure to make trade nomination).</w:t>
            </w:r>
          </w:p>
          <w:p>
            <w:pPr>
              <w:pStyle w:val="Normal"/>
              <w:spacing w:before="120" w:after="0"/>
              <w:jc w:val="start"/>
              <w:rPr>
                <w:sz w:val="16"/>
              </w:rPr>
            </w:pPr>
            <w:r>
              <w:rPr>
                <w:sz w:val="16"/>
              </w:rPr>
              <w:t>Failure to maintain authorisations and consents.</w:t>
            </w:r>
          </w:p>
          <w:p>
            <w:pPr>
              <w:pStyle w:val="Normal"/>
              <w:spacing w:before="120" w:after="0"/>
              <w:jc w:val="start"/>
              <w:rPr>
                <w:sz w:val="16"/>
              </w:rPr>
            </w:pPr>
            <w:r>
              <w:rPr>
                <w:sz w:val="16"/>
              </w:rPr>
              <w:t>Material adverse change.</w:t>
            </w:r>
          </w:p>
          <w:p>
            <w:pPr>
              <w:pStyle w:val="Normal"/>
              <w:spacing w:before="120" w:after="0"/>
              <w:jc w:val="start"/>
              <w:rPr>
                <w:sz w:val="16"/>
              </w:rPr>
            </w:pPr>
            <w:r>
              <w:rPr>
                <w:sz w:val="16"/>
              </w:rPr>
              <w:t>Insolvency.</w:t>
            </w:r>
          </w:p>
          <w:p>
            <w:pPr>
              <w:pStyle w:val="Normal"/>
              <w:spacing w:before="120" w:after="0"/>
              <w:jc w:val="start"/>
              <w:rPr>
                <w:sz w:val="16"/>
              </w:rPr>
            </w:pPr>
            <w:r>
              <w:rPr>
                <w:sz w:val="16"/>
              </w:rPr>
              <w:t>Failure to provide or maintain any relevant security for performance of financial obligations.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Failure to pay or deliver.</w:t>
            </w:r>
          </w:p>
          <w:p>
            <w:pPr>
              <w:pStyle w:val="Normal"/>
              <w:spacing w:before="120" w:after="0"/>
              <w:jc w:val="start"/>
              <w:rPr>
                <w:sz w:val="16"/>
              </w:rPr>
            </w:pPr>
            <w:r>
              <w:rPr>
                <w:sz w:val="16"/>
              </w:rPr>
              <w:t>Breach of agreement.</w:t>
            </w:r>
          </w:p>
          <w:p>
            <w:pPr>
              <w:pStyle w:val="Normal"/>
              <w:spacing w:before="120" w:after="0"/>
              <w:jc w:val="start"/>
              <w:rPr>
                <w:sz w:val="16"/>
              </w:rPr>
            </w:pPr>
            <w:r>
              <w:rPr>
                <w:sz w:val="16"/>
              </w:rPr>
              <w:t>Misrepresentation.</w:t>
            </w:r>
          </w:p>
          <w:p>
            <w:pPr>
              <w:pStyle w:val="Normal"/>
              <w:spacing w:before="120" w:after="0"/>
              <w:jc w:val="start"/>
              <w:rPr>
                <w:sz w:val="16"/>
              </w:rPr>
            </w:pPr>
            <w:r>
              <w:rPr>
                <w:sz w:val="16"/>
              </w:rPr>
              <w:t>Bankruptcy.</w:t>
            </w:r>
          </w:p>
          <w:p>
            <w:pPr>
              <w:pStyle w:val="Normal"/>
              <w:spacing w:before="120" w:after="0"/>
              <w:jc w:val="start"/>
              <w:rPr>
                <w:sz w:val="16"/>
              </w:rPr>
            </w:pPr>
            <w:r>
              <w:rPr>
                <w:sz w:val="16"/>
              </w:rPr>
              <w:t>Cross default.</w:t>
            </w:r>
          </w:p>
          <w:p>
            <w:pPr>
              <w:pStyle w:val="Normal"/>
              <w:spacing w:before="120" w:after="0"/>
              <w:jc w:val="start"/>
              <w:rPr>
                <w:sz w:val="16"/>
              </w:rPr>
            </w:pPr>
            <w:r>
              <w:rPr>
                <w:sz w:val="16"/>
              </w:rPr>
              <w:t>Default under Specified Transaction.</w:t>
            </w:r>
          </w:p>
          <w:p>
            <w:pPr>
              <w:pStyle w:val="Normal"/>
              <w:spacing w:before="120" w:after="0"/>
              <w:jc w:val="start"/>
              <w:rPr>
                <w:sz w:val="16"/>
              </w:rPr>
            </w:pPr>
            <w:r>
              <w:rPr>
                <w:sz w:val="16"/>
              </w:rPr>
              <w:t>Merger without assumption.</w:t>
            </w:r>
          </w:p>
          <w:p>
            <w:pPr>
              <w:pStyle w:val="Normal"/>
              <w:spacing w:before="120" w:after="0"/>
              <w:jc w:val="start"/>
              <w:rPr>
                <w:sz w:val="16"/>
              </w:rPr>
            </w:pPr>
            <w:r>
              <w:rPr>
                <w:sz w:val="16"/>
              </w:rPr>
              <w:t>Credit support default.</w:t>
            </w:r>
          </w:p>
          <w:p>
            <w:pPr>
              <w:pStyle w:val="Normal"/>
              <w:spacing w:before="120" w:after="0"/>
              <w:jc w:val="start"/>
              <w:rPr>
                <w:sz w:val="16"/>
              </w:rPr>
            </w:pPr>
            <w:r>
              <w:rPr>
                <w:sz w:val="16"/>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13.</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Other Termination Events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Changes in taxes.</w:t>
            </w:r>
          </w:p>
          <w:p>
            <w:pPr>
              <w:pStyle w:val="Normal"/>
              <w:keepNext w:val="true"/>
              <w:keepLines/>
              <w:spacing w:before="120" w:after="120"/>
              <w:jc w:val="start"/>
              <w:rPr>
                <w:sz w:val="16"/>
              </w:rPr>
            </w:pPr>
            <w:r>
              <w:rPr>
                <w:sz w:val="16"/>
              </w:rPr>
              <w:t>Non-performance due to 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Illegality.</w:t>
            </w:r>
          </w:p>
          <w:p>
            <w:pPr>
              <w:pStyle w:val="Normal"/>
              <w:keepNext w:val="true"/>
              <w:keepLines/>
              <w:spacing w:before="120" w:after="120"/>
              <w:jc w:val="start"/>
              <w:rPr>
                <w:sz w:val="16"/>
              </w:rPr>
            </w:pPr>
            <w:r>
              <w:rPr>
                <w:sz w:val="16"/>
              </w:rPr>
              <w:t>Change in taxes.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Illegality.</w:t>
            </w:r>
          </w:p>
          <w:p>
            <w:pPr>
              <w:pStyle w:val="Normal"/>
              <w:keepNext w:val="true"/>
              <w:keepLines/>
              <w:spacing w:before="120" w:after="120"/>
              <w:jc w:val="start"/>
              <w:rPr>
                <w:sz w:val="16"/>
              </w:rPr>
            </w:pPr>
            <w:r>
              <w:rPr>
                <w:sz w:val="16"/>
              </w:rPr>
              <w:t>Change in taxes.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Illegality.</w:t>
            </w:r>
          </w:p>
          <w:p>
            <w:pPr>
              <w:pStyle w:val="Normal"/>
              <w:keepNext w:val="true"/>
              <w:keepLines/>
              <w:spacing w:before="120" w:after="0"/>
              <w:jc w:val="start"/>
              <w:rPr>
                <w:sz w:val="16"/>
              </w:rPr>
            </w:pPr>
            <w:r>
              <w:rPr>
                <w:sz w:val="16"/>
              </w:rPr>
              <w:t>Tax event.</w:t>
            </w:r>
          </w:p>
          <w:p>
            <w:pPr>
              <w:pStyle w:val="Normal"/>
              <w:keepNext w:val="true"/>
              <w:keepLines/>
              <w:spacing w:before="120" w:after="0"/>
              <w:jc w:val="start"/>
              <w:rPr>
                <w:sz w:val="16"/>
              </w:rPr>
            </w:pPr>
            <w:r>
              <w:rPr>
                <w:sz w:val="16"/>
              </w:rPr>
              <w:t>Tax event upon merger.</w:t>
            </w:r>
          </w:p>
          <w:p>
            <w:pPr>
              <w:pStyle w:val="Normal"/>
              <w:keepNext w:val="true"/>
              <w:keepLines/>
              <w:spacing w:before="120" w:after="0"/>
              <w:jc w:val="start"/>
              <w:rPr>
                <w:sz w:val="16"/>
              </w:rPr>
            </w:pPr>
            <w:r>
              <w:rPr>
                <w:sz w:val="16"/>
              </w:rPr>
              <w:t>Credit event upon merger.</w:t>
            </w:r>
          </w:p>
          <w:p>
            <w:pPr>
              <w:pStyle w:val="Normal"/>
              <w:keepNext w:val="true"/>
              <w:keepLines/>
              <w:spacing w:before="120" w:after="120"/>
              <w:jc w:val="start"/>
              <w:rPr>
                <w:sz w:val="16"/>
              </w:rPr>
            </w:pPr>
            <w:r>
              <w:rPr>
                <w:sz w:val="16"/>
              </w:rPr>
              <w:t>Any other event specified as an Additional Termination Event.</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14.</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Change in Law/Taxes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Party affected by change in taxes has right to terminate.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Illegality and change in taxes are termination events.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Changes in system rules subject to independent expert's determination.</w:t>
            </w:r>
          </w:p>
          <w:p>
            <w:pPr>
              <w:pStyle w:val="Normal"/>
              <w:keepNext w:val="true"/>
              <w:keepLines/>
              <w:spacing w:before="120" w:after="120"/>
              <w:jc w:val="start"/>
              <w:rPr>
                <w:sz w:val="16"/>
              </w:rPr>
            </w:pPr>
            <w:r>
              <w:rPr>
                <w:sz w:val="16"/>
              </w:rPr>
              <w:t>2.  Illegality and change in taxes are termination events.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Not addressed.</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Not addressed.</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Illegality and change in taxes are termination events.</w:t>
            </w:r>
          </w:p>
        </w:tc>
      </w:tr>
      <w:tr>
        <w:trPr>
          <w:trHeight w:val="4400" w:hRule="atLeast"/>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15.</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Limitation of Liability</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Parties elect either:</w:t>
            </w:r>
          </w:p>
          <w:p>
            <w:pPr>
              <w:pStyle w:val="Normal"/>
              <w:keepNext w:val="true"/>
              <w:keepLines/>
              <w:spacing w:before="120" w:after="0"/>
              <w:jc w:val="start"/>
              <w:rPr>
                <w:sz w:val="16"/>
              </w:rPr>
            </w:pPr>
            <w:r>
              <w:rPr>
                <w:sz w:val="16"/>
              </w:rPr>
              <w:t>1.  Liability for damage due to non-performance only, unless breach is fundamental or damage is caused by intent or gross negligence.  Damage must be of a foreseeable and customary nature.</w:t>
            </w:r>
          </w:p>
          <w:p>
            <w:pPr>
              <w:pStyle w:val="Normal"/>
              <w:keepNext w:val="true"/>
              <w:keepLines/>
              <w:spacing w:before="120" w:after="0"/>
              <w:jc w:val="start"/>
              <w:rPr>
                <w:sz w:val="16"/>
              </w:rPr>
            </w:pPr>
            <w:r>
              <w:rPr>
                <w:sz w:val="16"/>
              </w:rPr>
              <w:t>Liability limited to amounts payable for electricity supplied under an Individual Contract; or</w:t>
            </w:r>
          </w:p>
          <w:p>
            <w:pPr>
              <w:pStyle w:val="Normal"/>
              <w:keepNext w:val="true"/>
              <w:keepLines/>
              <w:spacing w:before="120" w:after="0"/>
              <w:jc w:val="start"/>
              <w:rPr>
                <w:sz w:val="16"/>
              </w:rPr>
            </w:pPr>
            <w:r>
              <w:rPr>
                <w:sz w:val="16"/>
              </w:rPr>
              <w:t>2.  Liability for damage due to non-performance only, unless damage is caused by intent or gross negligence.</w:t>
            </w:r>
          </w:p>
          <w:p>
            <w:pPr>
              <w:pStyle w:val="Normal"/>
              <w:keepNext w:val="true"/>
              <w:keepLines/>
              <w:spacing w:before="120" w:after="120"/>
              <w:jc w:val="start"/>
              <w:rPr/>
            </w:pPr>
            <w:r>
              <w:rPr>
                <w:sz w:val="16"/>
              </w:rPr>
              <w:t xml:space="preserve">Liability for damage to property, loss of profit, indirect or consequential damages limited to </w:t>
            </w:r>
            <w:r>
              <w:rPr>
                <w:rFonts w:eastAsia="Euro Sign Mono;Symbol" w:cs="Euro Sign Mono;Symbol" w:ascii="Euro Sign Mono;Symbol" w:hAnsi="Euro Sign Mono;Symbol"/>
                <w:sz w:val="16"/>
              </w:rPr>
              <w:sym w:font="Euro Sign Mono;Symbol" w:char="f065"/>
            </w:r>
            <w:r>
              <w:rPr>
                <w:sz w:val="16"/>
              </w:rPr>
              <w:t>2,600.</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Remedies provided by agreement are not exclusive.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Consequential losses of a nature not expressly provided for in the Master Agreement excluded.</w:t>
            </w:r>
          </w:p>
          <w:p>
            <w:pPr>
              <w:pStyle w:val="Normal"/>
              <w:keepNext w:val="true"/>
              <w:keepLines/>
              <w:spacing w:before="120" w:after="0"/>
              <w:jc w:val="start"/>
              <w:rPr>
                <w:sz w:val="16"/>
              </w:rPr>
            </w:pPr>
            <w:r>
              <w:rPr>
                <w:sz w:val="16"/>
              </w:rPr>
              <w:t>2.  Remedies for non-performance are liquidated and exclusive.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No liability for indirect losses, unless expressly provided for in the Terms and Conditions.</w:t>
            </w:r>
          </w:p>
          <w:p>
            <w:pPr>
              <w:pStyle w:val="Normal"/>
              <w:keepNext w:val="true"/>
              <w:keepLines/>
              <w:spacing w:before="120" w:after="120"/>
              <w:jc w:val="start"/>
              <w:rPr>
                <w:sz w:val="16"/>
              </w:rPr>
            </w:pPr>
            <w:r>
              <w:rPr>
                <w:sz w:val="16"/>
              </w:rPr>
              <w:t>2.  Remedies provided by agreement are sole remedy.</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No liability for indirect losses, unless expressly provided for in the Trading Terms and Conditions.</w:t>
            </w:r>
          </w:p>
          <w:p>
            <w:pPr>
              <w:pStyle w:val="Normal"/>
              <w:keepNext w:val="true"/>
              <w:keepLines/>
              <w:spacing w:before="120" w:after="120"/>
              <w:jc w:val="start"/>
              <w:rPr>
                <w:sz w:val="16"/>
              </w:rPr>
            </w:pPr>
            <w:r>
              <w:rPr>
                <w:sz w:val="16"/>
              </w:rPr>
              <w:t>2.  Remedies provided by agreement are sole remedy.</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Remedies provided by agreement are not exclusive.</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16.</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Credit Support Arrangements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General Agreement, but no specific provisions are set out.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Master Agreement, but no specific provisions are set out.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Master Agreement, but no specific provisions are set out.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Master Agreement.  Separate credit support documentation available, designed to form part of, or be entered into in conjunction with, the Master Agreement.</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17.</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Governing Law</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German.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Elected by the parties in the Schedule.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English.</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English.</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Belgian.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Parties elect either English or New York.</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18.</w:t>
            </w:r>
          </w:p>
        </w:tc>
        <w:tc>
          <w:tcPr>
            <w:tcW w:w="170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Legal Opinion</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On enforceability of close-out netting.  Survey in progress.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On enforceability of close-out netting (35 jurisdictions) and collateral arrangements (17 jurisdictions).</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19.</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Other Comments</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b/>
                <w:sz w:val="16"/>
              </w:rPr>
            </w:pPr>
            <w:r>
              <w:rPr>
                <w:b/>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sz w:val="16"/>
              </w:rPr>
            </w:pPr>
            <w:r>
              <w:rPr>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The provisions of the Master Agreement are designed to be consistent with the U.K. electricity trading regime following the introduction of New Electricity Trading Arrangements (NETA), expected to come into force in Autumn 2000.</w:t>
            </w:r>
          </w:p>
          <w:p>
            <w:pPr>
              <w:pStyle w:val="Normal"/>
              <w:spacing w:before="120" w:after="120"/>
              <w:jc w:val="start"/>
              <w:rPr>
                <w:sz w:val="16"/>
              </w:rPr>
            </w:pPr>
            <w:r>
              <w:rPr>
                <w:sz w:val="16"/>
              </w:rPr>
              <w:t>Schedule 4 to the Master Agreement also sets out provisions appropriate for the pre-NETA trading regime.</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sz w:val="16"/>
              </w:rPr>
            </w:pPr>
            <w:r>
              <w:rPr>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sz w:val="16"/>
              </w:rPr>
            </w:pPr>
            <w:r>
              <w:rPr>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Product-specific definitions booklets are published for incorporation into Confirmations for  Transactions, forming part of the Master Agreement.</w:t>
            </w:r>
          </w:p>
          <w:p>
            <w:pPr>
              <w:pStyle w:val="Normal"/>
              <w:spacing w:before="120" w:after="120"/>
              <w:jc w:val="start"/>
              <w:rPr>
                <w:sz w:val="16"/>
              </w:rPr>
            </w:pPr>
            <w:r>
              <w:rPr>
                <w:sz w:val="16"/>
              </w:rPr>
              <w:t>1993 ISDA Commodity Derivatives Definitions (as supplemented by the 2000 Supplement) contain definitions appropriate for certain cash-settled electricity and gas transactions.</w:t>
            </w:r>
          </w:p>
        </w:tc>
      </w:tr>
    </w:tbl>
    <w:p>
      <w:pPr>
        <w:pStyle w:val="Normal"/>
        <w:numPr>
          <w:ilvl w:val="0"/>
          <w:numId w:val="0"/>
        </w:numPr>
        <w:outlineLvl w:val="0"/>
        <w:rPr>
          <w:b/>
        </w:rPr>
      </w:pPr>
      <w:r>
        <w:br w:type="page"/>
      </w:r>
      <w:r>
        <w:rPr>
          <w:b/>
        </w:rPr>
        <w:t>Description of Agreements:</w:t>
      </w:r>
    </w:p>
    <w:sectPr>
      <w:footerReference w:type="default" r:id="rId2"/>
      <w:footerReference w:type="first" r:id="rId3"/>
      <w:endnotePr>
        <w:pos w:val="sectEnd"/>
        <w:numFmt w:val="decimal"/>
      </w:endnotePr>
      <w:type w:val="nextPage"/>
      <w:pgSz w:orient="landscape" w:w="16838" w:h="11906"/>
      <w:pgMar w:left="567" w:right="567" w:gutter="0" w:header="0" w:top="1440" w:footer="1077" w:bottom="1276"/>
      <w:pgNumType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European Federation of Energy Traders - General Agreement (2000)</w:t>
      </w:r>
    </w:p>
  </w:endnote>
  <w:endnote w:id="3">
    <w:p>
      <w:pPr>
        <w:pStyle w:val="EndnoteText"/>
        <w:rPr/>
      </w:pPr>
      <w:r>
        <w:rPr>
          <w:rStyle w:val="EndnoteCharacters"/>
        </w:rPr>
        <w:endnoteRef/>
      </w:r>
      <w:r>
        <w:rPr/>
        <w:t xml:space="preserve"> </w:t>
      </w:r>
      <w:r>
        <w:rPr/>
        <w:t>Nordic Association - Financial Energy Master Agreement (2000)</w:t>
      </w:r>
    </w:p>
  </w:endnote>
  <w:endnote w:id="4">
    <w:p>
      <w:pPr>
        <w:pStyle w:val="EndnoteText"/>
        <w:rPr/>
      </w:pPr>
      <w:r>
        <w:rPr>
          <w:rStyle w:val="EndnoteCharacters"/>
        </w:rPr>
        <w:endnoteRef/>
      </w:r>
      <w:r>
        <w:rPr/>
        <w:t xml:space="preserve"> </w:t>
      </w:r>
      <w:r>
        <w:rPr/>
        <w:t>Electricity Forward Agreement Association - Grid Trade Master Agreement (2000)</w:t>
      </w:r>
    </w:p>
  </w:endnote>
  <w:endnote w:id="5">
    <w:p>
      <w:pPr>
        <w:pStyle w:val="EndnoteText"/>
        <w:rPr/>
      </w:pPr>
      <w:r>
        <w:rPr>
          <w:rStyle w:val="EndnoteCharacters"/>
        </w:rPr>
        <w:endnoteRef/>
      </w:r>
      <w:r>
        <w:rPr/>
        <w:t xml:space="preserve"> </w:t>
      </w:r>
      <w:r>
        <w:rPr/>
        <w:t>Short Term Flat NBP Trading Terms &amp; Conditions (1997)</w:t>
      </w:r>
    </w:p>
  </w:endnote>
  <w:endnote w:id="6">
    <w:p>
      <w:pPr>
        <w:pStyle w:val="EndnoteText"/>
        <w:rPr/>
      </w:pPr>
      <w:r>
        <w:rPr>
          <w:rStyle w:val="EndnoteCharacters"/>
        </w:rPr>
        <w:endnoteRef/>
      </w:r>
      <w:r>
        <w:rPr/>
        <w:t xml:space="preserve"> </w:t>
      </w:r>
      <w:r>
        <w:rPr/>
        <w:t>Zeebrugge Standard Trading Agreement (1999)</w:t>
      </w:r>
    </w:p>
  </w:endnote>
  <w:endnote w:id="7">
    <w:p>
      <w:pPr>
        <w:pStyle w:val="EndnoteText"/>
        <w:rPr/>
      </w:pPr>
      <w:r>
        <w:rPr>
          <w:rStyle w:val="EndnoteCharacters"/>
        </w:rPr>
        <w:endnoteRef/>
      </w:r>
      <w:r>
        <w:rPr/>
        <w:t xml:space="preserve"> </w:t>
      </w:r>
      <w:r>
        <w:rPr/>
        <w:t>ISDA Master Agreement (Multicurrency - Cross Border) (1992)</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Euro Sign Mono">
    <w:altName w:val="Symbol"/>
    <w:charset w:val="02"/>
    <w:family w:val="modern"/>
    <w:pitch w:val="default"/>
  </w:font>
  <w:font w:name="CopprplGoth BT">
    <w:altName w:val="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jc w:val="end"/>
      <w:rPr/>
    </w:pPr>
    <w:r>
      <w:rPr>
        <w:rStyle w:val="PageNumber"/>
        <w:sz w:val="16"/>
      </w:rPr>
      <w:t>ICM:448531.2</w:t>
    </w:r>
  </w:p>
  <w:p>
    <w:pPr>
      <w:pStyle w:val="Footer"/>
      <w:jc w:val="start"/>
      <w:rPr>
        <w:rStyle w:val="PageNumber"/>
      </w:rPr>
    </w:pPr>
    <w:r>
      <w:rPr>
        <w:rFonts w:cs="CopprplGoth BT;Century Gothic" w:ascii="CopprplGoth BT;Century Gothic" w:hAnsi="CopprplGoth BT;Century Gothic"/>
        <w:sz w:val="32"/>
        <w:lang w:val="en-CA" w:eastAsia="en-CA"/>
      </w:rPr>
      <w:t>ALLEN &amp; OVERY</w:t>
    </w:r>
  </w:p>
  <w:p>
    <w:pPr>
      <w:pStyle w:val="Footer"/>
      <w:jc w:val="end"/>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enter" w:pos="7920" w:leader="none"/>
        <w:tab w:val="right" w:pos="8306" w:leader="none"/>
      </w:tabs>
      <w:jc w:val="start"/>
      <w:rPr>
        <w:rStyle w:val="PageNumb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/mnt/main-storage/datasets/enron-docs/doc/ISDA_EEC_Chart.doc</w:t>
    </w:r>
    <w:r>
      <w:rPr>
        <w:rStyle w:val="PageNumber"/>
        <w:sz w:val="12"/>
      </w:rPr>
      <w:fldChar w:fldCharType="end"/>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end"/>
      <w:rPr/>
    </w:pPr>
    <w:r>
      <w:rPr>
        <w:rStyle w:val="PageNumber"/>
        <w:sz w:val="16"/>
      </w:rPr>
      <w:t>ICM:448531.2</w:t>
    </w:r>
  </w:p>
  <w:p>
    <w:pPr>
      <w:pStyle w:val="Footer"/>
      <w:jc w:val="start"/>
      <w:rPr>
        <w:rStyle w:val="PageNumber"/>
        <w:sz w:val="32"/>
      </w:rPr>
    </w:pPr>
    <w:r>
      <w:rPr>
        <w:rFonts w:cs="CopprplGoth BT;Century Gothic" w:ascii="CopprplGoth BT;Century Gothic" w:hAnsi="CopprplGoth BT;Century Gothic"/>
        <w:sz w:val="32"/>
        <w:lang w:val="en-CA" w:eastAsia="en-CA"/>
      </w:rPr>
      <w:t>ALLEN &amp; OVERY</w:t>
    </w:r>
  </w:p>
  <w:p>
    <w:pPr>
      <w:pStyle w:val="Footer"/>
      <w:jc w:val="end"/>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endnotePr>
    <w:pos w:val="sectEnd"/>
    <w:numFmt w:val="decimal"/>
    <w:endnote w:id="0"/>
    <w:endnote w:id="1"/>
  </w:endnotePr>
  <w:compat>
    <w:compatSetting w:name="compatibilityMode" w:uri="http://schemas.microsoft.com/office/word" w:val="11"/>
  </w:compat>
  <w:docVars>
    <w:docVar w:name="DocRef" w:val="ICM:44853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bidi="ar-SA" w:eastAsia="zh-C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ind w:hanging="0" w:start="0" w:end="72"/>
      <w:jc w:val="center"/>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 w:type="paragraph" w:styleId="EndnoteText">
    <w:name w:val="end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2001-02-20T18:06:00Z</dcterms:created>
  <dc:creator>Allen &amp; Overy</dc:creator>
  <dc:description/>
  <dc:language>en-CA</dc:language>
  <cp:lastModifiedBy>bwhiteh</cp:lastModifiedBy>
  <cp:lastPrinted>2000-08-15T19:07:00Z</cp:lastPrinted>
  <dcterms:modified xsi:type="dcterms:W3CDTF">2001-04-03T17:39:00Z</dcterms:modified>
  <cp:revision>3</cp:revision>
  <dc:subject/>
  <dc:title>ISDA EUROPEAN ENERGY COMMITTEE</dc:title>
</cp:coreProperties>
</file>