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AES EASTERN ENERGY L.P., a limited partnership organized under the law of the State of Delaware (“Party B”)</w:t>
            </w:r>
          </w:p>
        </w:tc>
      </w:tr>
    </w:tbl>
    <w:p>
      <w:pPr>
        <w:pStyle w:val="Justified"/>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720" w:end="0"/>
        <w:jc w:val="both"/>
        <w:rPr>
          <w:sz w:val="22"/>
          <w:szCs w:val="22"/>
        </w:rPr>
      </w:pPr>
      <w:r>
        <w:rPr>
          <w:sz w:val="22"/>
          <w:szCs w:val="22"/>
        </w:rPr>
      </w:r>
    </w:p>
    <w:p>
      <w:pPr>
        <w:pStyle w:val="Normal"/>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eastAsia="Times New Roman" w:cs="Times New Roman"/>
              </w:rPr>
            </w:pPr>
            <w:r>
              <w:rPr>
                <w:rFonts w:eastAsia="Times New Roman" w:cs="Times New Roman" w:ascii="Times New Roman" w:hAnsi="Times New Roman"/>
              </w:rPr>
            </w:r>
          </w:p>
        </w:tc>
        <w:tc>
          <w:tcPr>
            <w:tcW w:w="1440" w:type="dxa"/>
            <w:tcBorders/>
          </w:tcPr>
          <w:p>
            <w:pPr>
              <w:pStyle w:val="Normal"/>
              <w:keepNext w:val="true"/>
              <w:keepLines/>
              <w:snapToGrid w:val="false"/>
              <w:jc w:val="center"/>
              <w:rPr>
                <w:rFonts w:ascii="Times New Roman" w:hAnsi="Times New Roman" w:eastAsia="Times New Roman" w:cs="Times New Roman"/>
                <w:b/>
                <w:bCs/>
                <w:sz w:val="22"/>
                <w:szCs w:val="22"/>
              </w:rPr>
            </w:pPr>
            <w:r>
              <w:rPr>
                <w:rFonts w:eastAsia="Times New Roman"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 xml:space="preserve">Thresholds.  </w:t>
      </w:r>
    </w:p>
    <w:p>
      <w:pPr>
        <w:pStyle w:val="Normal"/>
        <w:ind w:start="720" w:end="0"/>
        <w:jc w:val="both"/>
        <w:rPr>
          <w:b/>
          <w:bCs/>
          <w:sz w:val="22"/>
          <w:szCs w:val="22"/>
        </w:rPr>
      </w:pPr>
      <w:r>
        <w:rPr>
          <w:b/>
          <w:bCs/>
          <w:sz w:val="22"/>
          <w:szCs w:val="22"/>
        </w:rPr>
      </w:r>
    </w:p>
    <w:p>
      <w:pPr>
        <w:pStyle w:val="Normal"/>
        <w:ind w:start="720" w:end="0"/>
        <w:jc w:val="both"/>
        <w:rPr>
          <w:color w:val="000000"/>
          <w:sz w:val="22"/>
          <w:szCs w:val="22"/>
        </w:rPr>
      </w:pPr>
      <w:r>
        <w:rPr>
          <w:sz w:val="22"/>
          <w:szCs w:val="22"/>
        </w:rPr>
        <w:t xml:space="preserve">(A)  </w:t>
      </w:r>
      <w:r>
        <w:rPr>
          <w:b/>
          <w:bCs/>
          <w:sz w:val="22"/>
          <w:szCs w:val="22"/>
        </w:rPr>
        <w:t>“Independent Amount”</w:t>
      </w:r>
      <w:r>
        <w:rPr>
          <w:sz w:val="22"/>
          <w:szCs w:val="22"/>
        </w:rPr>
        <w:t xml:space="preserve"> means with respect to Party A, the amount specified as such for Party A in each Confirmation, or if no amount is specified, zero, and means with respect to Party B, U.S. $0</w:t>
      </w:r>
      <w:r>
        <w:rPr>
          <w:b/>
          <w:bCs/>
          <w:sz w:val="22"/>
          <w:szCs w:val="22"/>
        </w:rPr>
        <w:t>.</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$250,000.</w:t>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$250,000.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 </w:t>
      </w:r>
      <w:r>
        <w:rPr>
          <w:sz w:val="22"/>
          <w:szCs w:val="22"/>
        </w:rPr>
        <w:t xml:space="preserve">and the Return Amount will be rounded down to the nearest integral multiple of U.S. </w:t>
      </w:r>
      <w:r>
        <w:rPr>
          <w:color w:val="000000"/>
          <w:sz w:val="22"/>
          <w:szCs w:val="22"/>
        </w:rPr>
        <w:t>$25,000.</w:t>
      </w:r>
    </w:p>
    <w:p>
      <w:pPr>
        <w:pStyle w:val="Normal"/>
        <w:ind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b/>
          <w:bCs/>
          <w:sz w:val="22"/>
          <w:szCs w:val="22"/>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b/>
          <w:bCs/>
          <w:sz w:val="22"/>
          <w:szCs w:val="22"/>
        </w:rPr>
      </w:pPr>
      <w:r>
        <w:rPr>
          <w:b/>
          <w:bCs/>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tabs>
          <w:tab w:val="clear" w:pos="720"/>
          <w:tab w:val="left" w:pos="1455" w:leader="none"/>
        </w:tabs>
        <w:ind w:hanging="375" w:start="1455" w:end="0"/>
        <w:jc w:val="both"/>
        <w:rPr/>
      </w:pPr>
      <w:r>
        <w:rPr>
          <w:sz w:val="22"/>
          <w:szCs w:val="22"/>
        </w:rPr>
        <w:t>(2)</w:t>
        <w:tab/>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pPr>
      <w:r>
        <w:rPr/>
        <w:t>(3) The Custodian is a Qualified Institution (as defined below),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“BBB+” in the case of S&amp;P or “Baa1”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8000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800000"/>
          <w:sz w:val="22"/>
          <w:szCs w:val="22"/>
        </w:rPr>
      </w:pPr>
      <w:r>
        <w:rPr>
          <w:color w:val="800000"/>
          <w:sz w:val="22"/>
          <w:szCs w:val="22"/>
        </w:rPr>
      </w:r>
    </w:p>
    <w:p>
      <w:pPr>
        <w:pStyle w:val="Normal"/>
        <w:keepNext w:val="true"/>
        <w:ind w:hanging="720" w:start="720" w:end="0"/>
        <w:jc w:val="both"/>
        <w:rPr>
          <w:sz w:val="22"/>
          <w:szCs w:val="22"/>
        </w:rPr>
      </w:pPr>
      <w:r>
        <w:rPr>
          <w:sz w:val="22"/>
          <w:szCs w:val="22"/>
        </w:rPr>
        <w:t>(j)</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(a) with respect to Party A (or its Credit Support Provider, as the case may be) or entity, on any date of determination, the respective ratings then assigned to Party A’s (or its Credit Support Provider's, as the case may be) or entity’s unsecured, senior long-term debt or deposit obligations (not supported by third party credit enhancement) by S&amp;P, Moody’s or the other specified rating agency or agencies, and (b) with respect to Party B (or its Credit Support Provider, as the case may be) or entity, on any date of determination, the respective ratings then assigned to Party B’s (or its Credit Support Provider's, as the case may be) or entity’s 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“BBB+” by S&amp;P and “Baa1”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default by a party or its Credit Support Provider under one or more </w:t>
      </w:r>
      <w:r>
        <w:rPr>
          <w:b/>
          <w:bCs/>
          <w:sz w:val="22"/>
          <w:szCs w:val="22"/>
        </w:rPr>
        <w:t>[agreements]</w:t>
      </w:r>
      <w:r>
        <w:rPr>
          <w:sz w:val="22"/>
          <w:szCs w:val="22"/>
        </w:rPr>
        <w:t xml:space="preserve"> with respect to which the aggregate value of the performance obligations of that party or Credit Support Provider is greater than </w:t>
      </w:r>
      <w:r>
        <w:rPr>
          <w:b/>
          <w:bCs/>
          <w:sz w:val="22"/>
          <w:szCs w:val="22"/>
        </w:rPr>
        <w:t>[3%]</w:t>
      </w:r>
      <w:r>
        <w:rPr>
          <w:sz w:val="22"/>
          <w:szCs w:val="22"/>
        </w:rPr>
        <w:t xml:space="preserve"> of the greater or such party’s or such Credit Support Provider’s Stockholders’ Equity; and</w:t>
      </w:r>
    </w:p>
    <w:p>
      <w:pPr>
        <w:pStyle w:val="Normal"/>
        <w:ind w:start="720" w:end="0"/>
        <w:jc w:val="both"/>
        <w:rPr>
          <w:sz w:val="22"/>
          <w:szCs w:val="22"/>
        </w:rPr>
      </w:pPr>
      <w:r>
        <w:rPr>
          <w:sz w:val="22"/>
          <w:szCs w:val="22"/>
        </w:rPr>
      </w:r>
    </w:p>
    <w:p>
      <w:pPr>
        <w:pStyle w:val="Normal"/>
        <w:ind w:start="720" w:end="0"/>
        <w:jc w:val="both"/>
        <w:rPr/>
      </w:pPr>
      <w:r>
        <w:rPr>
          <w:sz w:val="22"/>
          <w:szCs w:val="22"/>
        </w:rPr>
        <w:t>“</w:t>
      </w:r>
      <w:r>
        <w:rPr>
          <w:i/>
          <w:iCs/>
          <w:sz w:val="22"/>
          <w:szCs w:val="22"/>
        </w:rPr>
        <w:t>Stockholders’ Equity</w:t>
      </w:r>
      <w:r>
        <w:rPr>
          <w:sz w:val="22"/>
          <w:szCs w:val="22"/>
        </w:rPr>
        <w:t>” means at any time, the amount of paid-in capital in respect of all issued and fully-paid and non-assessable shares of the share capital of the relevant entity, together with the contributed surplus, the cumulative translation adjustment (if any) and the retained earnings calculated in accordance with generally accepted accounting principles in the county in which such entity is organized, consistently applied.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2"/>
          <w:type w:val="nextPage"/>
          <w:pgSz w:w="12240" w:h="15840"/>
          <w:pgMar w:left="1080" w:right="1080" w:gutter="0" w:header="0" w:top="1440" w:footer="720" w:bottom="776"/>
          <w:pgNumType w:start="1" w:fmt="decimal"/>
          <w:formProt w:val="false"/>
          <w:textDirection w:val="lrTb"/>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sz w:val="22"/>
          <w:szCs w:val="22"/>
        </w:rPr>
      </w:pPr>
      <w:r>
        <w:rPr>
          <w:b/>
          <w:bCs/>
          <w:sz w:val="22"/>
          <w:szCs w:val="22"/>
        </w:rPr>
        <w:t>[Being reviewed by AES Eastern’s LOC bank]</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widowControl/>
        <w:rPr/>
      </w:pPr>
      <w:r>
        <w:rPr/>
        <w:t>SCHEDULE 1</w:t>
      </w:r>
    </w:p>
    <w:p>
      <w:pPr>
        <w:pStyle w:val="Normal"/>
        <w:spacing w:lineRule="exact" w:line="240"/>
        <w:jc w:val="center"/>
        <w:rPr>
          <w:b/>
          <w:bCs/>
          <w:sz w:val="22"/>
          <w:szCs w:val="22"/>
        </w:rPr>
      </w:pPr>
      <w:r>
        <w:rPr>
          <w:b/>
          <w:bCs/>
          <w:sz w:val="22"/>
          <w:szCs w:val="22"/>
        </w:rPr>
        <w:t>[Being reviewed by AES Eastern’s LOC bank]</w:t>
      </w:r>
    </w:p>
    <w:p>
      <w:pPr>
        <w:pStyle w:val="Normal"/>
        <w:spacing w:lineRule="exact" w:line="240"/>
        <w:jc w:val="center"/>
        <w:rPr>
          <w:b/>
          <w:bCs/>
          <w:sz w:val="22"/>
          <w:szCs w:val="22"/>
        </w:rPr>
      </w:pPr>
      <w:r>
        <w:rPr>
          <w:b/>
          <w:bCs/>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tabs>
          <w:tab w:val="left" w:pos="720" w:leader="none"/>
        </w:tabs>
        <w:spacing w:lineRule="exact" w:line="240"/>
        <w:ind w:hanging="360" w:start="720" w:end="0"/>
        <w:jc w:val="both"/>
        <w:rPr>
          <w:sz w:val="22"/>
          <w:szCs w:val="22"/>
        </w:rPr>
      </w:pPr>
      <w:r>
        <w:rPr>
          <w:sz w:val="22"/>
          <w:szCs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tabs>
          <w:tab w:val="left" w:pos="720" w:leader="none"/>
        </w:tabs>
        <w:spacing w:lineRule="exact" w:line="240"/>
        <w:ind w:hanging="360" w:start="720" w:end="0"/>
        <w:jc w:val="both"/>
        <w:rPr>
          <w:sz w:val="22"/>
          <w:szCs w:val="22"/>
        </w:rPr>
      </w:pPr>
      <w:r>
        <w:rPr>
          <w:sz w:val="22"/>
          <w:szCs w:val="22"/>
        </w:rPr>
        <w:t>2.</w:t>
        <w:tab/>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widowControl/>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rPr>
          <w:sz w:val="22"/>
          <w:szCs w:val="22"/>
        </w:rPr>
      </w:pPr>
      <w:r>
        <w:rPr>
          <w:sz w:val="22"/>
          <w:szCs w:val="22"/>
        </w:rPr>
      </w:r>
    </w:p>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/mnt/main-storage/datasets/enron-docs/doc/ISDA_CSA_Schedule__Enron_with_AES_Eastern.DOC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/mnt/main-storage/datasets/enron-docs/doc/ISDA_CSA_Schedule__Enron_with_AES_Eastern.DOC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widowControl/>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fldChar w:fldCharType="begin"/>
    </w:r>
    <w:r>
      <w:rPr>
        <w:sz w:val="14"/>
        <w:szCs w:val="14"/>
      </w:rPr>
      <w:instrText xml:space="preserve"> FILENAME </w:instrText>
    </w:r>
    <w:r>
      <w:rPr>
        <w:sz w:val="14"/>
        <w:szCs w:val="14"/>
      </w:rPr>
      <w:fldChar w:fldCharType="separate"/>
    </w:r>
    <w:r>
      <w:rPr>
        <w:sz w:val="14"/>
        <w:szCs w:val="14"/>
      </w:rPr>
      <w:t>ISDA_CSA_Schedule__Enron_with_AES_Eastern.DOC</w:t>
    </w:r>
    <w:r>
      <w:rPr>
        <w:sz w:val="14"/>
        <w:szCs w:val="14"/>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eastAsia="Arial" w:cs="Arial"/>
      <w:sz w:val="20"/>
      <w:szCs w:val="20"/>
    </w:rPr>
  </w:style>
  <w:style w:type="paragraph" w:styleId="Heading3">
    <w:name w:val="heading 3"/>
    <w:basedOn w:val="Normal"/>
    <w:next w:val="Normal"/>
    <w:qFormat/>
    <w:pPr>
      <w:keepNext w:val="true"/>
      <w:widowControl w:val="false"/>
      <w:numPr>
        <w:ilvl w:val="2"/>
        <w:numId w:val="1"/>
      </w:numPr>
      <w:tabs>
        <w:tab w:val="clear" w:pos="720"/>
        <w:tab w:val="left" w:pos="9810" w:leader="none"/>
      </w:tabs>
      <w:ind w:hanging="0" w:start="-1440" w:end="0"/>
      <w:jc w:val="end"/>
      <w:outlineLvl w:val="2"/>
    </w:pPr>
    <w:rPr>
      <w:b/>
      <w:bCs/>
      <w:sz w:val="22"/>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widowControl w:val="false"/>
      <w:spacing w:before="0" w:after="120"/>
      <w:jc w:val="both"/>
    </w:pPr>
    <w:rPr>
      <w:rFonts w:ascii="Arial" w:hAnsi="Arial" w:eastAsia="Arial" w:cs="Arial"/>
      <w:sz w:val="22"/>
      <w:szCs w:val="22"/>
    </w:rPr>
  </w:style>
  <w:style w:type="paragraph" w:styleId="BodyTextIndent">
    <w:name w:val="Body Text Indent"/>
    <w:basedOn w:val="Normal"/>
    <w:pPr>
      <w:widowControl w:val="false"/>
      <w:spacing w:lineRule="exact" w:line="240" w:before="240" w:after="0"/>
      <w:ind w:hanging="0" w:start="720" w:end="0"/>
      <w:jc w:val="both"/>
    </w:pPr>
    <w:rPr>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Expanded">
    <w:name w:val="Expanded"/>
    <w:basedOn w:val="Normal"/>
    <w:next w:val="Normal"/>
    <w:qFormat/>
    <w:pPr>
      <w:widowControl w:val="false"/>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2001-10-09T20:37:00Z</dcterms:created>
  <dc:creator>WEINGAEK</dc:creator>
  <dc:description/>
  <dc:language>en-CA</dc:language>
  <cp:lastModifiedBy>WEINGAEK</cp:lastModifiedBy>
  <cp:lastPrinted>2001-10-11T17:56:00Z</cp:lastPrinted>
  <dcterms:modified xsi:type="dcterms:W3CDTF">2001-10-16T20:04:00Z</dcterms:modified>
  <cp:revision>14</cp:revision>
  <dc:subject/>
  <dc:title>ISDA CSA Schedule : Enron with AES Eastern</dc:title>
</cp:coreProperties>
</file>