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u w:val="single"/>
        </w:rPr>
      </w:pPr>
      <w:r>
        <w:rPr>
          <w:b/>
          <w:bCs/>
          <w:sz w:val="22"/>
          <w:szCs w:val="22"/>
          <w:u w:val="single"/>
        </w:rPr>
        <w:t>DRAFT OF 01/25/2001</w:t>
      </w:r>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METALS USA, INC., a corporation organized under the law of the State of Delaware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  </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and with respect to Party B, U.S. $____________ (or its equivalent in another currency).</w:t>
      </w:r>
    </w:p>
    <w:p>
      <w:pPr>
        <w:pStyle w:val="Normal"/>
        <w:spacing w:lineRule="exact" w:line="240" w:before="240" w:after="0"/>
        <w:ind w:firstLine="720" w:end="0"/>
        <w:jc w:val="both"/>
        <w:rPr/>
      </w:pPr>
      <w:r>
        <w:rPr>
          <w:sz w:val="22"/>
          <w:szCs w:val="22"/>
        </w:rPr>
        <w:t xml:space="preserve"> </w:t>
      </w: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that the foregoing action or event shall not constitute a Termination Event (1) as to Party A, 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collateral in an amount satisfactory to Y in its sole discretion.”</w:t>
      </w:r>
    </w:p>
    <w:p>
      <w:pPr>
        <w:pStyle w:val="Normal"/>
        <w:spacing w:lineRule="exact" w:line="240" w:before="240" w:after="0"/>
        <w:ind w:firstLine="720" w:end="0"/>
        <w:jc w:val="both"/>
        <w:rPr>
          <w:color w:val="FF0000"/>
          <w:sz w:val="22"/>
          <w:szCs w:val="22"/>
        </w:rPr>
      </w:pPr>
      <w:r>
        <w:rPr>
          <w:sz w:val="22"/>
          <w:szCs w:val="22"/>
        </w:rPr>
        <w:t>(h)</w:t>
      </w:r>
      <w:r>
        <w:rPr>
          <w:b/>
          <w:bCs/>
          <w:sz w:val="22"/>
          <w:szCs w:val="22"/>
        </w:rPr>
        <w:tab/>
        <w:t>Additional Termination Events.</w:t>
      </w:r>
      <w:r>
        <w:rPr>
          <w:sz w:val="22"/>
          <w:szCs w:val="22"/>
        </w:rPr>
        <w:t xml:space="preserve">  The following will constitute Additional Termination Events with respect to Party A and Party B:</w:t>
      </w:r>
    </w:p>
    <w:p>
      <w:pPr>
        <w:pStyle w:val="Normal"/>
        <w:tabs>
          <w:tab w:val="clear" w:pos="720"/>
          <w:tab w:val="left" w:pos="1440" w:leader="none"/>
        </w:tabs>
        <w:spacing w:lineRule="atLeast" w:line="240" w:before="240" w:after="0"/>
        <w:ind w:hanging="720" w:start="1440" w:end="0"/>
        <w:jc w:val="both"/>
        <w:rPr>
          <w:color w:val="FF0000"/>
          <w:sz w:val="22"/>
        </w:rPr>
      </w:pPr>
      <w:r>
        <w:rPr>
          <w:color w:val="FF0000"/>
          <w:sz w:val="22"/>
        </w:rPr>
        <w:tab/>
        <w:t>[Such events will be consistent with the events of default in the Purchase Agreement.  Also, there will be a termination event that gets triggered if an event of default occurs under any Transaction Document]</w:t>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corporation organized under the laws of the State of Delaware.</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napToGrid w:val="false"/>
              <w:spacing w:lineRule="atLeast" w:line="240" w:before="240" w:after="0"/>
              <w:jc w:val="both"/>
              <w:rPr>
                <w:b/>
                <w:bCs/>
                <w:sz w:val="22"/>
                <w:szCs w:val="22"/>
              </w:rPr>
            </w:pPr>
            <w:r>
              <w:rPr>
                <w:b/>
                <w:bCs/>
                <w:sz w:val="22"/>
                <w:szCs w:val="22"/>
              </w:rPr>
            </w:r>
          </w:p>
        </w:tc>
        <w:tc>
          <w:tcPr>
            <w:tcW w:w="3886" w:type="dxa"/>
            <w:tcBorders/>
          </w:tcPr>
          <w:p>
            <w:pPr>
              <w:pStyle w:val="Justified"/>
              <w:widowControl/>
              <w:snapToGrid w:val="false"/>
              <w:spacing w:lineRule="atLeast" w:line="240" w:before="240" w:after="0"/>
              <w:rPr>
                <w:rFonts w:ascii="Times New Roman" w:hAnsi="Times New Roman" w:cs="Times New Roman"/>
                <w:b/>
                <w:bCs/>
                <w:sz w:val="22"/>
                <w:szCs w:val="22"/>
              </w:rPr>
            </w:pPr>
            <w:r>
              <w:rPr>
                <w:rFonts w:cs="Times New Roman" w:ascii="Times New Roman" w:hAnsi="Times New Roman"/>
                <w:b/>
                <w:bCs/>
                <w:sz w:val="22"/>
                <w:szCs w:val="22"/>
              </w:rPr>
            </w:r>
          </w:p>
        </w:tc>
        <w:tc>
          <w:tcPr>
            <w:tcW w:w="2228" w:type="dxa"/>
            <w:tcBorders/>
          </w:tcPr>
          <w:p>
            <w:pPr>
              <w:pStyle w:val="Normal"/>
              <w:snapToGrid w:val="false"/>
              <w:spacing w:lineRule="atLeast" w:line="240" w:before="240" w:after="0"/>
              <w:jc w:val="both"/>
              <w:rPr>
                <w:rFonts w:ascii="Times New Roman" w:hAnsi="Times New Roman" w:cs="Times New Roman"/>
                <w:b/>
                <w:bCs/>
                <w:sz w:val="22"/>
                <w:szCs w:val="22"/>
              </w:rPr>
            </w:pPr>
            <w:r>
              <w:rPr>
                <w:rFonts w:cs="Times New Roman"/>
                <w:b/>
                <w:bCs/>
                <w:sz w:val="22"/>
                <w:szCs w:val="22"/>
              </w:rPr>
            </w:r>
          </w:p>
        </w:tc>
        <w:tc>
          <w:tcPr>
            <w:tcW w:w="1985" w:type="dxa"/>
            <w:tcBorders/>
          </w:tcPr>
          <w:p>
            <w:pPr>
              <w:pStyle w:val="Normal"/>
              <w:snapToGrid w:val="false"/>
              <w:spacing w:lineRule="atLeast" w:line="240" w:before="240" w:after="0"/>
              <w:jc w:val="center"/>
              <w:rPr>
                <w:b/>
                <w:bCs/>
                <w:sz w:val="22"/>
                <w:szCs w:val="22"/>
              </w:rPr>
            </w:pPr>
            <w:r>
              <w:rPr>
                <w:b/>
                <w:bCs/>
                <w:sz w:val="22"/>
                <w:szCs w:val="22"/>
              </w:rPr>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Enron Corp.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Enron Corp. if such Financial Statement is not available on “EDGAR” or Enron Corp.’s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Enron Corp.</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Enron Corp. if such Financial Statement is not available on “EDGAR” or Enron Corp.’s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Metals USA, Inc.</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r>
      <w:r>
        <w:rPr>
          <w:b/>
          <w:bCs/>
          <w:sz w:val="22"/>
          <w:szCs w:val="22"/>
        </w:rPr>
        <w:tab/>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none.</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r>
      <w:r>
        <w:rPr>
          <w:color w:val="000000"/>
          <w:sz w:val="22"/>
          <w:szCs w:val="22"/>
        </w:rPr>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 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keepNext w:val="true"/>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keepNext w:val="true"/>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METALS USA, INC.</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keepNext w:val="true"/>
        <w:tabs>
          <w:tab w:val="clear" w:pos="720"/>
          <w:tab w:val="left" w:pos="2880" w:leader="none"/>
        </w:tabs>
        <w:spacing w:lineRule="exact" w:line="240"/>
        <w:ind w:hanging="2880" w:start="2880" w:end="0"/>
        <w:jc w:val="both"/>
        <w:rPr>
          <w:sz w:val="22"/>
          <w:szCs w:val="22"/>
        </w:rPr>
      </w:pPr>
      <w:r>
        <w:rPr>
          <w:sz w:val="22"/>
          <w:szCs w:val="22"/>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/mnt/main-storage/datasets/enron-docs/doc/ISDA_1_24.doc</w:t>
    </w:r>
    <w:r>
      <w:rPr>
        <w:sz w:val="16"/>
        <w:szCs w:val="16"/>
      </w:rPr>
      <w:fldChar w:fldCharType="end"/>
    </w:r>
  </w:p>
  <w:p>
    <w:pPr>
      <w:pStyle w:val="Footer"/>
      <w:jc w:val="center"/>
      <w:rPr>
        <w:sz w:val="20"/>
        <w:szCs w:val="16"/>
      </w:rPr>
    </w:pPr>
    <w:r>
      <w:rPr>
        <w:sz w:val="20"/>
        <w:szCs w:val="16"/>
      </w:rPr>
      <w:t>Exhibit A</w:t>
    </w:r>
  </w:p>
  <w:p>
    <w:pPr>
      <w:pStyle w:val="Footer"/>
      <w:jc w:val="center"/>
      <w:rPr>
        <w:sz w:val="20"/>
        <w:szCs w:val="16"/>
      </w:rPr>
    </w:pPr>
    <w:r>
      <w:rP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p>
    <w:pPr>
      <w:pStyle w:val="Footer"/>
      <w:rPr>
        <w:sz w:val="20"/>
        <w:szCs w:val="16"/>
      </w:rPr>
    </w:pPr>
    <w:r>
      <w:rPr>
        <w:sz w:val="20"/>
        <w:szCs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2z0">
    <w:name w:val="WW8Num2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2001-01-25T11:54:00Z</dcterms:created>
  <dc:creator>mheard</dc:creator>
  <dc:description/>
  <dc:language>en-CA</dc:language>
  <cp:lastModifiedBy>cstclai</cp:lastModifiedBy>
  <cp:lastPrinted>2001-01-25T11:59:00Z</cp:lastPrinted>
  <dcterms:modified xsi:type="dcterms:W3CDTF">2001-01-25T15:29:00Z</dcterms:modified>
  <cp:revision>4</cp:revision>
  <dc:subject/>
  <dc:title>ISDA Multicurrency Agreement</dc:title>
</cp:coreProperties>
</file>