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[Date]</w:t>
      </w:r>
    </w:p>
    <w:p>
      <w:pPr>
        <w:pStyle w:val="Normal"/>
        <w:rPr/>
      </w:pPr>
      <w:r>
        <w:rPr/>
      </w:r>
    </w:p>
    <w:p>
      <w:pPr>
        <w:pStyle w:val="Normal"/>
        <w:rPr/>
      </w:pPr>
      <w:r>
        <w:rPr/>
        <w:t>Sir/Madame</w:t>
      </w:r>
    </w:p>
    <w:p>
      <w:pPr>
        <w:pStyle w:val="Normal"/>
        <w:rPr/>
      </w:pPr>
      <w:r>
        <w:rPr/>
      </w:r>
    </w:p>
    <w:p>
      <w:pPr>
        <w:pStyle w:val="Normal"/>
        <w:rPr/>
      </w:pPr>
      <w:r>
        <w:rPr/>
        <w:tab/>
        <w:t xml:space="preserve">I have acted as counsel to [Party B], a [ </w:t>
        <w:tab/>
        <w:tab/>
        <w:t>] (“Party B”), and I am familiar with matters pertaining to the execution and delivery of (i) the Master Agreement (the “Agreement”) dated as of __________ ___, 199_ between [Party A] (“Party A”) and Party B (ii), the Schedule to the ISDA Master Agreement (the “Schedule”) dated as of ________ ___, 199_, [ (iii) the ISDA Credit Support Annex) thereto dated as of _____ ___, 199_ (the “ISDA Credit Support Annex”)]</w:t>
      </w:r>
      <w:r>
        <w:rPr>
          <w:rStyle w:val="FootnoteCharacters"/>
          <w:rStyle w:val="FootnoteReference"/>
        </w:rPr>
        <w:footnoteReference w:id="2"/>
      </w:r>
      <w:r>
        <w:rPr/>
        <w:t>, all of them between Party B and Party A. The Agreement is to be supplemented by confirmations of transactions to be entered into by Party A and Party B from time to time (each a “Confirmation”), and the Agreement, together with all such Confirmations, shall constitute one agreement.</w:t>
      </w:r>
    </w:p>
    <w:p>
      <w:pPr>
        <w:pStyle w:val="Normal"/>
        <w:rPr/>
      </w:pPr>
      <w:r>
        <w:rPr/>
      </w:r>
    </w:p>
    <w:p>
      <w:pPr>
        <w:pStyle w:val="Normal"/>
        <w:rPr/>
      </w:pPr>
      <w:r>
        <w:rPr/>
        <w:tab/>
        <w:t>Terms defined in the ISDA Master Agreement are used herein as therein defined, unless otherwise defined herein.</w:t>
      </w:r>
    </w:p>
    <w:p>
      <w:pPr>
        <w:pStyle w:val="Normal"/>
        <w:rPr/>
      </w:pPr>
      <w:r>
        <w:rPr/>
      </w:r>
    </w:p>
    <w:p>
      <w:pPr>
        <w:pStyle w:val="Normal"/>
        <w:rPr/>
      </w:pPr>
      <w:r>
        <w:rPr/>
        <w:tab/>
        <w:t xml:space="preserve">In connection with this opinion, I have examined: </w:t>
      </w:r>
    </w:p>
    <w:p>
      <w:pPr>
        <w:pStyle w:val="Normal"/>
        <w:rPr/>
      </w:pPr>
      <w:r>
        <w:rPr/>
        <w:tab/>
      </w:r>
    </w:p>
    <w:p>
      <w:pPr>
        <w:pStyle w:val="Normal"/>
        <w:rPr/>
      </w:pPr>
      <w:r>
        <w:rPr/>
        <w:tab/>
        <w:t>1.</w:t>
        <w:tab/>
        <w:t>Party B´s by-laws and all amendments thereto (the “By-laws”).</w:t>
      </w:r>
    </w:p>
    <w:p>
      <w:pPr>
        <w:pStyle w:val="Normal"/>
        <w:rPr/>
      </w:pPr>
      <w:r>
        <w:rPr/>
      </w:r>
    </w:p>
    <w:p>
      <w:pPr>
        <w:pStyle w:val="Normal"/>
        <w:ind w:hanging="708" w:start="708" w:end="0"/>
        <w:rPr/>
      </w:pPr>
      <w:r>
        <w:rPr/>
        <w:tab/>
        <w:t>2.</w:t>
        <w:tab/>
        <w:t>Resolutions of the Board of Directors of Party B passed on _______, 199_ authorizing and approving the Transactions; and</w:t>
      </w:r>
    </w:p>
    <w:p>
      <w:pPr>
        <w:pStyle w:val="Normal"/>
        <w:rPr/>
      </w:pPr>
      <w:r>
        <w:rPr/>
      </w:r>
    </w:p>
    <w:p>
      <w:pPr>
        <w:pStyle w:val="Normal"/>
        <w:ind w:hanging="708" w:start="708" w:end="0"/>
        <w:rPr/>
      </w:pPr>
      <w:r>
        <w:rPr/>
        <w:tab/>
        <w:t>3.</w:t>
        <w:tab/>
        <w:t>All such other documents, laws and instruments I have deemed necessary for the issuance of this opinion, including the Agreements, executed by each party thereto.</w:t>
      </w:r>
    </w:p>
    <w:p>
      <w:pPr>
        <w:pStyle w:val="Normal"/>
        <w:rPr/>
      </w:pPr>
      <w:r>
        <w:rPr/>
      </w:r>
    </w:p>
    <w:p>
      <w:pPr>
        <w:pStyle w:val="Normal"/>
        <w:rPr/>
      </w:pPr>
      <w:r>
        <w:rPr/>
        <w:t>I have also reviewed such matters of law and examined such other documents, records, agreements and certificates as I have considered relevant for the purposes of this opinion.</w:t>
      </w:r>
    </w:p>
    <w:p>
      <w:pPr>
        <w:pStyle w:val="Normal"/>
        <w:rPr/>
      </w:pPr>
      <w:r>
        <w:rPr/>
      </w:r>
    </w:p>
    <w:p>
      <w:pPr>
        <w:pStyle w:val="Normal"/>
        <w:rPr/>
      </w:pPr>
      <w:r>
        <w:rPr/>
        <w:t>In this opinion, I have assumed the authenticity of all the signatures, the authenticy of all documents submitted to me as originals and the conformity to authentic original documents of all documents submitted to me as certified, conformed or photostatic copies.</w:t>
      </w:r>
    </w:p>
    <w:p>
      <w:pPr>
        <w:pStyle w:val="Normal"/>
        <w:rPr/>
      </w:pPr>
      <w:r>
        <w:rPr/>
      </w:r>
    </w:p>
    <w:p>
      <w:pPr>
        <w:pStyle w:val="Normal"/>
        <w:rPr/>
      </w:pPr>
      <w:r>
        <w:rPr/>
        <w:tab/>
        <w:t>Based on the foregoing, I am of the opinion that:</w:t>
      </w:r>
    </w:p>
    <w:p>
      <w:pPr>
        <w:pStyle w:val="Normal"/>
        <w:rPr/>
      </w:pPr>
      <w:r>
        <w:rPr/>
      </w:r>
    </w:p>
    <w:p>
      <w:pPr>
        <w:pStyle w:val="Normal"/>
        <w:rPr/>
      </w:pPr>
      <w:r>
        <w:rPr/>
        <w:tab/>
        <w:t>1.</w:t>
        <w:tab/>
        <w:t>Party B is duly organized and validly existing under the laws of the jurisdiction of its incorporation.</w:t>
      </w:r>
    </w:p>
    <w:p>
      <w:pPr>
        <w:pStyle w:val="Normal"/>
        <w:rPr/>
      </w:pPr>
      <w:r>
        <w:rPr/>
      </w:r>
    </w:p>
    <w:p>
      <w:pPr>
        <w:pStyle w:val="Normal"/>
        <w:rPr/>
      </w:pPr>
      <w:r>
        <w:rPr/>
        <w:tab/>
        <w:t>2.</w:t>
        <w:tab/>
        <w:t>Party B has the corporate power to execute and deliver the Agreement and other documents that it is required to deliver in connection therewith and to perform its obligations under the Agreement and has taken all necessary action to authorize such execution and delivery and the performance of those obligations.</w:t>
      </w:r>
    </w:p>
    <w:p>
      <w:pPr>
        <w:pStyle w:val="Normal"/>
        <w:rPr/>
      </w:pPr>
      <w:r>
        <w:rPr/>
      </w:r>
    </w:p>
    <w:p>
      <w:pPr>
        <w:pStyle w:val="Normal"/>
        <w:rPr/>
      </w:pPr>
      <w:r>
        <w:rPr/>
        <w:tab/>
        <w:t>3.</w:t>
        <w:tab/>
        <w:t>Party B’s execution and delivery of the Agreement and the other documentation relating to the Agreement that it is required to deliver in connection therewith and its performance of its obligations under the Agreement do not violate or conflict with any law, rule or regulation applicable to it, any provision of its charter or by-laws (or comparable constituent documents), any order or judgment of any court or other agency of government applicable to it or any of its assets or any contractual restriction binding on or affecting Party B or any of its assets.</w:t>
      </w:r>
    </w:p>
    <w:p>
      <w:pPr>
        <w:pStyle w:val="Normal"/>
        <w:rPr/>
      </w:pPr>
      <w:r>
        <w:rPr/>
      </w:r>
    </w:p>
    <w:p>
      <w:pPr>
        <w:pStyle w:val="Normal"/>
        <w:rPr/>
      </w:pPr>
      <w:r>
        <w:rPr/>
        <w:tab/>
        <w:t>4.</w:t>
        <w:tab/>
        <w:t>All authorizations of and exemptions, actions or approvals by, and all notices to or filings with, any governmental or other authority that are required to have been obtained or made by party B with respect to the Agreement or any of the Transactions contemplated in the Agreement have been obtained or made and are in full force and effect, and all conditions of any such authorizations, exemptions, actions or approvals have been complied with.</w:t>
      </w:r>
    </w:p>
    <w:p>
      <w:pPr>
        <w:pStyle w:val="Normal"/>
        <w:rPr/>
      </w:pPr>
      <w:r>
        <w:rPr/>
      </w:r>
    </w:p>
    <w:p>
      <w:pPr>
        <w:pStyle w:val="Normal"/>
        <w:rPr/>
      </w:pPr>
      <w:r>
        <w:rPr/>
        <w:tab/>
        <w:t>5.</w:t>
        <w:tab/>
        <w:t>The Agreement constitutes party B’s legal, valid and binding obligation, enforceable against Party B in accordance with its terms, subject to applicable bankruptcy, reorganization, insolvency, moratorium and similar laws affecting creditors’ rights generally and subject, as to enforceability, to general principles of law.</w:t>
      </w:r>
    </w:p>
    <w:p>
      <w:pPr>
        <w:pStyle w:val="Normal"/>
        <w:rPr/>
      </w:pPr>
      <w:r>
        <w:rPr/>
      </w:r>
    </w:p>
    <w:p>
      <w:pPr>
        <w:pStyle w:val="Normal"/>
        <w:rPr/>
      </w:pPr>
      <w:r>
        <w:rPr/>
        <w:tab/>
        <w:t>6.</w:t>
        <w:tab/>
        <w:t>The Agreement is not subject to any stamp or documentary tax or other similar charge (other than a court tax (</w:t>
      </w:r>
      <w:r>
        <w:rPr>
          <w:i/>
        </w:rPr>
        <w:t>tasa de justicia</w:t>
      </w:r>
      <w:r>
        <w:rPr/>
        <w:t>), which at the time of the delivery of this opinion is of up to 3% of the amount claimed, with respect to the institution of any judicial proceedings to enforce the Agreement in the City of Buenos Aires or the federal courts of Argentina) imposed by Argentina or any governmental agency, political, subdivision or taxing authority thereof.</w:t>
      </w:r>
    </w:p>
    <w:p>
      <w:pPr>
        <w:pStyle w:val="Normal"/>
        <w:rPr/>
      </w:pPr>
      <w:r>
        <w:rPr/>
      </w:r>
    </w:p>
    <w:p>
      <w:pPr>
        <w:pStyle w:val="Normal"/>
        <w:rPr/>
      </w:pPr>
      <w:r>
        <w:rPr/>
        <w:tab/>
        <w:t>7.</w:t>
        <w:tab/>
        <w:t xml:space="preserve">It is not necessary or advisable, in order to ensure the legality, validity, enforceability or admissibility in evidence of the Agreement in any enforcement proceedings which may be instituted in Argentina, that the Agreement or any instruments related thereto, be filed, recorded or registered with any governmental agency or notarized by a notary public or that any stamp, registration or similar transaction tax or duty be paid; </w:t>
      </w:r>
      <w:r>
        <w:rPr>
          <w:u w:val="single"/>
        </w:rPr>
        <w:t>provided, however</w:t>
      </w:r>
      <w:r>
        <w:rPr/>
        <w:t>, that in connection with enforcement proceedings brought in the City of Buenos Aires or the federal courts of Argentina a court tax (</w:t>
      </w:r>
      <w:r>
        <w:rPr>
          <w:i/>
        </w:rPr>
        <w:t>tasa de justicia</w:t>
      </w:r>
      <w:r>
        <w:rPr/>
        <w:t xml:space="preserve">) of up to 3% must be paid as referred to in Paragraph 6 above; and </w:t>
      </w:r>
      <w:r>
        <w:rPr>
          <w:u w:val="single"/>
        </w:rPr>
        <w:t>provided, further</w:t>
      </w:r>
      <w:r>
        <w:rPr/>
        <w:t>, that in the event any legal proceedings are brought in the courts of Argentina, an official Spanish translation or any document in any language other than Spanish required in such proceedings shall be necessary.</w:t>
      </w:r>
    </w:p>
    <w:p>
      <w:pPr>
        <w:pStyle w:val="Normal"/>
        <w:rPr/>
      </w:pPr>
      <w:r>
        <w:rPr/>
      </w:r>
    </w:p>
    <w:p>
      <w:pPr>
        <w:pStyle w:val="Normal"/>
        <w:rPr/>
      </w:pPr>
      <w:r>
        <w:rPr/>
        <w:tab/>
        <w:t>8.</w:t>
        <w:tab/>
        <w:t xml:space="preserve">A final judgment against the Company for the payment of moneys obtained in any court would be recognized, conclusive and enforceable in the federal courts of Argentina or the courts of the City of Buenos Aires without reconsideration on the merits as provided in Articles 517 through 519 of the National Code of Civil and Commercial Procedures or Argentina (the “CPCC”); </w:t>
      </w:r>
      <w:r>
        <w:rPr>
          <w:u w:val="single"/>
        </w:rPr>
        <w:t>provided</w:t>
      </w:r>
      <w:r>
        <w:rPr/>
        <w:t xml:space="preserve"> that the requirements of Article 517 are met, as follows: (i) the judgment, which must be final in the jurisdiction where rendered, was issued by a court competent in accordance with the Argentine principles regarding international jurisdiction (and the courts of the State of New York and of the United States of America located in the City and State of New York are, by virtue of the submission of the Company to the jurisdiction of such courts, competent courts in accordance with such principles) and resulted from a personal action,  or an </w:t>
      </w:r>
      <w:r>
        <w:rPr>
          <w:i/>
        </w:rPr>
        <w:t>in rem</w:t>
      </w:r>
      <w:r>
        <w:rPr/>
        <w:t xml:space="preserve"> action with respect to personal property if such was transferred to Argentine territory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or Argentine law; and (v) the judgment is not contrary to a prior or simultaneous judgment of an Argentine court. In my view, no principle of public policy is violated by any provision of the Agreements</w:t>
      </w:r>
      <w:r>
        <w:rPr>
          <w:rStyle w:val="FootnoteCharacters"/>
          <w:rStyle w:val="FootnoteReference"/>
        </w:rPr>
        <w:footnoteReference w:id="3"/>
      </w:r>
      <w:r>
        <w:rPr/>
        <w:t>. Services of process effected in the manner set forth in Section [  ] of the ISDA Master Agreement, Part [_(_)] of the SCHEDULE, and Section [  ] of the Credit Support Annex will be effective, insofar as Argentine law is concerned, to confer personal jurisdiction over Party B. The irrevocable waiver by Party B of its right to demand that Party A post a bond or guaranty (“</w:t>
      </w:r>
      <w:r>
        <w:rPr>
          <w:i/>
        </w:rPr>
        <w:t>cautio jiudicatum solvi</w:t>
      </w:r>
      <w:r>
        <w:rPr/>
        <w:t>”) in any Proceedings initiated against Party B in the courts of Argentina is valid, binding and enforceable against Party B.</w:t>
      </w:r>
    </w:p>
    <w:p>
      <w:pPr>
        <w:pStyle w:val="Normal"/>
        <w:rPr/>
      </w:pPr>
      <w:r>
        <w:rPr/>
      </w:r>
    </w:p>
    <w:p>
      <w:pPr>
        <w:pStyle w:val="Normal"/>
        <w:rPr/>
      </w:pPr>
      <w:r>
        <w:rPr/>
        <w:tab/>
        <w:t>9.</w:t>
        <w:tab/>
        <w:t xml:space="preserve">The provisions of </w:t>
      </w:r>
      <w:r>
        <w:rPr>
          <w:b/>
        </w:rPr>
        <w:t>Section 2. Obligations (d) Deduction or Withholding for Tax</w:t>
      </w:r>
      <w:r>
        <w:rPr/>
        <w:t xml:space="preserve"> of the Agreement to the effect, inter alia, that party B shall pay such additional amount as is necessary to ensure that the net amount actually received by party A (free and clear of Indemnifiable Taxes, whether assessed against Party A or B) will equal the full amount Party A would have received had no such deduction or withholding been required subject to the restrictions established therein are valid, binding and enforceable under Argentine law.</w:t>
      </w:r>
    </w:p>
    <w:p>
      <w:pPr>
        <w:pStyle w:val="Normal"/>
        <w:rPr/>
      </w:pPr>
      <w:r>
        <w:rPr/>
      </w:r>
    </w:p>
    <w:p>
      <w:pPr>
        <w:pStyle w:val="Normal"/>
        <w:rPr/>
      </w:pPr>
      <w:r>
        <w:rPr/>
        <w:tab/>
        <w:t>10.</w:t>
        <w:tab/>
        <w:t>The provisions in the Agreements:</w:t>
      </w:r>
    </w:p>
    <w:p>
      <w:pPr>
        <w:pStyle w:val="Normal"/>
        <w:rPr/>
      </w:pPr>
      <w:r>
        <w:rPr/>
      </w:r>
    </w:p>
    <w:p>
      <w:pPr>
        <w:pStyle w:val="Normal"/>
        <w:rPr/>
      </w:pPr>
      <w:r>
        <w:rPr/>
        <w:tab/>
        <w:tab/>
        <w:t>(a) as to the choice of the laws of the State of New York to be the law governing the Agreement;</w:t>
      </w:r>
    </w:p>
    <w:p>
      <w:pPr>
        <w:pStyle w:val="Normal"/>
        <w:rPr/>
      </w:pPr>
      <w:r>
        <w:rPr/>
      </w:r>
    </w:p>
    <w:p>
      <w:pPr>
        <w:pStyle w:val="Normal"/>
        <w:rPr/>
      </w:pPr>
      <w:r>
        <w:rPr/>
        <w:tab/>
        <w:tab/>
        <w:t>(b) the submission of the Company to the jurisdiction of the courts of the state of New York or of the United States of America located in the City and State of New York in any action under the Agreement or any instrument related thereto; and</w:t>
      </w:r>
    </w:p>
    <w:p>
      <w:pPr>
        <w:pStyle w:val="Normal"/>
        <w:rPr/>
      </w:pPr>
      <w:r>
        <w:rPr/>
      </w:r>
    </w:p>
    <w:p>
      <w:pPr>
        <w:pStyle w:val="Normal"/>
        <w:rPr/>
      </w:pPr>
      <w:r>
        <w:rPr/>
        <w:tab/>
        <w:tab/>
        <w:t>(c) the appointment by party B of an agent for the service of process in New York, New York, United states of America;</w:t>
      </w:r>
    </w:p>
    <w:p>
      <w:pPr>
        <w:pStyle w:val="Normal"/>
        <w:rPr/>
      </w:pPr>
      <w:r>
        <w:rPr/>
      </w:r>
    </w:p>
    <w:p>
      <w:pPr>
        <w:pStyle w:val="Normal"/>
        <w:rPr/>
      </w:pPr>
      <w:r>
        <w:rPr/>
        <w:tab/>
        <w:tab/>
        <w:t>(d) the waiver of sovereign immunity provided in the Agreement.</w:t>
      </w:r>
      <w:r>
        <w:rPr>
          <w:rStyle w:val="FootnoteCharacters"/>
          <w:rStyle w:val="FootnoteReference"/>
        </w:rPr>
        <w:footnoteReference w:id="4"/>
      </w:r>
    </w:p>
    <w:p>
      <w:pPr>
        <w:pStyle w:val="Normal"/>
        <w:rPr/>
      </w:pPr>
      <w:r>
        <w:rPr/>
      </w:r>
    </w:p>
    <w:p>
      <w:pPr>
        <w:pStyle w:val="Normal"/>
        <w:rPr/>
      </w:pPr>
      <w:r>
        <w:rPr/>
        <w:tab/>
        <w:tab/>
        <w:t xml:space="preserve">are legal, valid, binding and enforceable under Argentine Law, </w:t>
      </w:r>
      <w:r>
        <w:rPr>
          <w:u w:val="single"/>
        </w:rPr>
        <w:t>provided</w:t>
      </w:r>
      <w:r>
        <w:rPr/>
        <w:t xml:space="preserve"> that, with respect to service or process (including service of process upon any process agent outside Argentina), the provisions of Article 517(2) of the CPCC are complied with, which require that the defendant against whom enforcement of the judgment is sought was personally served with the summons and, in accordance with due process of law, was given an opportunity to defend against the foreign actions.</w:t>
      </w:r>
    </w:p>
    <w:p>
      <w:pPr>
        <w:pStyle w:val="Normal"/>
        <w:rPr/>
      </w:pPr>
      <w:r>
        <w:rPr/>
      </w:r>
    </w:p>
    <w:p>
      <w:pPr>
        <w:pStyle w:val="Normal"/>
        <w:rPr/>
      </w:pPr>
      <w:r>
        <w:rPr/>
        <w:tab/>
        <w:t>11.</w:t>
        <w:tab/>
        <w:t>It is not necessary under the laws of Argentina (i) in order to enable the parties to the Agreements to enforce their rights under the Agreement that such parties to the Agreement should be licensed, qualified or entitled to carry on business in Argentina; (ii) by reason of the execution, delivery or performance of the Agreements or any Transaction”.</w:t>
      </w:r>
    </w:p>
    <w:p>
      <w:pPr>
        <w:pStyle w:val="Normal"/>
        <w:rPr/>
      </w:pPr>
      <w:r>
        <w:rPr/>
      </w:r>
    </w:p>
    <w:p>
      <w:pPr>
        <w:pStyle w:val="Normal"/>
        <w:rPr/>
      </w:pPr>
      <w:r>
        <w:rPr/>
        <w:tab/>
        <w:t>12.</w:t>
        <w:tab/>
        <w:t>Party A will not be deemed to be a resident, domiciled, carrying on business or subject to taxation (other than as specified above) in Argentina by reason only of the execution, delivery, performance or enforcement of the Agreement of any instrument related thereto.</w:t>
      </w:r>
    </w:p>
    <w:p>
      <w:pPr>
        <w:pStyle w:val="Normal"/>
        <w:rPr/>
      </w:pPr>
      <w:r>
        <w:rPr/>
      </w:r>
    </w:p>
    <w:p>
      <w:pPr>
        <w:pStyle w:val="Normal"/>
        <w:rPr/>
      </w:pPr>
      <w:r>
        <w:rPr/>
        <w:tab/>
        <w:t xml:space="preserve">13. </w:t>
        <w:tab/>
        <w:t>There is no pending or- to the best of my knowledge after due investigation- threatened litigation, action or proceeding affecting Party B or any of its properties before any court, governmental agency or arbitrator, (i) which, individually or in the aggregate, could reasonably be expected to materially and  adversely affect the financial conditions of Party B, or (ii) which purports to affect the legality, validity enforceability or performance of the Agreement or any Transactions to be subscribed by Party B.</w:t>
      </w:r>
    </w:p>
    <w:p>
      <w:pPr>
        <w:pStyle w:val="Normal"/>
        <w:rPr/>
      </w:pPr>
      <w:r>
        <w:rPr/>
      </w:r>
    </w:p>
    <w:p>
      <w:pPr>
        <w:pStyle w:val="Normal"/>
        <w:rPr/>
      </w:pPr>
      <w:r>
        <w:rPr/>
        <w:tab/>
        <w:t>14.</w:t>
        <w:tab/>
        <w:t>Under the law of Argentina, neither Party B nor any of its property has any immunity (sovereign or otherwise) from set off, from jurisdiction of any court of Argentina or any legal process (whether through service of notice, attachment prior to judgment, attachment in aid of execution, execution or otherwise).</w:t>
      </w:r>
      <w:r>
        <w:rPr>
          <w:rStyle w:val="FootnoteCharacters"/>
          <w:rStyle w:val="FootnoteReference"/>
        </w:rPr>
        <w:footnoteReference w:id="5"/>
      </w:r>
    </w:p>
    <w:p>
      <w:pPr>
        <w:pStyle w:val="Normal"/>
        <w:rPr/>
      </w:pPr>
      <w:r>
        <w:rPr/>
      </w:r>
    </w:p>
    <w:p>
      <w:pPr>
        <w:pStyle w:val="Normal"/>
        <w:rPr/>
      </w:pPr>
      <w:r>
        <w:rPr/>
        <w:tab/>
        <w:t>The opinions expressed herein are limited to questions arising under the laws of Argentina as in force on the date hereof. We do not purport to express any opinion on any matters arising under the laws of the United states or the laws of the State of New York or the laws of any other jurisdiction and do not express or imply any opinion on such laws.</w:t>
      </w:r>
    </w:p>
    <w:p>
      <w:pPr>
        <w:pStyle w:val="Normal"/>
        <w:rPr/>
      </w:pPr>
      <w:r>
        <w:rPr/>
      </w:r>
    </w:p>
    <w:p>
      <w:pPr>
        <w:pStyle w:val="Normal"/>
        <w:rPr/>
      </w:pPr>
      <w:r>
        <w:rPr/>
        <w:tab/>
        <w:tab/>
        <w:tab/>
        <w:tab/>
        <w:tab/>
        <w:t>Very truly yours,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mc:AlternateContent>
          <mc:Choice Requires="wps">
            <w:drawing>
              <wp:anchor behindDoc="0" distT="0" distB="0" distL="90170" distR="90170" simplePos="0" locked="0" layoutInCell="0" allowOverlap="1" relativeHeight="2">
                <wp:simplePos x="0" y="0"/>
                <wp:positionH relativeFrom="page">
                  <wp:posOffset>281305</wp:posOffset>
                </wp:positionH>
                <wp:positionV relativeFrom="page">
                  <wp:posOffset>8505190</wp:posOffset>
                </wp:positionV>
                <wp:extent cx="1080135" cy="527050"/>
                <wp:effectExtent l="0" t="0" r="0" b="0"/>
                <wp:wrapSquare wrapText="bothSides"/>
                <wp:docPr id="1" name="Frame1"/>
                <a:graphic xmlns:a="http://schemas.openxmlformats.org/drawingml/2006/main">
                  <a:graphicData uri="http://schemas.microsoft.com/office/word/2010/wordprocessingShape">
                    <wps:wsp>
                      <wps:cNvSpPr txBox="1"/>
                      <wps:spPr>
                        <a:xfrm>
                          <a:off x="0" y="0"/>
                          <a:ext cx="1080135" cy="527050"/>
                        </a:xfrm>
                        <a:prstGeom prst="rect"/>
                        <a:solidFill>
                          <a:srgbClr val="FFFFFF">
                            <a:alpha val="0"/>
                          </a:srgbClr>
                        </a:solidFill>
                      </wps:spPr>
                      <wps:txbx>
                        <w:txbxContent>
                          <w:p>
                            <w:pPr>
                              <w:pStyle w:val="Normal"/>
                              <w:rPr>
                                <w:rFonts w:ascii="Arial" w:hAnsi="Arial" w:cs="Arial"/>
                                <w:sz w:val="12"/>
                              </w:rPr>
                            </w:pPr>
                            <w:bookmarkStart w:id="0" w:name="DAT"/>
                            <w:bookmarkEnd w:id="0"/>
                            <w:r>
                              <w:rPr>
                                <w:sz w:val="12"/>
                              </w:rPr>
                              <w:t>C:\WORD6\MODELOS\</w:t>
                            </w:r>
                            <w:r>
                              <w:rPr>
                                <w:rFonts w:cs="Arial" w:ascii="Arial" w:hAnsi="Arial"/>
                                <w:sz w:val="12"/>
                              </w:rPr>
                              <w:fldChar w:fldCharType="begin"/>
                            </w:r>
                            <w:r>
                              <w:rPr>
                                <w:sz w:val="12"/>
                                <w:rFonts w:cs="Arial" w:ascii="Arial" w:hAnsi="Arial"/>
                              </w:rPr>
                              <w:instrText xml:space="preserve"> FILENAME </w:instrText>
                            </w:r>
                            <w:r>
                              <w:rPr>
                                <w:sz w:val="12"/>
                                <w:rFonts w:cs="Arial" w:ascii="Arial" w:hAnsi="Arial"/>
                              </w:rPr>
                              <w:fldChar w:fldCharType="separate"/>
                            </w:r>
                            <w:r>
                              <w:rPr>
                                <w:sz w:val="12"/>
                                <w:rFonts w:cs="Arial" w:ascii="Arial" w:hAnsi="Arial"/>
                              </w:rPr>
                              <w:t>ISDALEG.doc</w:t>
                            </w:r>
                            <w:r>
                              <w:rPr>
                                <w:sz w:val="12"/>
                                <w:rFonts w:cs="Arial" w:ascii="Arial" w:hAnsi="Arial"/>
                              </w:rPr>
                              <w:fldChar w:fldCharType="end"/>
                            </w:r>
                          </w:p>
                          <w:p>
                            <w:pPr>
                              <w:pStyle w:val="Normal"/>
                              <w:rPr>
                                <w:rFonts w:ascii="Arial" w:hAnsi="Arial" w:cs="Arial"/>
                                <w:sz w:val="12"/>
                              </w:rPr>
                            </w:pPr>
                            <w:bookmarkStart w:id="1" w:name="DAT"/>
                            <w:bookmarkEnd w:id="1"/>
                            <w:r>
                              <w:rPr>
                                <w:rFonts w:cs="Arial" w:ascii="Arial" w:hAnsi="Arial"/>
                                <w:sz w:val="12"/>
                              </w:rPr>
                              <w:t>(</w:t>
                            </w:r>
                            <w:r>
                              <w:fldChar w:fldCharType="begin"/>
                            </w:r>
                            <w:r>
                              <w:rPr>
                                <w:sz w:val="12"/>
                                <w:rFonts w:cs="Arial" w:ascii="Arial" w:hAnsi="Arial"/>
                              </w:rPr>
                              <w:instrText xml:space="preserve">INICIALUSUARIO </w:instrText>
                            </w:r>
                            <w:r>
                              <w:rPr>
                                <w:rFonts w:cs="Arial" w:ascii="Arial" w:hAnsi="Arial"/>
                                <w:sz w:val="12"/>
                              </w:rPr>
                            </w:r>
                            <w:r>
                              <w:rPr>
                                <w:sz w:val="12"/>
                                <w:rFonts w:cs="Arial" w:ascii="Arial" w:hAnsi="Arial"/>
                              </w:rPr>
                              <w:fldChar w:fldCharType="separate"/>
                            </w:r>
                            <w:r>
                              <w:rPr>
                                <w:rFonts w:cs="Arial" w:ascii="Arial" w:hAnsi="Arial"/>
                                <w:sz w:val="12"/>
                              </w:rPr>
                              <w:t>0</w:t>
                            </w:r>
                            <w:r>
                              <w:rPr>
                                <w:rFonts w:cs="Arial" w:ascii="Arial" w:hAnsi="Arial"/>
                                <w:sz w:val="12"/>
                              </w:rPr>
                            </w:r>
                            <w:r>
                              <w:rPr>
                                <w:sz w:val="12"/>
                                <w:rFonts w:cs="Arial" w:ascii="Arial" w:hAnsi="Arial"/>
                              </w:rPr>
                              <w:fldChar w:fldCharType="end"/>
                            </w:r>
                            <w:r>
                              <w:rPr>
                                <w:rFonts w:cs="Arial" w:ascii="Arial" w:hAnsi="Arial"/>
                                <w:sz w:val="12"/>
                              </w:rPr>
                              <w:t xml:space="preserve">) </w:t>
                            </w:r>
                            <w:r>
                              <w:rPr>
                                <w:rFonts w:cs="Arial" w:ascii="Arial" w:hAnsi="Arial"/>
                                <w:b/>
                                <w:sz w:val="12"/>
                              </w:rPr>
                              <w:t>-</w:t>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SAVEDATE \@"d\/M'/aa'" </w:instrText>
                            </w:r>
                            <w:r>
                              <w:rPr>
                                <w:sz w:val="12"/>
                                <w:rFonts w:cs="Arial" w:ascii="Arial" w:hAnsi="Arial"/>
                              </w:rPr>
                              <w:fldChar w:fldCharType="separate"/>
                            </w:r>
                            <w:r>
                              <w:rPr>
                                <w:sz w:val="12"/>
                                <w:rFonts w:cs="Arial" w:ascii="Arial" w:hAnsi="Arial"/>
                              </w:rPr>
                              <w:t>23/9/aa</w:t>
                            </w:r>
                            <w:r>
                              <w:rPr>
                                <w:sz w:val="12"/>
                                <w:rFonts w:cs="Arial" w:ascii="Arial" w:hAnsi="Arial"/>
                              </w:rPr>
                              <w:fldChar w:fldCharType="end"/>
                            </w:r>
                          </w:p>
                          <w:p>
                            <w:pPr>
                              <w:pStyle w:val="Normal"/>
                              <w:rPr>
                                <w:rFonts w:ascii="Arial" w:hAnsi="Arial" w:cs="Arial"/>
                                <w:sz w:val="12"/>
                              </w:rPr>
                            </w:pPr>
                            <w:r>
                              <w:rPr>
                                <w:rFonts w:cs="Arial" w:ascii="Arial" w:hAnsi="Arial"/>
                                <w:sz w:val="12"/>
                              </w:rPr>
                              <w:fldChar w:fldCharType="begin"/>
                            </w:r>
                            <w:r>
                              <w:rPr>
                                <w:sz w:val="12"/>
                                <w:rFonts w:cs="Arial" w:ascii="Arial" w:hAnsi="Arial"/>
                              </w:rPr>
                              <w:instrText xml:space="preserve"> SUBJECT </w:instrText>
                            </w:r>
                            <w:r>
                              <w:rPr>
                                <w:sz w:val="12"/>
                                <w:rFonts w:cs="Arial" w:ascii="Arial" w:hAnsi="Arial"/>
                              </w:rPr>
                              <w:fldChar w:fldCharType="separate"/>
                            </w:r>
                            <w:r>
                              <w:rPr>
                                <w:sz w:val="12"/>
                                <w:rFonts w:cs="Arial" w:ascii="Arial" w:hAnsi="Arial"/>
                              </w:rPr>
                              <w:t>43808</w:t>
                            </w:r>
                            <w:r>
                              <w:rPr>
                                <w:sz w:val="12"/>
                                <w:rFonts w:cs="Arial" w:ascii="Arial" w:hAnsi="Arial"/>
                              </w:rPr>
                              <w:fldChar w:fldCharType="end"/>
                            </w:r>
                          </w:p>
                          <w:p>
                            <w:pPr>
                              <w:pStyle w:val="Normal"/>
                              <w:rPr>
                                <w:rFonts w:ascii="Arial" w:hAnsi="Arial" w:cs="Arial"/>
                                <w:sz w:val="12"/>
                              </w:rPr>
                            </w:pPr>
                            <w:r>
                              <w:rPr>
                                <w:rFonts w:cs="Arial" w:ascii="Arial" w:hAnsi="Arial"/>
                                <w:sz w:val="12"/>
                              </w:rPr>
                              <w:fldChar w:fldCharType="begin"/>
                            </w:r>
                            <w:r>
                              <w:rPr>
                                <w:sz w:val="12"/>
                                <w:rFonts w:cs="Arial" w:ascii="Arial" w:hAnsi="Arial"/>
                              </w:rPr>
                              <w:instrText xml:space="preserve"> DATE \@"d\/M'/aa'" </w:instrText>
                            </w:r>
                            <w:r>
                              <w:rPr>
                                <w:sz w:val="12"/>
                                <w:rFonts w:cs="Arial" w:ascii="Arial" w:hAnsi="Arial"/>
                              </w:rPr>
                              <w:fldChar w:fldCharType="separate"/>
                            </w:r>
                            <w:r>
                              <w:rPr>
                                <w:sz w:val="12"/>
                                <w:rFonts w:cs="Arial" w:ascii="Arial" w:hAnsi="Arial"/>
                              </w:rPr>
                              <w:t>28/9/aa</w:t>
                            </w:r>
                            <w:r>
                              <w:rPr>
                                <w:sz w:val="12"/>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85.05pt;height:41.5pt;mso-wrap-distance-left:7.1pt;mso-wrap-distance-right:7.1pt;mso-wrap-distance-top:0pt;mso-wrap-distance-bottom:0pt;margin-top:669.7pt;mso-position-vertical-relative:page;margin-left:22.15pt;mso-position-horizontal-relative:page">
                <v:fill opacity="0f"/>
                <v:textbox inset="0in,0in,0in,0in">
                  <w:txbxContent>
                    <w:p>
                      <w:pPr>
                        <w:pStyle w:val="Normal"/>
                        <w:rPr>
                          <w:rFonts w:ascii="Arial" w:hAnsi="Arial" w:cs="Arial"/>
                          <w:sz w:val="12"/>
                        </w:rPr>
                      </w:pPr>
                      <w:bookmarkStart w:id="2" w:name="DAT"/>
                      <w:bookmarkEnd w:id="2"/>
                      <w:r>
                        <w:rPr>
                          <w:sz w:val="12"/>
                        </w:rPr>
                        <w:t>C:\WORD6\MODELOS\</w:t>
                      </w:r>
                      <w:r>
                        <w:rPr>
                          <w:rFonts w:cs="Arial" w:ascii="Arial" w:hAnsi="Arial"/>
                          <w:sz w:val="12"/>
                        </w:rPr>
                        <w:fldChar w:fldCharType="begin"/>
                      </w:r>
                      <w:r>
                        <w:rPr>
                          <w:sz w:val="12"/>
                          <w:rFonts w:cs="Arial" w:ascii="Arial" w:hAnsi="Arial"/>
                        </w:rPr>
                        <w:instrText xml:space="preserve"> FILENAME </w:instrText>
                      </w:r>
                      <w:r>
                        <w:rPr>
                          <w:sz w:val="12"/>
                          <w:rFonts w:cs="Arial" w:ascii="Arial" w:hAnsi="Arial"/>
                        </w:rPr>
                        <w:fldChar w:fldCharType="separate"/>
                      </w:r>
                      <w:r>
                        <w:rPr>
                          <w:sz w:val="12"/>
                          <w:rFonts w:cs="Arial" w:ascii="Arial" w:hAnsi="Arial"/>
                        </w:rPr>
                        <w:t>ISDALEG.doc</w:t>
                      </w:r>
                      <w:r>
                        <w:rPr>
                          <w:sz w:val="12"/>
                          <w:rFonts w:cs="Arial" w:ascii="Arial" w:hAnsi="Arial"/>
                        </w:rPr>
                        <w:fldChar w:fldCharType="end"/>
                      </w:r>
                    </w:p>
                    <w:p>
                      <w:pPr>
                        <w:pStyle w:val="Normal"/>
                        <w:rPr>
                          <w:rFonts w:ascii="Arial" w:hAnsi="Arial" w:cs="Arial"/>
                          <w:sz w:val="12"/>
                        </w:rPr>
                      </w:pPr>
                      <w:bookmarkStart w:id="3" w:name="DAT"/>
                      <w:bookmarkEnd w:id="3"/>
                      <w:r>
                        <w:rPr>
                          <w:rFonts w:cs="Arial" w:ascii="Arial" w:hAnsi="Arial"/>
                          <w:sz w:val="12"/>
                        </w:rPr>
                        <w:t>(</w:t>
                      </w:r>
                      <w:r>
                        <w:fldChar w:fldCharType="begin"/>
                      </w:r>
                      <w:r>
                        <w:rPr>
                          <w:sz w:val="12"/>
                          <w:rFonts w:cs="Arial" w:ascii="Arial" w:hAnsi="Arial"/>
                        </w:rPr>
                        <w:instrText xml:space="preserve">INICIALUSUARIO </w:instrText>
                      </w:r>
                      <w:r>
                        <w:rPr>
                          <w:rFonts w:cs="Arial" w:ascii="Arial" w:hAnsi="Arial"/>
                          <w:sz w:val="12"/>
                        </w:rPr>
                      </w:r>
                      <w:r>
                        <w:rPr>
                          <w:sz w:val="12"/>
                          <w:rFonts w:cs="Arial" w:ascii="Arial" w:hAnsi="Arial"/>
                        </w:rPr>
                        <w:fldChar w:fldCharType="separate"/>
                      </w:r>
                      <w:r>
                        <w:rPr>
                          <w:rFonts w:cs="Arial" w:ascii="Arial" w:hAnsi="Arial"/>
                          <w:sz w:val="12"/>
                        </w:rPr>
                        <w:t>0</w:t>
                      </w:r>
                      <w:r>
                        <w:rPr>
                          <w:rFonts w:cs="Arial" w:ascii="Arial" w:hAnsi="Arial"/>
                          <w:sz w:val="12"/>
                        </w:rPr>
                      </w:r>
                      <w:r>
                        <w:rPr>
                          <w:sz w:val="12"/>
                          <w:rFonts w:cs="Arial" w:ascii="Arial" w:hAnsi="Arial"/>
                        </w:rPr>
                        <w:fldChar w:fldCharType="end"/>
                      </w:r>
                      <w:r>
                        <w:rPr>
                          <w:rFonts w:cs="Arial" w:ascii="Arial" w:hAnsi="Arial"/>
                          <w:sz w:val="12"/>
                        </w:rPr>
                        <w:t xml:space="preserve">) </w:t>
                      </w:r>
                      <w:r>
                        <w:rPr>
                          <w:rFonts w:cs="Arial" w:ascii="Arial" w:hAnsi="Arial"/>
                          <w:b/>
                          <w:sz w:val="12"/>
                        </w:rPr>
                        <w:t>-</w:t>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SAVEDATE \@"d\/M'/aa'" </w:instrText>
                      </w:r>
                      <w:r>
                        <w:rPr>
                          <w:sz w:val="12"/>
                          <w:rFonts w:cs="Arial" w:ascii="Arial" w:hAnsi="Arial"/>
                        </w:rPr>
                        <w:fldChar w:fldCharType="separate"/>
                      </w:r>
                      <w:r>
                        <w:rPr>
                          <w:sz w:val="12"/>
                          <w:rFonts w:cs="Arial" w:ascii="Arial" w:hAnsi="Arial"/>
                        </w:rPr>
                        <w:t>23/9/aa</w:t>
                      </w:r>
                      <w:r>
                        <w:rPr>
                          <w:sz w:val="12"/>
                          <w:rFonts w:cs="Arial" w:ascii="Arial" w:hAnsi="Arial"/>
                        </w:rPr>
                        <w:fldChar w:fldCharType="end"/>
                      </w:r>
                    </w:p>
                    <w:p>
                      <w:pPr>
                        <w:pStyle w:val="Normal"/>
                        <w:rPr>
                          <w:rFonts w:ascii="Arial" w:hAnsi="Arial" w:cs="Arial"/>
                          <w:sz w:val="12"/>
                        </w:rPr>
                      </w:pPr>
                      <w:r>
                        <w:rPr>
                          <w:rFonts w:cs="Arial" w:ascii="Arial" w:hAnsi="Arial"/>
                          <w:sz w:val="12"/>
                        </w:rPr>
                        <w:fldChar w:fldCharType="begin"/>
                      </w:r>
                      <w:r>
                        <w:rPr>
                          <w:sz w:val="12"/>
                          <w:rFonts w:cs="Arial" w:ascii="Arial" w:hAnsi="Arial"/>
                        </w:rPr>
                        <w:instrText xml:space="preserve"> SUBJECT </w:instrText>
                      </w:r>
                      <w:r>
                        <w:rPr>
                          <w:sz w:val="12"/>
                          <w:rFonts w:cs="Arial" w:ascii="Arial" w:hAnsi="Arial"/>
                        </w:rPr>
                        <w:fldChar w:fldCharType="separate"/>
                      </w:r>
                      <w:r>
                        <w:rPr>
                          <w:sz w:val="12"/>
                          <w:rFonts w:cs="Arial" w:ascii="Arial" w:hAnsi="Arial"/>
                        </w:rPr>
                        <w:t>43808</w:t>
                      </w:r>
                      <w:r>
                        <w:rPr>
                          <w:sz w:val="12"/>
                          <w:rFonts w:cs="Arial" w:ascii="Arial" w:hAnsi="Arial"/>
                        </w:rPr>
                        <w:fldChar w:fldCharType="end"/>
                      </w:r>
                    </w:p>
                    <w:p>
                      <w:pPr>
                        <w:pStyle w:val="Normal"/>
                        <w:rPr>
                          <w:rFonts w:ascii="Arial" w:hAnsi="Arial" w:cs="Arial"/>
                          <w:sz w:val="12"/>
                        </w:rPr>
                      </w:pPr>
                      <w:r>
                        <w:rPr>
                          <w:rFonts w:cs="Arial" w:ascii="Arial" w:hAnsi="Arial"/>
                          <w:sz w:val="12"/>
                        </w:rPr>
                        <w:fldChar w:fldCharType="begin"/>
                      </w:r>
                      <w:r>
                        <w:rPr>
                          <w:sz w:val="12"/>
                          <w:rFonts w:cs="Arial" w:ascii="Arial" w:hAnsi="Arial"/>
                        </w:rPr>
                        <w:instrText xml:space="preserve"> DATE \@"d\/M'/aa'" </w:instrText>
                      </w:r>
                      <w:r>
                        <w:rPr>
                          <w:sz w:val="12"/>
                          <w:rFonts w:cs="Arial" w:ascii="Arial" w:hAnsi="Arial"/>
                        </w:rPr>
                        <w:fldChar w:fldCharType="separate"/>
                      </w:r>
                      <w:r>
                        <w:rPr>
                          <w:sz w:val="12"/>
                          <w:rFonts w:cs="Arial" w:ascii="Arial" w:hAnsi="Arial"/>
                        </w:rPr>
                        <w:t>28/9/aa</w:t>
                      </w:r>
                      <w:r>
                        <w:rPr>
                          <w:sz w:val="12"/>
                          <w:rFonts w:cs="Arial" w:ascii="Arial" w:hAnsi="Arial"/>
                        </w:rPr>
                        <w:fldChar w:fldCharType="end"/>
                      </w:r>
                    </w:p>
                  </w:txbxContent>
                </v:textbox>
                <w10:wrap type="square"/>
              </v:rect>
            </w:pict>
          </mc:Fallback>
        </mc:AlternateContent>
      </w:r>
    </w:p>
    <w:sectPr>
      <w:footerReference w:type="default" r:id="rId2"/>
      <w:footnotePr>
        <w:numFmt w:val="decimal"/>
      </w:footnotePr>
      <w:type w:val="nextPage"/>
      <w:pgSz w:w="11906" w:h="16838"/>
      <w:pgMar w:left="2268" w:right="1134" w:gutter="0" w:header="0" w:top="1701" w:footer="72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82550" cy="189230"/>
              <wp:effectExtent l="0" t="0" r="0" b="0"/>
              <wp:wrapSquare wrapText="bothSides"/>
              <wp:docPr id="2" name="Frame2"/>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418.7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If applicable.</w:t>
      </w:r>
    </w:p>
    <w:p>
      <w:pPr>
        <w:pStyle w:val="FootnoteText"/>
        <w:rPr/>
      </w:pPr>
      <w:r>
        <w:rPr/>
      </w:r>
    </w:p>
  </w:footnote>
  <w:footnote w:id="3">
    <w:p>
      <w:pPr>
        <w:pStyle w:val="FootnoteText"/>
        <w:ind w:hanging="708" w:start="708" w:end="0"/>
        <w:rPr/>
      </w:pPr>
      <w:r>
        <w:rPr>
          <w:rStyle w:val="FootnoteCharacters"/>
        </w:rPr>
        <w:footnoteRef/>
      </w:r>
      <w:r>
        <w:rPr/>
        <w:tab/>
        <w:t>Although we are including this comment, there is uncertainty as to the conformity with public policy of the set off provisions of the Master Agreement, therefore, this clause should be further discussed with counsel to Party B’s.</w:t>
      </w:r>
    </w:p>
    <w:p>
      <w:pPr>
        <w:pStyle w:val="FootnoteText"/>
        <w:rPr/>
      </w:pPr>
      <w:r>
        <w:rPr/>
      </w:r>
    </w:p>
  </w:footnote>
  <w:footnote w:id="4">
    <w:p>
      <w:pPr>
        <w:pStyle w:val="FootnoteText"/>
        <w:rPr/>
      </w:pPr>
      <w:r>
        <w:rPr>
          <w:rStyle w:val="FootnoteCharacters"/>
        </w:rPr>
        <w:footnoteRef/>
      </w:r>
      <w:r>
        <w:rPr/>
        <w:t xml:space="preserve"> </w:t>
      </w:r>
      <w:r>
        <w:rPr/>
        <w:tab/>
        <w:t>If applicable.</w:t>
      </w:r>
    </w:p>
  </w:footnote>
  <w:footnote w:id="5">
    <w:p>
      <w:pPr>
        <w:pStyle w:val="FootnoteText"/>
        <w:rPr>
          <w:sz w:val="2"/>
        </w:rPr>
      </w:pPr>
      <w:r>
        <w:rPr>
          <w:rStyle w:val="FootnoteCharacters"/>
        </w:rPr>
        <w:footnoteRef/>
      </w:r>
      <w:r>
        <w:rPr>
          <w:sz w:val="2"/>
        </w:rPr>
      </w:r>
    </w:p>
    <w:p>
      <w:pPr>
        <w:pStyle w:val="FootnoteText"/>
        <w:rPr/>
      </w:pPr>
      <w:r>
        <w:rPr>
          <w:rStyle w:val="FootnoteCharacters"/>
        </w:rPr>
        <w:t>?</w:t>
      </w:r>
      <w:r>
        <w:rPr/>
        <w:tab/>
        <w:t>If applicable.</w:t>
      </w:r>
    </w:p>
  </w:footnote>
</w:footnotes>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6"/>
      <w:szCs w:val="20"/>
      <w:lang w:val="en-US" w:eastAsia="zh-CN" w:bidi="hi-IN"/>
    </w:rPr>
  </w:style>
  <w:style w:type="character" w:styleId="Fuentedeprrafopredeter">
    <w:name w:val="Fuente de párrafo predeter."/>
    <w:qFormat/>
    <w:rPr/>
  </w:style>
  <w:style w:type="character" w:styleId="FootnoteCharacters">
    <w:name w:val="Footnote Characters"/>
    <w:basedOn w:val="Fuentedeprrafopredeter"/>
    <w:qFormat/>
    <w:rPr>
      <w:vertAlign w:val="superscript"/>
    </w:rPr>
  </w:style>
  <w:style w:type="character" w:styleId="PageNumber">
    <w:name w:val="page number"/>
    <w:basedOn w:val="Fuentedeprrafopredeter"/>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lang w:val="en-US"/>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Footer">
    <w:name w:val="footer"/>
    <w:basedOn w:val="Normal"/>
    <w:pPr>
      <w:tabs>
        <w:tab w:val="clear" w:pos="708"/>
        <w:tab w:val="center" w:pos="4252" w:leader="none"/>
        <w:tab w:val="right" w:pos="8504"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1999-09-23T17:41:00Z</dcterms:created>
  <dc:creator>1440</dc:creator>
  <dc:description/>
  <dc:language>en-CA</dc:language>
  <cp:lastModifiedBy>1448</cp:lastModifiedBy>
  <cp:lastPrinted>1998-02-25T12:02:00Z</cp:lastPrinted>
  <dcterms:modified xsi:type="dcterms:W3CDTF">1999-09-23T17:41:00Z</dcterms:modified>
  <cp:revision>2</cp:revision>
  <dc:subject>43808</dc:subject>
  <dc:title>	1.	Party B is duly organized and validly existing under the laws of the jurisdiction of its incorporation.</dc:title>
</cp:coreProperties>
</file>