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480" w:leader="none"/>
        </w:tabs>
        <w:ind w:hanging="6480" w:start="6480" w:end="0"/>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p>
    <w:p>
      <w:pPr>
        <w:pStyle w:val="BodyText"/>
        <w:rPr/>
      </w:pP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pPr>
      <w:r>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(Collar)</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&lt;&lt;DealDate&gt;&gt;</w:t>
      </w:r>
    </w:p>
    <w:p>
      <w:pPr>
        <w:pStyle w:val="Normal"/>
        <w:tabs>
          <w:tab w:val="clear" w:pos="720"/>
          <w:tab w:val="left" w:pos="2160" w:leader="none"/>
          <w:tab w:val="left" w:pos="6480" w:leader="none"/>
        </w:tabs>
        <w:ind w:start="-720" w:end="0"/>
        <w:rPr>
          <w:sz w:val="22"/>
        </w:rPr>
      </w:pPr>
      <w:r>
        <w:rPr>
          <w:sz w:val="22"/>
        </w:rPr>
        <w:t>To:</w:t>
        <w:tab/>
        <w:t>&lt;&lt;CounterpartyName&gt;&gt; ("Counterparty")</w:t>
      </w:r>
    </w:p>
    <w:p>
      <w:pPr>
        <w:pStyle w:val="Normal"/>
        <w:tabs>
          <w:tab w:val="clear" w:pos="720"/>
          <w:tab w:val="left" w:pos="2160" w:leader="none"/>
          <w:tab w:val="left" w:pos="6480" w:leader="none"/>
        </w:tabs>
        <w:ind w:start="-720" w:end="0"/>
        <w:rPr>
          <w:sz w:val="22"/>
        </w:rPr>
      </w:pPr>
      <w:r>
        <w:rPr>
          <w:sz w:val="22"/>
        </w:rPr>
        <w:t>Attention:</w:t>
        <w:tab/>
        <w:t>&lt;&lt;CounterpartyContact&gt;&gt;</w:t>
      </w:r>
    </w:p>
    <w:p>
      <w:pPr>
        <w:pStyle w:val="Normal"/>
        <w:tabs>
          <w:tab w:val="clear" w:pos="720"/>
          <w:tab w:val="left" w:pos="2160" w:leader="none"/>
          <w:tab w:val="left" w:pos="6480" w:leader="none"/>
        </w:tabs>
        <w:ind w:start="-720" w:end="0"/>
        <w:rPr>
          <w:sz w:val="22"/>
        </w:rPr>
      </w:pPr>
      <w:r>
        <w:rPr>
          <w:sz w:val="22"/>
        </w:rPr>
        <w:t>Fax No.:</w:t>
        <w:tab/>
        <w:t>&lt;&lt;CounterpartyFax&gt;&gt;</w:t>
      </w:r>
    </w:p>
    <w:p>
      <w:pPr>
        <w:pStyle w:val="Normal"/>
        <w:tabs>
          <w:tab w:val="clear" w:pos="720"/>
          <w:tab w:val="left" w:pos="2160" w:leader="none"/>
          <w:tab w:val="left" w:pos="6480" w:leader="none"/>
        </w:tabs>
        <w:ind w:start="-720" w:end="0"/>
        <w:rPr>
          <w:sz w:val="22"/>
        </w:rPr>
      </w:pPr>
      <w:r>
        <w:rPr>
          <w:sz w:val="22"/>
        </w:rPr>
        <w:t>From:</w:t>
        <w:tab/>
        <w:t>&lt;&lt;EnronEntityNameCode&gt;&gt;</w:t>
      </w:r>
    </w:p>
    <w:p>
      <w:pPr>
        <w:pStyle w:val="Normal"/>
        <w:tabs>
          <w:tab w:val="clear" w:pos="720"/>
          <w:tab w:val="left" w:pos="2160" w:leader="none"/>
          <w:tab w:val="left" w:pos="6480" w:leader="none"/>
        </w:tabs>
        <w:ind w:start="-720" w:end="0"/>
        <w:rPr>
          <w:sz w:val="22"/>
        </w:rPr>
      </w:pPr>
      <w:r>
        <w:rPr>
          <w:sz w:val="22"/>
        </w:rPr>
        <w:t>Re:</w:t>
        <w:tab/>
        <w:t>Costless Collar &lt;&lt;DealNumber&gt;&gt;</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is to confirm the terms and conditions of Transaction entered into between us pursuant to a telephone conversation between &lt;&lt;CounterpartyContact&gt;&gt; and &lt;&lt;Originator&gt;&gt; on the Trade Date specified below (the "Transaction").  This letter constitutes a “Confirmation” as referred to in the ISDA Master Agreement specified below.</w:t>
      </w:r>
    </w:p>
    <w:p>
      <w:pPr>
        <w:pStyle w:val="BodyTextIndent"/>
        <w:rPr>
          <w:sz w:val="22"/>
        </w:rPr>
      </w:pPr>
      <w:r>
        <w:rPr>
          <w:sz w:val="22"/>
        </w:rPr>
      </w:r>
    </w:p>
    <w:p>
      <w:pPr>
        <w:pStyle w:val="BodyTextIndent"/>
        <w:tabs>
          <w:tab w:val="left" w:pos="90" w:leader="none"/>
          <w:tab w:val="left" w:pos="810" w:leader="none"/>
          <w:tab w:val="left" w:pos="1080" w:leader="none"/>
          <w:tab w:val="left" w:pos="2160" w:leader="none"/>
          <w:tab w:val="left" w:pos="6480" w:leader="none"/>
        </w:tabs>
        <w:rPr>
          <w:sz w:val="22"/>
        </w:rPr>
      </w:pPr>
      <w:r>
        <w:rPr>
          <w:sz w:val="22"/>
        </w:rPr>
        <w:tab/>
        <w:t>1.</w:t>
        <w:tab/>
        <w:t>This Confirmation supplements, forms part of, and is subject to, the ISDA Master Agreement dated as of &lt;&lt;FinancialMasterDate&gt;&gt;, as amended and supplemented from time to time (the “Agreement”), between you and us.  All provisions contained in the Agreement govern this Confirmation except as expressly modified below.</w:t>
      </w:r>
    </w:p>
    <w:p>
      <w:pPr>
        <w:pStyle w:val="BodyTextIndent"/>
        <w:tabs>
          <w:tab w:val="left" w:pos="90" w:leader="none"/>
          <w:tab w:val="left" w:pos="810" w:leader="none"/>
          <w:tab w:val="left" w:pos="1080" w:leader="none"/>
          <w:tab w:val="left" w:pos="2160" w:leader="none"/>
          <w:tab w:val="left" w:pos="6480" w:leader="none"/>
        </w:tabs>
        <w:rPr>
          <w:sz w:val="22"/>
        </w:rPr>
      </w:pPr>
      <w:r>
        <w:rPr>
          <w:sz w:val="22"/>
        </w:rPr>
      </w:r>
    </w:p>
    <w:p>
      <w:pPr>
        <w:pStyle w:val="BodyTextIndent"/>
        <w:tabs>
          <w:tab w:val="left" w:pos="90" w:leader="none"/>
          <w:tab w:val="left" w:pos="810" w:leader="none"/>
          <w:tab w:val="left" w:pos="1080" w:leader="none"/>
          <w:tab w:val="left" w:pos="2160" w:leader="none"/>
          <w:tab w:val="left" w:pos="6480" w:leader="none"/>
        </w:tabs>
        <w:rPr>
          <w:sz w:val="22"/>
        </w:rPr>
      </w:pPr>
      <w:r>
        <w:rPr>
          <w:sz w:val="22"/>
        </w:rPr>
        <w:tab/>
        <w:t>2.</w:t>
        <w:tab/>
        <w:t>The terms of the particular Transaction to which this Confirmation relates are as follows:</w:t>
      </w:r>
    </w:p>
    <w:p>
      <w:pPr>
        <w:pStyle w:val="BodyTextIndent"/>
        <w:tabs>
          <w:tab w:val="left" w:pos="90" w:leader="none"/>
          <w:tab w:val="left" w:pos="810" w:leader="none"/>
          <w:tab w:val="left" w:pos="1080" w:leader="none"/>
          <w:tab w:val="left" w:pos="2160" w:leader="none"/>
          <w:tab w:val="left" w:pos="6480" w:leader="none"/>
        </w:tabs>
        <w:rPr>
          <w:sz w:val="22"/>
        </w:rPr>
      </w:pPr>
      <w:r>
        <w:rPr>
          <w:sz w:val="22"/>
        </w:rPr>
      </w:r>
    </w:p>
    <w:p>
      <w:pPr>
        <w:pStyle w:val="BodyTextIndent"/>
        <w:tabs>
          <w:tab w:val="left" w:pos="90" w:leader="none"/>
          <w:tab w:val="left" w:pos="810" w:leader="none"/>
          <w:tab w:val="left" w:pos="1080" w:leader="none"/>
          <w:tab w:val="left" w:pos="216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rPr>
          <w:b/>
          <w:sz w:val="22"/>
        </w:rPr>
      </w:pPr>
      <w:r>
        <w:rPr>
          <w:b/>
          <w:sz w:val="22"/>
        </w:rPr>
        <w:t>General Terms:</w:t>
      </w:r>
    </w:p>
    <w:p>
      <w:pPr>
        <w:pStyle w:val="BodyTextIndent"/>
        <w:tabs>
          <w:tab w:val="left" w:pos="90" w:leader="none"/>
          <w:tab w:val="left" w:pos="2160" w:leader="none"/>
          <w:tab w:val="left" w:pos="414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Notional Quantity Per</w:t>
        <w:tab/>
        <w:tab/>
        <w:t>&lt;&lt;QtyPerPeriod&gt;&gt;</w:t>
      </w:r>
    </w:p>
    <w:p>
      <w:pPr>
        <w:pStyle w:val="BodyTextIndent"/>
        <w:tabs>
          <w:tab w:val="left" w:pos="90" w:leader="none"/>
          <w:tab w:val="left" w:pos="2160" w:leader="none"/>
          <w:tab w:val="left" w:pos="4140" w:leader="none"/>
          <w:tab w:val="left" w:pos="5040" w:leader="none"/>
          <w:tab w:val="left" w:pos="6480" w:leader="none"/>
        </w:tabs>
        <w:ind w:hanging="4860" w:start="4140" w:end="0"/>
        <w:rPr>
          <w:sz w:val="22"/>
        </w:rPr>
      </w:pPr>
      <w:r>
        <w:rPr>
          <w:sz w:val="22"/>
        </w:rPr>
        <w:t>Calculation Period:</w:t>
        <w:tab/>
        <w:tab/>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Commodity:</w:t>
        <w:tab/>
        <w:tab/>
        <w:t>&lt;&lt;CommodityName&gt;&gt;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Commodity Unit:</w:t>
        <w:tab/>
        <w:tab/>
        <w:t>&lt;&lt;UnitOfMeasure&gt;&gt;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Trade Date:</w:t>
        <w:tab/>
        <w:tab/>
        <w:t>&lt;&lt;DealDate&gt;&gt;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Effective Date:</w:t>
        <w:tab/>
        <w:tab/>
        <w:t>&lt;&lt;TransStartDate&gt;&gt;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Termination Date:</w:t>
        <w:tab/>
        <w:tab/>
        <w:t>&lt;&lt;TransStopDate&gt;&gt;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720"/>
        <w:rPr>
          <w:sz w:val="22"/>
        </w:rPr>
      </w:pPr>
      <w:r>
        <w:rPr>
          <w:sz w:val="22"/>
        </w:rPr>
        <w:t>Calculation Period(s):</w:t>
        <w:tab/>
        <w:tab/>
        <w:t>&lt;&lt;DeterminationPeriod&gt;&gt;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t>Payment Date(s):</w:t>
        <w:tab/>
        <w:tab/>
        <w:t>&lt;&lt;PaymentDate&gt;&gt;</w:t>
      </w:r>
    </w:p>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r>
        <w:br w:type="page"/>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b/>
          <w:sz w:val="22"/>
        </w:rPr>
        <w:t>Cap Amount Details:</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Cap Floating Price Payer:</w:t>
        <w:tab/>
        <w:tab/>
        <w:t>&lt;&lt;CapSeller&gt;&gt;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Cap Price:</w:t>
        <w:tab/>
        <w:tab/>
        <w:t>U.S. $ &lt;&lt;CapPrice&gt;&gt;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b/>
          <w:sz w:val="22"/>
        </w:rPr>
      </w:pPr>
      <w:r>
        <w:rPr>
          <w:b/>
          <w:sz w:val="22"/>
        </w:rPr>
        <w:t>Floor Amount Details:</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Floor Floating Price Payer:</w:t>
        <w:tab/>
        <w:tab/>
        <w:t>&lt;&lt;FloorSeller&gt;&gt;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Floor Price:</w:t>
        <w:tab/>
        <w:tab/>
        <w:t>U.S. $ &lt;&lt;FloorPrice&gt;&gt;</w:t>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5040" w:leader="none"/>
          <w:tab w:val="left" w:pos="6480" w:leader="none"/>
        </w:tabs>
        <w:ind w:hanging="720" w:start="0" w:end="0"/>
        <w:rPr>
          <w:sz w:val="22"/>
        </w:rPr>
      </w:pPr>
      <w:r>
        <w:rPr>
          <w:sz w:val="22"/>
        </w:rPr>
        <w:t>Cap and Floor Floating Price:</w:t>
        <w:tab/>
        <w:tab/>
        <w:t>&lt;&lt;FloatingPrice&gt;&gt;</w:t>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b/>
          <w:sz w:val="22"/>
        </w:rPr>
        <w:t>Account Details:</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Payment to Party A:</w:t>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ab/>
        <w:t>Account for payments:</w:t>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Payments to Party B:</w:t>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ab/>
        <w:t>Account for payments:</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For the purposes of calculations of the Floating Price(s), all numbers shall be rounded as follows:  Floating Price(s) relating to commodities quoted in (i) gallons shall be rounded to five places, (ii) MMBtu’s shall be rounded to four places and (iii) barrels shall be rounded to three places.  If the number after the final number is five (5) or greater then the final number shall be increased by one (1), and if the number after the final number is less than five (5) then the final number shall remain unchanged.</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In accordance with the procedure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ab/>
        <w:tab/>
        <w:tab/>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tab/>
        <w:tab/>
        <w:t>Yours sincerely,</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tab/>
        <w:tab/>
        <w:t>&lt;&lt;EnronEntityName&gt;&gt;</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ab/>
        <w:tab/>
        <w:tab/>
        <w:tab/>
        <w:t xml:space="preserve">By: </w:t>
      </w:r>
      <w:r>
        <w:rPr>
          <w:sz w:val="22"/>
          <w:u w:val="single"/>
        </w:rPr>
        <w:tab/>
        <w:tab/>
        <w:tab/>
        <w:tab/>
      </w:r>
    </w:p>
    <w:p>
      <w:pPr>
        <w:pStyle w:val="BodyTextIndent"/>
        <w:tabs>
          <w:tab w:val="left" w:pos="90" w:leader="none"/>
          <w:tab w:val="left" w:pos="810" w:leader="none"/>
          <w:tab w:val="left" w:pos="2160" w:leader="none"/>
          <w:tab w:val="left" w:pos="4320" w:leader="none"/>
          <w:tab w:val="left" w:pos="5040" w:leader="none"/>
          <w:tab w:val="left" w:pos="6480" w:leader="none"/>
        </w:tabs>
        <w:rPr>
          <w:sz w:val="22"/>
          <w:u w:val="single"/>
        </w:rPr>
      </w:pPr>
      <w:r>
        <w:rPr>
          <w:sz w:val="22"/>
          <w:u w:val="single"/>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tab/>
        <w:tab/>
        <w:t xml:space="preserve">Name: </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ab/>
        <w:tab/>
        <w:tab/>
        <w:tab/>
        <w:t>Title:</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Contract No. &lt;&lt;Deal Number&gt;&gt;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Confirmed as of the date first above written:</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&lt;&lt;CounterpartyName&gt;&gt;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 xml:space="preserve">By: </w:t>
      </w:r>
      <w:r>
        <w:rPr>
          <w:sz w:val="22"/>
          <w:u w:val="single"/>
        </w:rPr>
        <w:tab/>
        <w:tab/>
        <w:tab/>
        <w:tab/>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Name:</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Title:</w:t>
      </w:r>
    </w:p>
    <w:sectPr>
      <w:headerReference w:type="default" r:id="rId3"/>
      <w:footerReference w:type="default" r:id="rId4"/>
      <w:type w:val="nextPage"/>
      <w:pgSz w:w="12240" w:h="15840"/>
      <w:pgMar w:left="1800" w:right="1152"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/mnt/main-storage/datasets/enron-docs/doc/ISDACOLLAR-b547b8fcf696eefd5224625dc2a6e97f51da0494c1bef1277c76aa4971716abd.doc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ISDAcollar</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1998-09-28T19:26:00Z</dcterms:created>
  <dc:creator>wende warren</dc:creator>
  <dc:description/>
  <dc:language>en-CA</dc:language>
  <cp:lastModifiedBy>wende warren</cp:lastModifiedBy>
  <cp:lastPrinted>1998-10-09T12:20:00Z</cp:lastPrinted>
  <dcterms:modified xsi:type="dcterms:W3CDTF">1998-10-09T14:50:00Z</dcterms:modified>
  <cp:revision>11</cp:revision>
  <dc:subject/>
  <dc:title/>
</cp:coreProperties>
</file>