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firstLine="720" w:end="0"/>
        <w:jc w:val="both"/>
        <w:rPr/>
      </w:pPr>
      <w:r>
        <w:rPr/>
      </w:r>
    </w:p>
    <w:p>
      <w:pPr>
        <w:pStyle w:val="Heading2"/>
        <w:widowControl/>
        <w:rPr>
          <w:sz w:val="24"/>
          <w:szCs w:val="24"/>
        </w:rPr>
      </w:pPr>
      <w:r>
        <w:rPr>
          <w:sz w:val="24"/>
          <w:szCs w:val="24"/>
        </w:rPr>
        <w:t>The Industry Selector</w:t>
      </w:r>
    </w:p>
    <w:p>
      <w:pPr>
        <w:pStyle w:val="Normal"/>
        <w:widowControl/>
        <w:ind w:firstLine="720" w:end="0"/>
        <w:jc w:val="center"/>
        <w:rPr>
          <w:sz w:val="22"/>
          <w:szCs w:val="22"/>
        </w:rPr>
      </w:pPr>
      <w:r>
        <w:rPr>
          <w:sz w:val="22"/>
          <w:szCs w:val="22"/>
        </w:rPr>
        <w:t>Victor A. Canto and Peter Mork</w:t>
      </w:r>
    </w:p>
    <w:p>
      <w:pPr>
        <w:pStyle w:val="Normal"/>
        <w:widowControl/>
        <w:ind w:firstLine="720" w:end="0"/>
        <w:jc w:val="both"/>
        <w:rPr>
          <w:sz w:val="22"/>
          <w:szCs w:val="22"/>
        </w:rPr>
      </w:pPr>
      <w:r>
        <w:rPr>
          <w:sz w:val="22"/>
          <w:szCs w:val="22"/>
        </w:rPr>
      </w:r>
    </w:p>
    <w:p>
      <w:pPr>
        <w:pStyle w:val="Normal"/>
        <w:ind w:firstLine="720" w:end="0"/>
        <w:jc w:val="both"/>
        <w:rPr/>
      </w:pPr>
      <w:r>
        <w:rPr/>
      </w:r>
    </w:p>
    <w:p>
      <w:pPr>
        <w:pStyle w:val="Normal"/>
        <w:widowControl/>
        <w:ind w:firstLine="720" w:end="0"/>
        <w:jc w:val="both"/>
        <w:rPr/>
      </w:pPr>
      <w:r>
        <w:rPr/>
      </w:r>
    </w:p>
    <w:p>
      <w:pPr>
        <w:pStyle w:val="Normal"/>
        <w:widowControl/>
        <w:ind w:firstLine="720" w:end="0"/>
        <w:jc w:val="both"/>
        <w:rPr/>
      </w:pPr>
      <w:r>
        <w:rPr/>
        <w:t xml:space="preserve">Over the years we’ve advocated using the futures markets to make inferences about market expectations. To determine which industry groups will benefit from our economic forecast, we apply, in an ongoing process, our Selector Methodology. We attempt to select industries that are likely to outperform in the near term. Our statistical procedure attempts to estimate industry responsiveness to the economic cycle. In effect, we estimate an average response over previous cycles. Our estimates are dependent on the availability of quarterly historical data. The length and quality of that data affect the reliability of our forecasts. The shorter the horizon, the less history we have. Thus, the more volatile the earnings history, the less reliable the estimates produced by our model. </w:t>
      </w:r>
    </w:p>
    <w:p>
      <w:pPr>
        <w:pStyle w:val="Normal"/>
        <w:widowControl/>
        <w:ind w:firstLine="720" w:end="0"/>
        <w:jc w:val="both"/>
        <w:rPr/>
      </w:pPr>
      <w:r>
        <w:rPr/>
        <w:t xml:space="preserve">Looking forward to the first quarter of 2002, our Industry Selector favors:  </w:t>
      </w:r>
      <w:r>
        <w:rPr>
          <w:b/>
          <w:bCs/>
        </w:rPr>
        <w:t>Aerospace/Defense, Auto Parts &amp; Equipment, Communication-Equip/Mfrs., Distributors, Electronics (Semiconductors), Electric Companies, Electrical Equipment, Equipment (Semiconductors), Financial (Diversified), Foods, Footwear, Health Care (Drugs), Insurance Brokers, Insurance (Life/Health), Publishing (Newspapers), Retail Stores (Dept.), Retail Stores (Drug).</w:t>
      </w:r>
    </w:p>
    <w:p>
      <w:pPr>
        <w:pStyle w:val="Normal"/>
        <w:widowControl/>
        <w:ind w:firstLine="720" w:end="0"/>
        <w:jc w:val="both"/>
        <w:rPr/>
      </w:pPr>
      <w:r>
        <w:rPr/>
        <w:t>To keep track of our recommendations, we build a model portfolio based on our industry selections. The first step in the process is to identify all the stocks in the industries selected. Next, we weight each of the stocks in direct proportion to their market capitalization. One implication of this weighting scheme is that larger companies will have a significant influence on the portfolio. During the fourth quarter, our model portfolio included fourteen industry groups – Banks (Major Regional), Beverages (Non-Alcoholic), Electric Companies, Electronics (Defense), Equipment (Semiconductor), Foods, Health Care Diversified, Housewares, Insurance Brokers, Insurance (Life/Health), Publishing (Newspapers), Retail Stores (Dept.), Retail Stores (Drug), Retail Stores (Food).</w:t>
      </w:r>
    </w:p>
    <w:p>
      <w:pPr>
        <w:pStyle w:val="Normal"/>
        <w:widowControl/>
        <w:ind w:firstLine="720" w:end="0"/>
        <w:jc w:val="both"/>
        <w:rPr/>
      </w:pPr>
      <w:r>
        <w:rPr/>
      </w:r>
    </w:p>
    <w:p>
      <w:pPr>
        <w:pStyle w:val="Normal"/>
        <w:widowControl/>
        <w:ind w:firstLine="720" w:end="0"/>
        <w:jc w:val="both"/>
        <w:rPr/>
      </w:pPr>
      <w:r>
        <w:rPr/>
        <w:t>As a result of the cap-weighting, we pay attention to the possibility of a heavy concentration in a few stocks.  During the fourth quarter the four largest holding were: Intel (8.91%), Johnson &amp; Johnson (6.89%) , Coca Cola (5.07%) and Bristol Myers (4.59%). It is fairly obvious that these four stocks would  influence the portfolio performance. Unfortunately, only Intel outperformed the S&amp;P 500 during the quarter, the remaining  three stocks under-performed with Bristol Myers producing negative returns.  However the Intel performance more than overshadowed the lackluster performance of the next three largest holdings. Intel accounted for nearly 40% of the portfolio returns.</w:t>
      </w:r>
    </w:p>
    <w:p>
      <w:pPr>
        <w:pStyle w:val="Normal"/>
        <w:widowControl/>
        <w:ind w:firstLine="720" w:end="0"/>
        <w:jc w:val="both"/>
        <w:rPr/>
      </w:pPr>
      <w:r>
        <w:rPr>
          <w:b/>
          <w:bCs/>
        </w:rPr>
        <w:t>The Fourth Quarter and Year 2001 Performance</w:t>
      </w:r>
      <w:r>
        <w:rPr/>
        <w:t>. The model portfolio has gained 12.78% during the fourth quarter versus a 10.42% gain for the S&amp;P500 (Table 1). While the market has not delivered positive returns for the year, we are happy to point out that the Industry Selector is in positive territory as the year comes to an end. The year to date gain of 1.12% is leading the benchmark by 1407 basis points.</w:t>
      </w:r>
      <w:r>
        <mc:AlternateContent>
          <mc:Choice Requires="wps">
            <w:drawing>
              <wp:anchor behindDoc="0" distT="0" distB="0" distL="114300" distR="114300" simplePos="0" locked="0" layoutInCell="0" allowOverlap="1" relativeHeight="2">
                <wp:simplePos x="0" y="0"/>
                <wp:positionH relativeFrom="page">
                  <wp:posOffset>1614170</wp:posOffset>
                </wp:positionH>
                <wp:positionV relativeFrom="paragraph">
                  <wp:posOffset>899795</wp:posOffset>
                </wp:positionV>
                <wp:extent cx="5104130" cy="1226820"/>
                <wp:effectExtent l="0" t="0" r="0" b="0"/>
                <wp:wrapSquare wrapText="bothSides"/>
                <wp:docPr id="1" name="Frame1"/>
                <a:graphic xmlns:a="http://schemas.openxmlformats.org/drawingml/2006/main">
                  <a:graphicData uri="http://schemas.microsoft.com/office/word/2010/wordprocessingShape">
                    <wps:wsp>
                      <wps:cNvSpPr txBox="1"/>
                      <wps:spPr>
                        <a:xfrm>
                          <a:off x="0" y="0"/>
                          <a:ext cx="5104130" cy="1226820"/>
                        </a:xfrm>
                        <a:prstGeom prst="rect"/>
                        <a:solidFill>
                          <a:srgbClr val="FFFFFF">
                            <a:alpha val="0"/>
                          </a:srgbClr>
                        </a:solidFill>
                      </wps:spPr>
                      <wps:txbx>
                        <w:txbxContent>
                          <w:p>
                            <w:pPr>
                              <w:pStyle w:val="Caption"/>
                              <w:widowControl/>
                              <w:rPr>
                                <w:b w:val="false"/>
                                <w:bCs w:val="false"/>
                                <w:sz w:val="20"/>
                                <w:szCs w:val="20"/>
                              </w:rPr>
                            </w:pPr>
                            <w:r>
                              <w:rPr>
                                <w:b w:val="false"/>
                                <w:bCs w:val="false"/>
                                <w:sz w:val="20"/>
                                <w:szCs w:val="20"/>
                              </w:rPr>
                              <w:t>Table 1</w:t>
                            </w:r>
                          </w:p>
                          <w:p>
                            <w:pPr>
                              <w:pStyle w:val="Caption"/>
                              <w:widowControl/>
                              <w:rPr/>
                            </w:pPr>
                            <w:r>
                              <w:rPr/>
                              <w:t>Performance of the S&amp;P 500 and LJE Industry Selector</w:t>
                            </w:r>
                          </w:p>
                          <w:p>
                            <w:pPr>
                              <w:pStyle w:val="Normal"/>
                              <w:widowControl/>
                              <w:jc w:val="center"/>
                              <w:rPr>
                                <w:b/>
                                <w:bCs/>
                              </w:rPr>
                            </w:pPr>
                            <w:r>
                              <w:rPr>
                                <w:b/>
                                <w:bCs/>
                              </w:rPr>
                            </w:r>
                          </w:p>
                          <w:tbl>
                            <w:tblPr>
                              <w:tblW w:w="7153" w:type="dxa"/>
                              <w:jc w:val="start"/>
                              <w:tblInd w:w="108" w:type="dxa"/>
                              <w:tblLayout w:type="fixed"/>
                              <w:tblCellMar>
                                <w:top w:w="0" w:type="dxa"/>
                                <w:start w:w="108" w:type="dxa"/>
                                <w:bottom w:w="0" w:type="dxa"/>
                                <w:end w:w="108" w:type="dxa"/>
                              </w:tblCellMar>
                            </w:tblPr>
                            <w:tblGrid>
                              <w:gridCol w:w="1818"/>
                              <w:gridCol w:w="913"/>
                              <w:gridCol w:w="1022"/>
                              <w:gridCol w:w="1022"/>
                              <w:gridCol w:w="1189"/>
                              <w:gridCol w:w="1189"/>
                            </w:tblGrid>
                            <w:tr>
                              <w:trPr/>
                              <w:tc>
                                <w:tcPr>
                                  <w:tcW w:w="1818" w:type="dxa"/>
                                  <w:tcBorders>
                                    <w:top w:val="dashed" w:sz="6" w:space="0" w:color="auto"/>
                                    <w:start w:val="dashed" w:sz="6" w:space="0" w:color="auto"/>
                                    <w:bottom w:val="dashed" w:sz="6" w:space="0" w:color="auto"/>
                                    <w:end w:val="dashed" w:sz="6" w:space="0" w:color="auto"/>
                                  </w:tcBorders>
                                </w:tcPr>
                                <w:p>
                                  <w:pPr>
                                    <w:pStyle w:val="Normal"/>
                                    <w:widowControl/>
                                    <w:snapToGrid w:val="false"/>
                                    <w:rPr>
                                      <w:b/>
                                      <w:bCs/>
                                    </w:rPr>
                                  </w:pPr>
                                  <w:r>
                                    <w:rPr>
                                      <w:b/>
                                      <w:bCs/>
                                    </w:rPr>
                                  </w:r>
                                </w:p>
                              </w:tc>
                              <w:tc>
                                <w:tcPr>
                                  <w:tcW w:w="913" w:type="dxa"/>
                                  <w:tcBorders>
                                    <w:top w:val="dashed" w:sz="6" w:space="0" w:color="auto"/>
                                    <w:start w:val="dashed" w:sz="6" w:space="0" w:color="auto"/>
                                    <w:bottom w:val="dashed" w:sz="6" w:space="0" w:color="auto"/>
                                    <w:end w:val="dashed" w:sz="6" w:space="0" w:color="auto"/>
                                  </w:tcBorders>
                                </w:tcPr>
                                <w:p>
                                  <w:pPr>
                                    <w:pStyle w:val="Normal"/>
                                    <w:widowControl/>
                                    <w:jc w:val="center"/>
                                    <w:rPr>
                                      <w:b/>
                                      <w:bCs/>
                                    </w:rPr>
                                  </w:pPr>
                                  <w:r>
                                    <w:rPr>
                                      <w:b/>
                                      <w:bCs/>
                                    </w:rPr>
                                    <w:t>2001.1</w:t>
                                  </w:r>
                                </w:p>
                              </w:tc>
                              <w:tc>
                                <w:tcPr>
                                  <w:tcW w:w="1022" w:type="dxa"/>
                                  <w:tcBorders>
                                    <w:top w:val="dashed" w:sz="6" w:space="0" w:color="auto"/>
                                    <w:start w:val="dashed" w:sz="6" w:space="0" w:color="auto"/>
                                    <w:bottom w:val="dashed" w:sz="6" w:space="0" w:color="auto"/>
                                    <w:end w:val="dashed" w:sz="6" w:space="0" w:color="auto"/>
                                  </w:tcBorders>
                                </w:tcPr>
                                <w:p>
                                  <w:pPr>
                                    <w:pStyle w:val="Normal"/>
                                    <w:widowControl/>
                                    <w:jc w:val="center"/>
                                    <w:rPr>
                                      <w:b/>
                                      <w:bCs/>
                                    </w:rPr>
                                  </w:pPr>
                                  <w:r>
                                    <w:rPr>
                                      <w:b/>
                                      <w:bCs/>
                                    </w:rPr>
                                    <w:t>2001.2</w:t>
                                  </w:r>
                                </w:p>
                              </w:tc>
                              <w:tc>
                                <w:tcPr>
                                  <w:tcW w:w="1022" w:type="dxa"/>
                                  <w:tcBorders>
                                    <w:top w:val="dashed" w:sz="6" w:space="0" w:color="auto"/>
                                    <w:start w:val="dashed" w:sz="6" w:space="0" w:color="auto"/>
                                    <w:bottom w:val="dashed" w:sz="6" w:space="0" w:color="auto"/>
                                    <w:end w:val="dashed" w:sz="6" w:space="0" w:color="auto"/>
                                  </w:tcBorders>
                                </w:tcPr>
                                <w:p>
                                  <w:pPr>
                                    <w:pStyle w:val="Normal"/>
                                    <w:widowControl/>
                                    <w:jc w:val="center"/>
                                    <w:rPr>
                                      <w:b/>
                                      <w:bCs/>
                                    </w:rPr>
                                  </w:pPr>
                                  <w:r>
                                    <w:rPr>
                                      <w:b/>
                                      <w:bCs/>
                                    </w:rPr>
                                    <w:t>2001.3</w:t>
                                  </w:r>
                                </w:p>
                              </w:tc>
                              <w:tc>
                                <w:tcPr>
                                  <w:tcW w:w="1189" w:type="dxa"/>
                                  <w:tcBorders>
                                    <w:top w:val="dashed" w:sz="6" w:space="0" w:color="auto"/>
                                    <w:start w:val="dashed" w:sz="6" w:space="0" w:color="auto"/>
                                    <w:bottom w:val="dashed" w:sz="6" w:space="0" w:color="auto"/>
                                    <w:end w:val="dashed" w:sz="6" w:space="0" w:color="auto"/>
                                  </w:tcBorders>
                                </w:tcPr>
                                <w:p>
                                  <w:pPr>
                                    <w:pStyle w:val="Normal"/>
                                    <w:widowControl/>
                                    <w:jc w:val="center"/>
                                    <w:rPr>
                                      <w:b/>
                                      <w:bCs/>
                                    </w:rPr>
                                  </w:pPr>
                                  <w:r>
                                    <w:rPr>
                                      <w:b/>
                                      <w:bCs/>
                                    </w:rPr>
                                    <w:t>2001.4</w:t>
                                  </w:r>
                                </w:p>
                              </w:tc>
                              <w:tc>
                                <w:tcPr>
                                  <w:tcW w:w="1189" w:type="dxa"/>
                                  <w:tcBorders>
                                    <w:top w:val="dashed" w:sz="6" w:space="0" w:color="auto"/>
                                    <w:start w:val="dashed" w:sz="6" w:space="0" w:color="auto"/>
                                    <w:bottom w:val="dashed" w:sz="6" w:space="0" w:color="auto"/>
                                    <w:end w:val="dashed" w:sz="6" w:space="0" w:color="auto"/>
                                  </w:tcBorders>
                                </w:tcPr>
                                <w:p>
                                  <w:pPr>
                                    <w:pStyle w:val="Normal"/>
                                    <w:widowControl/>
                                    <w:jc w:val="center"/>
                                    <w:rPr>
                                      <w:b/>
                                      <w:bCs/>
                                    </w:rPr>
                                  </w:pPr>
                                  <w:r>
                                    <w:rPr>
                                      <w:b/>
                                      <w:bCs/>
                                    </w:rPr>
                                    <w:t>2001(ytd)*</w:t>
                                  </w:r>
                                </w:p>
                              </w:tc>
                            </w:tr>
                            <w:tr>
                              <w:trPr/>
                              <w:tc>
                                <w:tcPr>
                                  <w:tcW w:w="1818" w:type="dxa"/>
                                  <w:tcBorders>
                                    <w:top w:val="dashed" w:sz="6" w:space="0" w:color="auto"/>
                                    <w:start w:val="dashed" w:sz="6" w:space="0" w:color="auto"/>
                                    <w:bottom w:val="dashed" w:sz="6" w:space="0" w:color="auto"/>
                                    <w:end w:val="dashed" w:sz="6" w:space="0" w:color="auto"/>
                                  </w:tcBorders>
                                </w:tcPr>
                                <w:p>
                                  <w:pPr>
                                    <w:pStyle w:val="Normal"/>
                                    <w:widowControl/>
                                    <w:rPr>
                                      <w:b/>
                                      <w:bCs/>
                                    </w:rPr>
                                  </w:pPr>
                                  <w:r>
                                    <w:rPr>
                                      <w:b/>
                                      <w:bCs/>
                                    </w:rPr>
                                    <w:t>S&amp;P 500</w:t>
                                  </w:r>
                                </w:p>
                              </w:tc>
                              <w:tc>
                                <w:tcPr>
                                  <w:tcW w:w="913" w:type="dxa"/>
                                  <w:tcBorders>
                                    <w:top w:val="dashed" w:sz="6" w:space="0" w:color="auto"/>
                                    <w:start w:val="dashed" w:sz="6" w:space="0" w:color="auto"/>
                                    <w:bottom w:val="dashed" w:sz="6" w:space="0" w:color="auto"/>
                                    <w:end w:val="dashed" w:sz="6" w:space="0" w:color="auto"/>
                                  </w:tcBorders>
                                </w:tcPr>
                                <w:p>
                                  <w:pPr>
                                    <w:pStyle w:val="Normal"/>
                                    <w:widowControl/>
                                    <w:tabs>
                                      <w:tab w:val="clear" w:pos="720"/>
                                      <w:tab w:val="decimal" w:pos="317" w:leader="none"/>
                                    </w:tabs>
                                    <w:rPr/>
                                  </w:pPr>
                                  <w:r>
                                    <w:rPr/>
                                    <w:t>-10.46%</w:t>
                                  </w:r>
                                </w:p>
                              </w:tc>
                              <w:tc>
                                <w:tcPr>
                                  <w:tcW w:w="1022" w:type="dxa"/>
                                  <w:tcBorders>
                                    <w:top w:val="dashed" w:sz="6" w:space="0" w:color="auto"/>
                                    <w:start w:val="dashed" w:sz="6" w:space="0" w:color="auto"/>
                                    <w:bottom w:val="dashed" w:sz="6" w:space="0" w:color="auto"/>
                                    <w:end w:val="dashed" w:sz="6" w:space="0" w:color="auto"/>
                                  </w:tcBorders>
                                </w:tcPr>
                                <w:p>
                                  <w:pPr>
                                    <w:pStyle w:val="Normal"/>
                                    <w:widowControl/>
                                    <w:tabs>
                                      <w:tab w:val="clear" w:pos="720"/>
                                      <w:tab w:val="decimal" w:pos="342" w:leader="none"/>
                                    </w:tabs>
                                    <w:rPr/>
                                  </w:pPr>
                                  <w:r>
                                    <w:rPr/>
                                    <w:t>5.60%</w:t>
                                  </w:r>
                                </w:p>
                              </w:tc>
                              <w:tc>
                                <w:tcPr>
                                  <w:tcW w:w="1022" w:type="dxa"/>
                                  <w:tcBorders>
                                    <w:top w:val="dashed" w:sz="6" w:space="0" w:color="auto"/>
                                    <w:start w:val="dashed" w:sz="6" w:space="0" w:color="auto"/>
                                    <w:bottom w:val="dashed" w:sz="6" w:space="0" w:color="auto"/>
                                    <w:end w:val="dashed" w:sz="6" w:space="0" w:color="auto"/>
                                  </w:tcBorders>
                                </w:tcPr>
                                <w:p>
                                  <w:pPr>
                                    <w:pStyle w:val="Normal"/>
                                    <w:widowControl/>
                                    <w:tabs>
                                      <w:tab w:val="clear" w:pos="720"/>
                                      <w:tab w:val="decimal" w:pos="252" w:leader="none"/>
                                    </w:tabs>
                                    <w:rPr/>
                                  </w:pPr>
                                  <w:r>
                                    <w:rPr/>
                                    <w:t>-17.01%</w:t>
                                  </w:r>
                                </w:p>
                              </w:tc>
                              <w:tc>
                                <w:tcPr>
                                  <w:tcW w:w="1189" w:type="dxa"/>
                                  <w:tcBorders>
                                    <w:top w:val="dashed" w:sz="6" w:space="0" w:color="auto"/>
                                    <w:start w:val="dashed" w:sz="6" w:space="0" w:color="auto"/>
                                    <w:bottom w:val="dashed" w:sz="6" w:space="0" w:color="auto"/>
                                    <w:end w:val="dashed" w:sz="6" w:space="0" w:color="auto"/>
                                  </w:tcBorders>
                                </w:tcPr>
                                <w:p>
                                  <w:pPr>
                                    <w:pStyle w:val="Normal"/>
                                    <w:widowControl/>
                                    <w:tabs>
                                      <w:tab w:val="clear" w:pos="720"/>
                                      <w:tab w:val="decimal" w:pos="324" w:leader="none"/>
                                    </w:tabs>
                                    <w:rPr/>
                                  </w:pPr>
                                  <w:r>
                                    <w:rPr/>
                                    <w:t>10.42%</w:t>
                                  </w:r>
                                </w:p>
                              </w:tc>
                              <w:tc>
                                <w:tcPr>
                                  <w:tcW w:w="1189" w:type="dxa"/>
                                  <w:tcBorders>
                                    <w:top w:val="dashed" w:sz="6" w:space="0" w:color="auto"/>
                                    <w:start w:val="dashed" w:sz="6" w:space="0" w:color="auto"/>
                                    <w:bottom w:val="dashed" w:sz="6" w:space="0" w:color="auto"/>
                                    <w:end w:val="dashed" w:sz="6" w:space="0" w:color="auto"/>
                                  </w:tcBorders>
                                </w:tcPr>
                                <w:p>
                                  <w:pPr>
                                    <w:pStyle w:val="Normal"/>
                                    <w:widowControl/>
                                    <w:tabs>
                                      <w:tab w:val="clear" w:pos="720"/>
                                      <w:tab w:val="decimal" w:pos="324" w:leader="none"/>
                                    </w:tabs>
                                    <w:rPr/>
                                  </w:pPr>
                                  <w:r>
                                    <w:rPr/>
                                    <w:t>-12.95%</w:t>
                                  </w:r>
                                </w:p>
                              </w:tc>
                            </w:tr>
                            <w:tr>
                              <w:trPr/>
                              <w:tc>
                                <w:tcPr>
                                  <w:tcW w:w="1818" w:type="dxa"/>
                                  <w:tcBorders>
                                    <w:top w:val="dashed" w:sz="6" w:space="0" w:color="auto"/>
                                    <w:start w:val="dashed" w:sz="6" w:space="0" w:color="auto"/>
                                    <w:bottom w:val="dashed" w:sz="6" w:space="0" w:color="auto"/>
                                    <w:end w:val="dashed" w:sz="6" w:space="0" w:color="auto"/>
                                  </w:tcBorders>
                                </w:tcPr>
                                <w:p>
                                  <w:pPr>
                                    <w:pStyle w:val="Normal"/>
                                    <w:widowControl/>
                                    <w:rPr>
                                      <w:b/>
                                      <w:bCs/>
                                    </w:rPr>
                                  </w:pPr>
                                  <w:r>
                                    <w:rPr>
                                      <w:b/>
                                      <w:bCs/>
                                    </w:rPr>
                                    <w:t>LJE Performance</w:t>
                                  </w:r>
                                </w:p>
                              </w:tc>
                              <w:tc>
                                <w:tcPr>
                                  <w:tcW w:w="913" w:type="dxa"/>
                                  <w:tcBorders>
                                    <w:top w:val="dashed" w:sz="6" w:space="0" w:color="auto"/>
                                    <w:start w:val="dashed" w:sz="6" w:space="0" w:color="auto"/>
                                    <w:bottom w:val="dashed" w:sz="6" w:space="0" w:color="auto"/>
                                    <w:end w:val="dashed" w:sz="6" w:space="0" w:color="auto"/>
                                  </w:tcBorders>
                                </w:tcPr>
                                <w:p>
                                  <w:pPr>
                                    <w:pStyle w:val="Normal"/>
                                    <w:widowControl/>
                                    <w:tabs>
                                      <w:tab w:val="clear" w:pos="720"/>
                                      <w:tab w:val="decimal" w:pos="317" w:leader="none"/>
                                    </w:tabs>
                                    <w:rPr/>
                                  </w:pPr>
                                  <w:r>
                                    <w:rPr/>
                                    <w:t>-9.52</w:t>
                                  </w:r>
                                </w:p>
                              </w:tc>
                              <w:tc>
                                <w:tcPr>
                                  <w:tcW w:w="1022" w:type="dxa"/>
                                  <w:tcBorders>
                                    <w:top w:val="dashed" w:sz="6" w:space="0" w:color="auto"/>
                                    <w:start w:val="dashed" w:sz="6" w:space="0" w:color="auto"/>
                                    <w:bottom w:val="dashed" w:sz="6" w:space="0" w:color="auto"/>
                                    <w:end w:val="dashed" w:sz="6" w:space="0" w:color="auto"/>
                                  </w:tcBorders>
                                </w:tcPr>
                                <w:p>
                                  <w:pPr>
                                    <w:pStyle w:val="Normal"/>
                                    <w:widowControl/>
                                    <w:tabs>
                                      <w:tab w:val="clear" w:pos="720"/>
                                      <w:tab w:val="decimal" w:pos="342" w:leader="none"/>
                                    </w:tabs>
                                    <w:rPr/>
                                  </w:pPr>
                                  <w:r>
                                    <w:rPr/>
                                    <w:t>7.77</w:t>
                                  </w:r>
                                </w:p>
                              </w:tc>
                              <w:tc>
                                <w:tcPr>
                                  <w:tcW w:w="1022" w:type="dxa"/>
                                  <w:tcBorders>
                                    <w:top w:val="dashed" w:sz="6" w:space="0" w:color="auto"/>
                                    <w:start w:val="dashed" w:sz="6" w:space="0" w:color="auto"/>
                                    <w:bottom w:val="dashed" w:sz="6" w:space="0" w:color="auto"/>
                                    <w:end w:val="dashed" w:sz="6" w:space="0" w:color="auto"/>
                                  </w:tcBorders>
                                </w:tcPr>
                                <w:p>
                                  <w:pPr>
                                    <w:pStyle w:val="Normal"/>
                                    <w:widowControl/>
                                    <w:tabs>
                                      <w:tab w:val="clear" w:pos="720"/>
                                      <w:tab w:val="decimal" w:pos="252" w:leader="none"/>
                                    </w:tabs>
                                    <w:rPr/>
                                  </w:pPr>
                                  <w:r>
                                    <w:rPr/>
                                    <w:t>-6.35</w:t>
                                  </w:r>
                                </w:p>
                              </w:tc>
                              <w:tc>
                                <w:tcPr>
                                  <w:tcW w:w="1189" w:type="dxa"/>
                                  <w:tcBorders>
                                    <w:top w:val="dashed" w:sz="6" w:space="0" w:color="auto"/>
                                    <w:start w:val="dashed" w:sz="6" w:space="0" w:color="auto"/>
                                    <w:bottom w:val="dashed" w:sz="6" w:space="0" w:color="auto"/>
                                    <w:end w:val="dashed" w:sz="6" w:space="0" w:color="auto"/>
                                  </w:tcBorders>
                                </w:tcPr>
                                <w:p>
                                  <w:pPr>
                                    <w:pStyle w:val="Normal"/>
                                    <w:widowControl/>
                                    <w:tabs>
                                      <w:tab w:val="clear" w:pos="720"/>
                                      <w:tab w:val="decimal" w:pos="324" w:leader="none"/>
                                    </w:tabs>
                                    <w:rPr/>
                                  </w:pPr>
                                  <w:r>
                                    <w:rPr/>
                                    <w:t>12.78</w:t>
                                  </w:r>
                                </w:p>
                              </w:tc>
                              <w:tc>
                                <w:tcPr>
                                  <w:tcW w:w="1189" w:type="dxa"/>
                                  <w:tcBorders>
                                    <w:top w:val="dashed" w:sz="6" w:space="0" w:color="auto"/>
                                    <w:start w:val="dashed" w:sz="6" w:space="0" w:color="auto"/>
                                    <w:bottom w:val="dashed" w:sz="6" w:space="0" w:color="auto"/>
                                    <w:end w:val="dashed" w:sz="6" w:space="0" w:color="auto"/>
                                  </w:tcBorders>
                                </w:tcPr>
                                <w:p>
                                  <w:pPr>
                                    <w:pStyle w:val="Normal"/>
                                    <w:widowControl/>
                                    <w:tabs>
                                      <w:tab w:val="clear" w:pos="720"/>
                                      <w:tab w:val="decimal" w:pos="324" w:leader="none"/>
                                    </w:tabs>
                                    <w:rPr/>
                                  </w:pPr>
                                  <w:r>
                                    <w:rPr/>
                                    <w:t>1.12</w:t>
                                  </w:r>
                                </w:p>
                              </w:tc>
                            </w:tr>
                          </w:tbl>
                          <w:p>
                            <w:pPr>
                              <w:pStyle w:val="Normal"/>
                              <w:widowControl/>
                              <w:jc w:val="end"/>
                              <w:rPr/>
                            </w:pPr>
                            <w:r>
                              <w:rPr/>
                            </w:r>
                          </w:p>
                          <w:p>
                            <w:pPr>
                              <w:pStyle w:val="Normal"/>
                              <w:widowControl/>
                              <w:jc w:val="end"/>
                              <w:rPr/>
                            </w:pPr>
                            <w:r>
                              <w:rPr/>
                              <w:t>*as of  Dec 26, 2001</w:t>
                            </w:r>
                          </w:p>
                        </w:txbxContent>
                      </wps:txbx>
                      <wps:bodyPr anchor="t" lIns="0" tIns="0" rIns="0" bIns="0">
                        <a:noAutofit/>
                      </wps:bodyPr>
                    </wps:wsp>
                  </a:graphicData>
                </a:graphic>
              </wp:anchor>
            </w:drawing>
          </mc:Choice>
          <mc:Fallback>
            <w:pict>
              <v:rect fillcolor="#FFFFFF" style="position:absolute;rotation:-0;width:401.9pt;height:96.6pt;mso-wrap-distance-left:9pt;mso-wrap-distance-right:9pt;mso-wrap-distance-top:0pt;mso-wrap-distance-bottom:0pt;margin-top:70.85pt;mso-position-vertical-relative:text;margin-left:127.1pt;mso-position-horizontal-relative:page">
                <v:fill opacity="0f"/>
                <v:textbox inset="0in,0in,0in,0in">
                  <w:txbxContent>
                    <w:p>
                      <w:pPr>
                        <w:pStyle w:val="Caption"/>
                        <w:widowControl/>
                        <w:rPr>
                          <w:b w:val="false"/>
                          <w:bCs w:val="false"/>
                          <w:sz w:val="20"/>
                          <w:szCs w:val="20"/>
                        </w:rPr>
                      </w:pPr>
                      <w:r>
                        <w:rPr>
                          <w:b w:val="false"/>
                          <w:bCs w:val="false"/>
                          <w:sz w:val="20"/>
                          <w:szCs w:val="20"/>
                        </w:rPr>
                        <w:t>Table 1</w:t>
                      </w:r>
                    </w:p>
                    <w:p>
                      <w:pPr>
                        <w:pStyle w:val="Caption"/>
                        <w:widowControl/>
                        <w:rPr/>
                      </w:pPr>
                      <w:r>
                        <w:rPr/>
                        <w:t>Performance of the S&amp;P 500 and LJE Industry Selector</w:t>
                      </w:r>
                    </w:p>
                    <w:p>
                      <w:pPr>
                        <w:pStyle w:val="Normal"/>
                        <w:widowControl/>
                        <w:jc w:val="center"/>
                        <w:rPr>
                          <w:b/>
                          <w:bCs/>
                        </w:rPr>
                      </w:pPr>
                      <w:r>
                        <w:rPr>
                          <w:b/>
                          <w:bCs/>
                        </w:rPr>
                      </w:r>
                    </w:p>
                    <w:tbl>
                      <w:tblPr>
                        <w:tblW w:w="7153" w:type="dxa"/>
                        <w:jc w:val="start"/>
                        <w:tblInd w:w="108" w:type="dxa"/>
                        <w:tblLayout w:type="fixed"/>
                        <w:tblCellMar>
                          <w:top w:w="0" w:type="dxa"/>
                          <w:start w:w="108" w:type="dxa"/>
                          <w:bottom w:w="0" w:type="dxa"/>
                          <w:end w:w="108" w:type="dxa"/>
                        </w:tblCellMar>
                      </w:tblPr>
                      <w:tblGrid>
                        <w:gridCol w:w="1818"/>
                        <w:gridCol w:w="913"/>
                        <w:gridCol w:w="1022"/>
                        <w:gridCol w:w="1022"/>
                        <w:gridCol w:w="1189"/>
                        <w:gridCol w:w="1189"/>
                      </w:tblGrid>
                      <w:tr>
                        <w:trPr/>
                        <w:tc>
                          <w:tcPr>
                            <w:tcW w:w="1818" w:type="dxa"/>
                            <w:tcBorders>
                              <w:top w:val="dashed" w:sz="6" w:space="0" w:color="auto"/>
                              <w:start w:val="dashed" w:sz="6" w:space="0" w:color="auto"/>
                              <w:bottom w:val="dashed" w:sz="6" w:space="0" w:color="auto"/>
                              <w:end w:val="dashed" w:sz="6" w:space="0" w:color="auto"/>
                            </w:tcBorders>
                          </w:tcPr>
                          <w:p>
                            <w:pPr>
                              <w:pStyle w:val="Normal"/>
                              <w:widowControl/>
                              <w:snapToGrid w:val="false"/>
                              <w:rPr>
                                <w:b/>
                                <w:bCs/>
                              </w:rPr>
                            </w:pPr>
                            <w:r>
                              <w:rPr>
                                <w:b/>
                                <w:bCs/>
                              </w:rPr>
                            </w:r>
                          </w:p>
                        </w:tc>
                        <w:tc>
                          <w:tcPr>
                            <w:tcW w:w="913" w:type="dxa"/>
                            <w:tcBorders>
                              <w:top w:val="dashed" w:sz="6" w:space="0" w:color="auto"/>
                              <w:start w:val="dashed" w:sz="6" w:space="0" w:color="auto"/>
                              <w:bottom w:val="dashed" w:sz="6" w:space="0" w:color="auto"/>
                              <w:end w:val="dashed" w:sz="6" w:space="0" w:color="auto"/>
                            </w:tcBorders>
                          </w:tcPr>
                          <w:p>
                            <w:pPr>
                              <w:pStyle w:val="Normal"/>
                              <w:widowControl/>
                              <w:jc w:val="center"/>
                              <w:rPr>
                                <w:b/>
                                <w:bCs/>
                              </w:rPr>
                            </w:pPr>
                            <w:r>
                              <w:rPr>
                                <w:b/>
                                <w:bCs/>
                              </w:rPr>
                              <w:t>2001.1</w:t>
                            </w:r>
                          </w:p>
                        </w:tc>
                        <w:tc>
                          <w:tcPr>
                            <w:tcW w:w="1022" w:type="dxa"/>
                            <w:tcBorders>
                              <w:top w:val="dashed" w:sz="6" w:space="0" w:color="auto"/>
                              <w:start w:val="dashed" w:sz="6" w:space="0" w:color="auto"/>
                              <w:bottom w:val="dashed" w:sz="6" w:space="0" w:color="auto"/>
                              <w:end w:val="dashed" w:sz="6" w:space="0" w:color="auto"/>
                            </w:tcBorders>
                          </w:tcPr>
                          <w:p>
                            <w:pPr>
                              <w:pStyle w:val="Normal"/>
                              <w:widowControl/>
                              <w:jc w:val="center"/>
                              <w:rPr>
                                <w:b/>
                                <w:bCs/>
                              </w:rPr>
                            </w:pPr>
                            <w:r>
                              <w:rPr>
                                <w:b/>
                                <w:bCs/>
                              </w:rPr>
                              <w:t>2001.2</w:t>
                            </w:r>
                          </w:p>
                        </w:tc>
                        <w:tc>
                          <w:tcPr>
                            <w:tcW w:w="1022" w:type="dxa"/>
                            <w:tcBorders>
                              <w:top w:val="dashed" w:sz="6" w:space="0" w:color="auto"/>
                              <w:start w:val="dashed" w:sz="6" w:space="0" w:color="auto"/>
                              <w:bottom w:val="dashed" w:sz="6" w:space="0" w:color="auto"/>
                              <w:end w:val="dashed" w:sz="6" w:space="0" w:color="auto"/>
                            </w:tcBorders>
                          </w:tcPr>
                          <w:p>
                            <w:pPr>
                              <w:pStyle w:val="Normal"/>
                              <w:widowControl/>
                              <w:jc w:val="center"/>
                              <w:rPr>
                                <w:b/>
                                <w:bCs/>
                              </w:rPr>
                            </w:pPr>
                            <w:r>
                              <w:rPr>
                                <w:b/>
                                <w:bCs/>
                              </w:rPr>
                              <w:t>2001.3</w:t>
                            </w:r>
                          </w:p>
                        </w:tc>
                        <w:tc>
                          <w:tcPr>
                            <w:tcW w:w="1189" w:type="dxa"/>
                            <w:tcBorders>
                              <w:top w:val="dashed" w:sz="6" w:space="0" w:color="auto"/>
                              <w:start w:val="dashed" w:sz="6" w:space="0" w:color="auto"/>
                              <w:bottom w:val="dashed" w:sz="6" w:space="0" w:color="auto"/>
                              <w:end w:val="dashed" w:sz="6" w:space="0" w:color="auto"/>
                            </w:tcBorders>
                          </w:tcPr>
                          <w:p>
                            <w:pPr>
                              <w:pStyle w:val="Normal"/>
                              <w:widowControl/>
                              <w:jc w:val="center"/>
                              <w:rPr>
                                <w:b/>
                                <w:bCs/>
                              </w:rPr>
                            </w:pPr>
                            <w:r>
                              <w:rPr>
                                <w:b/>
                                <w:bCs/>
                              </w:rPr>
                              <w:t>2001.4</w:t>
                            </w:r>
                          </w:p>
                        </w:tc>
                        <w:tc>
                          <w:tcPr>
                            <w:tcW w:w="1189" w:type="dxa"/>
                            <w:tcBorders>
                              <w:top w:val="dashed" w:sz="6" w:space="0" w:color="auto"/>
                              <w:start w:val="dashed" w:sz="6" w:space="0" w:color="auto"/>
                              <w:bottom w:val="dashed" w:sz="6" w:space="0" w:color="auto"/>
                              <w:end w:val="dashed" w:sz="6" w:space="0" w:color="auto"/>
                            </w:tcBorders>
                          </w:tcPr>
                          <w:p>
                            <w:pPr>
                              <w:pStyle w:val="Normal"/>
                              <w:widowControl/>
                              <w:jc w:val="center"/>
                              <w:rPr>
                                <w:b/>
                                <w:bCs/>
                              </w:rPr>
                            </w:pPr>
                            <w:r>
                              <w:rPr>
                                <w:b/>
                                <w:bCs/>
                              </w:rPr>
                              <w:t>2001(ytd)*</w:t>
                            </w:r>
                          </w:p>
                        </w:tc>
                      </w:tr>
                      <w:tr>
                        <w:trPr/>
                        <w:tc>
                          <w:tcPr>
                            <w:tcW w:w="1818" w:type="dxa"/>
                            <w:tcBorders>
                              <w:top w:val="dashed" w:sz="6" w:space="0" w:color="auto"/>
                              <w:start w:val="dashed" w:sz="6" w:space="0" w:color="auto"/>
                              <w:bottom w:val="dashed" w:sz="6" w:space="0" w:color="auto"/>
                              <w:end w:val="dashed" w:sz="6" w:space="0" w:color="auto"/>
                            </w:tcBorders>
                          </w:tcPr>
                          <w:p>
                            <w:pPr>
                              <w:pStyle w:val="Normal"/>
                              <w:widowControl/>
                              <w:rPr>
                                <w:b/>
                                <w:bCs/>
                              </w:rPr>
                            </w:pPr>
                            <w:r>
                              <w:rPr>
                                <w:b/>
                                <w:bCs/>
                              </w:rPr>
                              <w:t>S&amp;P 500</w:t>
                            </w:r>
                          </w:p>
                        </w:tc>
                        <w:tc>
                          <w:tcPr>
                            <w:tcW w:w="913" w:type="dxa"/>
                            <w:tcBorders>
                              <w:top w:val="dashed" w:sz="6" w:space="0" w:color="auto"/>
                              <w:start w:val="dashed" w:sz="6" w:space="0" w:color="auto"/>
                              <w:bottom w:val="dashed" w:sz="6" w:space="0" w:color="auto"/>
                              <w:end w:val="dashed" w:sz="6" w:space="0" w:color="auto"/>
                            </w:tcBorders>
                          </w:tcPr>
                          <w:p>
                            <w:pPr>
                              <w:pStyle w:val="Normal"/>
                              <w:widowControl/>
                              <w:tabs>
                                <w:tab w:val="clear" w:pos="720"/>
                                <w:tab w:val="decimal" w:pos="317" w:leader="none"/>
                              </w:tabs>
                              <w:rPr/>
                            </w:pPr>
                            <w:r>
                              <w:rPr/>
                              <w:t>-10.46%</w:t>
                            </w:r>
                          </w:p>
                        </w:tc>
                        <w:tc>
                          <w:tcPr>
                            <w:tcW w:w="1022" w:type="dxa"/>
                            <w:tcBorders>
                              <w:top w:val="dashed" w:sz="6" w:space="0" w:color="auto"/>
                              <w:start w:val="dashed" w:sz="6" w:space="0" w:color="auto"/>
                              <w:bottom w:val="dashed" w:sz="6" w:space="0" w:color="auto"/>
                              <w:end w:val="dashed" w:sz="6" w:space="0" w:color="auto"/>
                            </w:tcBorders>
                          </w:tcPr>
                          <w:p>
                            <w:pPr>
                              <w:pStyle w:val="Normal"/>
                              <w:widowControl/>
                              <w:tabs>
                                <w:tab w:val="clear" w:pos="720"/>
                                <w:tab w:val="decimal" w:pos="342" w:leader="none"/>
                              </w:tabs>
                              <w:rPr/>
                            </w:pPr>
                            <w:r>
                              <w:rPr/>
                              <w:t>5.60%</w:t>
                            </w:r>
                          </w:p>
                        </w:tc>
                        <w:tc>
                          <w:tcPr>
                            <w:tcW w:w="1022" w:type="dxa"/>
                            <w:tcBorders>
                              <w:top w:val="dashed" w:sz="6" w:space="0" w:color="auto"/>
                              <w:start w:val="dashed" w:sz="6" w:space="0" w:color="auto"/>
                              <w:bottom w:val="dashed" w:sz="6" w:space="0" w:color="auto"/>
                              <w:end w:val="dashed" w:sz="6" w:space="0" w:color="auto"/>
                            </w:tcBorders>
                          </w:tcPr>
                          <w:p>
                            <w:pPr>
                              <w:pStyle w:val="Normal"/>
                              <w:widowControl/>
                              <w:tabs>
                                <w:tab w:val="clear" w:pos="720"/>
                                <w:tab w:val="decimal" w:pos="252" w:leader="none"/>
                              </w:tabs>
                              <w:rPr/>
                            </w:pPr>
                            <w:r>
                              <w:rPr/>
                              <w:t>-17.01%</w:t>
                            </w:r>
                          </w:p>
                        </w:tc>
                        <w:tc>
                          <w:tcPr>
                            <w:tcW w:w="1189" w:type="dxa"/>
                            <w:tcBorders>
                              <w:top w:val="dashed" w:sz="6" w:space="0" w:color="auto"/>
                              <w:start w:val="dashed" w:sz="6" w:space="0" w:color="auto"/>
                              <w:bottom w:val="dashed" w:sz="6" w:space="0" w:color="auto"/>
                              <w:end w:val="dashed" w:sz="6" w:space="0" w:color="auto"/>
                            </w:tcBorders>
                          </w:tcPr>
                          <w:p>
                            <w:pPr>
                              <w:pStyle w:val="Normal"/>
                              <w:widowControl/>
                              <w:tabs>
                                <w:tab w:val="clear" w:pos="720"/>
                                <w:tab w:val="decimal" w:pos="324" w:leader="none"/>
                              </w:tabs>
                              <w:rPr/>
                            </w:pPr>
                            <w:r>
                              <w:rPr/>
                              <w:t>10.42%</w:t>
                            </w:r>
                          </w:p>
                        </w:tc>
                        <w:tc>
                          <w:tcPr>
                            <w:tcW w:w="1189" w:type="dxa"/>
                            <w:tcBorders>
                              <w:top w:val="dashed" w:sz="6" w:space="0" w:color="auto"/>
                              <w:start w:val="dashed" w:sz="6" w:space="0" w:color="auto"/>
                              <w:bottom w:val="dashed" w:sz="6" w:space="0" w:color="auto"/>
                              <w:end w:val="dashed" w:sz="6" w:space="0" w:color="auto"/>
                            </w:tcBorders>
                          </w:tcPr>
                          <w:p>
                            <w:pPr>
                              <w:pStyle w:val="Normal"/>
                              <w:widowControl/>
                              <w:tabs>
                                <w:tab w:val="clear" w:pos="720"/>
                                <w:tab w:val="decimal" w:pos="324" w:leader="none"/>
                              </w:tabs>
                              <w:rPr/>
                            </w:pPr>
                            <w:r>
                              <w:rPr/>
                              <w:t>-12.95%</w:t>
                            </w:r>
                          </w:p>
                        </w:tc>
                      </w:tr>
                      <w:tr>
                        <w:trPr/>
                        <w:tc>
                          <w:tcPr>
                            <w:tcW w:w="1818" w:type="dxa"/>
                            <w:tcBorders>
                              <w:top w:val="dashed" w:sz="6" w:space="0" w:color="auto"/>
                              <w:start w:val="dashed" w:sz="6" w:space="0" w:color="auto"/>
                              <w:bottom w:val="dashed" w:sz="6" w:space="0" w:color="auto"/>
                              <w:end w:val="dashed" w:sz="6" w:space="0" w:color="auto"/>
                            </w:tcBorders>
                          </w:tcPr>
                          <w:p>
                            <w:pPr>
                              <w:pStyle w:val="Normal"/>
                              <w:widowControl/>
                              <w:rPr>
                                <w:b/>
                                <w:bCs/>
                              </w:rPr>
                            </w:pPr>
                            <w:r>
                              <w:rPr>
                                <w:b/>
                                <w:bCs/>
                              </w:rPr>
                              <w:t>LJE Performance</w:t>
                            </w:r>
                          </w:p>
                        </w:tc>
                        <w:tc>
                          <w:tcPr>
                            <w:tcW w:w="913" w:type="dxa"/>
                            <w:tcBorders>
                              <w:top w:val="dashed" w:sz="6" w:space="0" w:color="auto"/>
                              <w:start w:val="dashed" w:sz="6" w:space="0" w:color="auto"/>
                              <w:bottom w:val="dashed" w:sz="6" w:space="0" w:color="auto"/>
                              <w:end w:val="dashed" w:sz="6" w:space="0" w:color="auto"/>
                            </w:tcBorders>
                          </w:tcPr>
                          <w:p>
                            <w:pPr>
                              <w:pStyle w:val="Normal"/>
                              <w:widowControl/>
                              <w:tabs>
                                <w:tab w:val="clear" w:pos="720"/>
                                <w:tab w:val="decimal" w:pos="317" w:leader="none"/>
                              </w:tabs>
                              <w:rPr/>
                            </w:pPr>
                            <w:r>
                              <w:rPr/>
                              <w:t>-9.52</w:t>
                            </w:r>
                          </w:p>
                        </w:tc>
                        <w:tc>
                          <w:tcPr>
                            <w:tcW w:w="1022" w:type="dxa"/>
                            <w:tcBorders>
                              <w:top w:val="dashed" w:sz="6" w:space="0" w:color="auto"/>
                              <w:start w:val="dashed" w:sz="6" w:space="0" w:color="auto"/>
                              <w:bottom w:val="dashed" w:sz="6" w:space="0" w:color="auto"/>
                              <w:end w:val="dashed" w:sz="6" w:space="0" w:color="auto"/>
                            </w:tcBorders>
                          </w:tcPr>
                          <w:p>
                            <w:pPr>
                              <w:pStyle w:val="Normal"/>
                              <w:widowControl/>
                              <w:tabs>
                                <w:tab w:val="clear" w:pos="720"/>
                                <w:tab w:val="decimal" w:pos="342" w:leader="none"/>
                              </w:tabs>
                              <w:rPr/>
                            </w:pPr>
                            <w:r>
                              <w:rPr/>
                              <w:t>7.77</w:t>
                            </w:r>
                          </w:p>
                        </w:tc>
                        <w:tc>
                          <w:tcPr>
                            <w:tcW w:w="1022" w:type="dxa"/>
                            <w:tcBorders>
                              <w:top w:val="dashed" w:sz="6" w:space="0" w:color="auto"/>
                              <w:start w:val="dashed" w:sz="6" w:space="0" w:color="auto"/>
                              <w:bottom w:val="dashed" w:sz="6" w:space="0" w:color="auto"/>
                              <w:end w:val="dashed" w:sz="6" w:space="0" w:color="auto"/>
                            </w:tcBorders>
                          </w:tcPr>
                          <w:p>
                            <w:pPr>
                              <w:pStyle w:val="Normal"/>
                              <w:widowControl/>
                              <w:tabs>
                                <w:tab w:val="clear" w:pos="720"/>
                                <w:tab w:val="decimal" w:pos="252" w:leader="none"/>
                              </w:tabs>
                              <w:rPr/>
                            </w:pPr>
                            <w:r>
                              <w:rPr/>
                              <w:t>-6.35</w:t>
                            </w:r>
                          </w:p>
                        </w:tc>
                        <w:tc>
                          <w:tcPr>
                            <w:tcW w:w="1189" w:type="dxa"/>
                            <w:tcBorders>
                              <w:top w:val="dashed" w:sz="6" w:space="0" w:color="auto"/>
                              <w:start w:val="dashed" w:sz="6" w:space="0" w:color="auto"/>
                              <w:bottom w:val="dashed" w:sz="6" w:space="0" w:color="auto"/>
                              <w:end w:val="dashed" w:sz="6" w:space="0" w:color="auto"/>
                            </w:tcBorders>
                          </w:tcPr>
                          <w:p>
                            <w:pPr>
                              <w:pStyle w:val="Normal"/>
                              <w:widowControl/>
                              <w:tabs>
                                <w:tab w:val="clear" w:pos="720"/>
                                <w:tab w:val="decimal" w:pos="324" w:leader="none"/>
                              </w:tabs>
                              <w:rPr/>
                            </w:pPr>
                            <w:r>
                              <w:rPr/>
                              <w:t>12.78</w:t>
                            </w:r>
                          </w:p>
                        </w:tc>
                        <w:tc>
                          <w:tcPr>
                            <w:tcW w:w="1189" w:type="dxa"/>
                            <w:tcBorders>
                              <w:top w:val="dashed" w:sz="6" w:space="0" w:color="auto"/>
                              <w:start w:val="dashed" w:sz="6" w:space="0" w:color="auto"/>
                              <w:bottom w:val="dashed" w:sz="6" w:space="0" w:color="auto"/>
                              <w:end w:val="dashed" w:sz="6" w:space="0" w:color="auto"/>
                            </w:tcBorders>
                          </w:tcPr>
                          <w:p>
                            <w:pPr>
                              <w:pStyle w:val="Normal"/>
                              <w:widowControl/>
                              <w:tabs>
                                <w:tab w:val="clear" w:pos="720"/>
                                <w:tab w:val="decimal" w:pos="324" w:leader="none"/>
                              </w:tabs>
                              <w:rPr/>
                            </w:pPr>
                            <w:r>
                              <w:rPr/>
                              <w:t>1.12</w:t>
                            </w:r>
                          </w:p>
                        </w:tc>
                      </w:tr>
                    </w:tbl>
                    <w:p>
                      <w:pPr>
                        <w:pStyle w:val="Normal"/>
                        <w:widowControl/>
                        <w:jc w:val="end"/>
                        <w:rPr/>
                      </w:pPr>
                      <w:r>
                        <w:rPr/>
                      </w:r>
                    </w:p>
                    <w:p>
                      <w:pPr>
                        <w:pStyle w:val="Normal"/>
                        <w:widowControl/>
                        <w:jc w:val="end"/>
                        <w:rPr/>
                      </w:pPr>
                      <w:r>
                        <w:rPr/>
                        <w:t>*as of  Dec 26, 2001</w:t>
                      </w:r>
                    </w:p>
                  </w:txbxContent>
                </v:textbox>
                <w10:wrap type="square"/>
              </v:rect>
            </w:pict>
          </mc:Fallback>
        </mc:AlternateContent>
      </w:r>
    </w:p>
    <w:p>
      <w:pPr>
        <w:pStyle w:val="Normal"/>
        <w:widowControl/>
        <w:ind w:firstLine="720" w:end="0"/>
        <w:jc w:val="both"/>
        <w:rPr/>
      </w:pPr>
      <w:r>
        <w:rPr/>
      </w:r>
    </w:p>
    <w:p>
      <w:pPr>
        <w:pStyle w:val="BodyText"/>
        <w:widowControl/>
        <w:rPr/>
      </w:pPr>
      <w:r>
        <w:rPr/>
      </w:r>
    </w:p>
    <w:p>
      <w:pPr>
        <w:pStyle w:val="BodyText"/>
        <w:widowControl/>
        <w:rPr/>
      </w:pPr>
      <w:r>
        <w:rPr/>
      </w:r>
    </w:p>
    <w:p>
      <w:pPr>
        <w:pStyle w:val="Normal"/>
        <w:rPr/>
      </w:pPr>
      <w:r>
        <w:rPr/>
        <w:t>No portion of this report may be reproduced in any form without prior consent. The information has been compiled from sources we believe to be reliable, but we do not hold ourselves responsible for its correctness. Opinions are presented without guarantee.</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81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ahoma">
    <w:charset w:val="01"/>
    <w:family w:val="swiss"/>
    <w:pitch w:val="variable"/>
  </w:font>
  <w:font w:name="Garamond">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eastAsia="Garamond" w:cs="Garamond" w:ascii="Garamond" w:hAnsi="Garamond"/>
        <w:b/>
        <w:bCs/>
        <w:i/>
        <w:iCs/>
        <w:sz w:val="22"/>
        <w:szCs w:val="22"/>
      </w:rPr>
      <w:t>Visit our web site at:</w:t>
    </w:r>
    <w:r>
      <w:rPr>
        <w:rFonts w:eastAsia="Garamond" w:cs="Garamond" w:ascii="Garamond" w:hAnsi="Garamond"/>
        <w:b/>
        <w:bCs/>
        <w:sz w:val="22"/>
        <w:szCs w:val="22"/>
      </w:rPr>
      <w:t xml:space="preserve">  http://www.lajollaeconomics.com</w:t>
    </w:r>
  </w:p>
  <w:p>
    <w:pPr>
      <w:pStyle w:val="Footer"/>
      <w:widowControl/>
      <w:jc w:val="center"/>
      <w:rPr>
        <w:rFonts w:ascii="Garamond" w:hAnsi="Garamond" w:eastAsia="Garamond" w:cs="Garamond"/>
        <w:sz w:val="18"/>
        <w:szCs w:val="18"/>
      </w:rPr>
    </w:pPr>
    <w:r>
      <w:rPr>
        <w:rFonts w:eastAsia="Garamond" w:cs="Garamond" w:ascii="Garamond" w:hAnsi="Garamond"/>
        <w:sz w:val="18"/>
        <w:szCs w:val="18"/>
      </w:rPr>
      <w:t>Telephone: (858) 456-4567  Facsimile: (858) 456-4524  Electronic Mail: info@lajollaeconomics.com</w:t>
    </w:r>
  </w:p>
  <w:p>
    <w:pPr>
      <w:pStyle w:val="Footer"/>
      <w:widowControl/>
      <w:jc w:val="center"/>
      <w:rPr>
        <w:rFonts w:ascii="Garamond" w:hAnsi="Garamond" w:eastAsia="Garamond" w:cs="Garamond"/>
      </w:rPr>
    </w:pPr>
    <w:r>
      <w:rPr>
        <w:rFonts w:eastAsia="Garamond" w:cs="Garamond" w:ascii="Garamond" w:hAnsi="Garamond"/>
        <w:sz w:val="18"/>
        <w:szCs w:val="18"/>
      </w:rPr>
      <w:t>Rights Reserved, ©2001</w:t>
    </w:r>
  </w:p>
  <w:p>
    <w:pPr>
      <w:pStyle w:val="Footer"/>
      <w:rPr>
        <w:rFonts w:ascii="Garamond" w:hAnsi="Garamond" w:eastAsia="Garamond" w:cs="Garamond"/>
      </w:rPr>
    </w:pPr>
    <w:r>
      <w:rPr>
        <w:rFonts w:eastAsia="Garamond" w:cs="Garamond" w:ascii="Garamond" w:hAnsi="Garamond"/>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mallCaps/>
        <w:sz w:val="32"/>
        <w:szCs w:val="32"/>
      </w:rPr>
      <w:t xml:space="preserve">La Jolla Economics          </w:t>
    </w:r>
    <w:r>
      <w:rPr>
        <w:smallCaps/>
      </w:rPr>
      <w:drawing>
        <wp:inline distT="0" distB="0" distL="0" distR="0">
          <wp:extent cx="1113790" cy="6223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1113790" cy="622300"/>
                  </a:xfrm>
                  <a:prstGeom prst="rect">
                    <a:avLst/>
                  </a:prstGeom>
                  <a:noFill/>
                </pic:spPr>
              </pic:pic>
            </a:graphicData>
          </a:graphic>
        </wp:inline>
      </w:drawing>
    </w:r>
    <w:r>
      <w:rPr>
        <w:smallCaps/>
        <w:sz w:val="32"/>
        <w:szCs w:val="32"/>
      </w:rPr>
      <w:t xml:space="preserve">                   </w:t>
    </w:r>
    <w:r>
      <w:rPr>
        <w:smallCaps/>
        <w:sz w:val="24"/>
        <w:szCs w:val="24"/>
      </w:rPr>
      <w:t xml:space="preserve"> December 27, 2001</w:t>
    </w:r>
    <w:r>
      <w:rPr>
        <w:smallCaps/>
        <w:sz w:val="32"/>
        <w:szCs w:val="32"/>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ind w:firstLine="720" w:start="0" w:end="0"/>
      <w:jc w:val="center"/>
      <w:outlineLvl w:val="1"/>
    </w:pPr>
    <w:rPr>
      <w:b/>
      <w:bCs/>
      <w:sz w:val="22"/>
      <w:szCs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z w:val="16"/>
      <w:szCs w:val="16"/>
    </w:rPr>
  </w:style>
  <w:style w:type="paragraph" w:styleId="List">
    <w:name w:val="List"/>
    <w:basedOn w:val="BodyText"/>
    <w:pPr/>
    <w:rPr>
      <w:rFonts w:cs="NotoSans NF"/>
    </w:rPr>
  </w:style>
  <w:style w:type="paragraph" w:styleId="Caption">
    <w:name w:val="caption"/>
    <w:basedOn w:val="Normal"/>
    <w:next w:val="Normal"/>
    <w:qFormat/>
    <w:pPr>
      <w:jc w:val="center"/>
    </w:pPr>
    <w:rPr>
      <w:b/>
      <w:bCs/>
      <w:sz w:val="22"/>
      <w:szCs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firstLine="720" w:start="0" w:end="0"/>
      <w:jc w:val="both"/>
    </w:pPr>
    <w:rPr/>
  </w:style>
  <w:style w:type="paragraph" w:styleId="DocumentMap">
    <w:name w:val="Document Map"/>
    <w:basedOn w:val="Normal"/>
    <w:qFormat/>
    <w:pPr>
      <w:shd w:fill="000080" w:val="clear"/>
    </w:pPr>
    <w:rPr>
      <w:rFonts w:ascii="Tahoma" w:hAnsi="Tahoma" w:eastAsia="Tahoma" w:cs="Tahom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2001-12-27T21:25:00Z</dcterms:created>
  <dc:creator>Victor  Canto</dc:creator>
  <dc:description/>
  <dc:language>en-CA</dc:language>
  <cp:lastModifiedBy>Peter</cp:lastModifiedBy>
  <cp:lastPrinted>2001-12-27T16:16:00Z</cp:lastPrinted>
  <dcterms:modified xsi:type="dcterms:W3CDTF">2001-12-27T21:53:00Z</dcterms:modified>
  <cp:revision>4</cp:revision>
  <dc:subject/>
  <dc:title>The Industry Selector</dc:title>
</cp:coreProperties>
</file>