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2610"/>
        </w:tabs>
        <w:rPr/>
      </w:pPr>
      <w:r>
        <w:rPr/>
      </w:r>
    </w:p>
    <w:p>
      <w:pPr>
        <w:pStyle w:val="BodyText"/>
        <w:tabs>
          <w:tab w:val="clear" w:pos="2610"/>
        </w:tabs>
        <w:jc w:val="center"/>
        <w:rPr/>
      </w:pPr>
      <w:r>
        <w:rPr/>
        <w:t>Oct 19, 2001</w:t>
      </w:r>
    </w:p>
    <w:p>
      <w:pPr>
        <w:pStyle w:val="BodyText"/>
        <w:tabs>
          <w:tab w:val="clear" w:pos="2610"/>
        </w:tabs>
        <w:rPr/>
      </w:pPr>
      <w:r>
        <w:rPr/>
      </w:r>
    </w:p>
    <w:p>
      <w:pPr>
        <w:pStyle w:val="BodyText"/>
        <w:tabs>
          <w:tab w:val="clear" w:pos="2610"/>
        </w:tabs>
        <w:rPr/>
      </w:pPr>
      <w:r>
        <w:rPr/>
        <w:t xml:space="preserve">Honorable Mark A. Weinberger </w:t>
        <w:br/>
        <w:t xml:space="preserve">Assistant Secretary </w:t>
        <w:br/>
        <w:t xml:space="preserve">(Tax Policy) </w:t>
        <w:br/>
        <w:t xml:space="preserve">Room 1334 MT </w:t>
        <w:br/>
        <w:t xml:space="preserve">Department of the Treasury </w:t>
        <w:br/>
        <w:t xml:space="preserve">1500 Pennsylvania Avenue </w:t>
        <w:br/>
        <w:t xml:space="preserve">Washington, D.C. 20220 </w:t>
        <w:br/>
        <w:t xml:space="preserve">  </w:t>
        <w:br/>
        <w:t xml:space="preserve">Pamela F. Olson, Esq. </w:t>
        <w:br/>
        <w:t xml:space="preserve">Deputy Assistant Secretary </w:t>
        <w:br/>
        <w:t xml:space="preserve">(Tax Policy) </w:t>
        <w:br/>
        <w:t xml:space="preserve">Room 1334, Main Treasury </w:t>
        <w:br/>
        <w:t xml:space="preserve">Department of the Treasury </w:t>
        <w:br/>
        <w:t xml:space="preserve">1500 Pennsylvania Avenue, N.W. </w:t>
        <w:br/>
        <w:t xml:space="preserve">Washington, D.C. 20220 </w:t>
        <w:br/>
        <w:t xml:space="preserve">  </w:t>
        <w:br/>
        <w:t xml:space="preserve">Eric Solomon, Esq. </w:t>
        <w:br/>
        <w:t xml:space="preserve">Senior Advisor </w:t>
        <w:br/>
        <w:t xml:space="preserve">Department of the Treasury </w:t>
        <w:br/>
        <w:t xml:space="preserve">Room 1326 </w:t>
        <w:br/>
        <w:t xml:space="preserve">1500 Pennsylvania Avenue, N.W. </w:t>
        <w:br/>
        <w:t xml:space="preserve">Washington, D.C. 20220 </w:t>
        <w:br/>
        <w:t xml:space="preserve">  </w:t>
        <w:br/>
        <w:t xml:space="preserve">Joseph M. Mikrut, Esq. </w:t>
        <w:br/>
        <w:t xml:space="preserve">Tax Legislative Counsel </w:t>
        <w:br/>
        <w:t xml:space="preserve">Room 1308 MT </w:t>
        <w:br/>
        <w:t xml:space="preserve">Department of the Treasury </w:t>
        <w:br/>
        <w:t xml:space="preserve">1500 Pennsylvania Avenue, N.W. </w:t>
        <w:br/>
        <w:t xml:space="preserve">Washington, D.C. 20220 </w:t>
        <w:br/>
        <w:t xml:space="preserve">  </w:t>
        <w:br/>
        <w:t xml:space="preserve">Robert P. Hanson, Esq. </w:t>
        <w:br/>
        <w:t xml:space="preserve">Deputy Tax Legislative Counsel -- </w:t>
        <w:br/>
        <w:t xml:space="preserve">Regulatory Affairs </w:t>
        <w:br/>
        <w:t xml:space="preserve">Room 1322 MT </w:t>
        <w:br/>
        <w:t xml:space="preserve">Department of the Treasury </w:t>
        <w:br/>
        <w:t xml:space="preserve">1500 Pennsylvania Avenue, N.W. </w:t>
        <w:br/>
        <w:t xml:space="preserve">Washington, D.C. 20220 </w:t>
        <w:br/>
        <w:t xml:space="preserve">  </w:t>
        <w:br/>
        <w:t xml:space="preserve">Richard W. Skillman, Esq. </w:t>
        <w:br/>
        <w:t xml:space="preserve">Acting Chief Counsel </w:t>
        <w:br/>
        <w:t xml:space="preserve">Room 3026 IR </w:t>
        <w:br/>
        <w:t xml:space="preserve">Internal Revenue Service </w:t>
        <w:br/>
        <w:t xml:space="preserve">1111 Constitution Avenue, N.W. </w:t>
        <w:br/>
        <w:t xml:space="preserve">Washington, D.C. 20224 </w:t>
        <w:br/>
        <w:t xml:space="preserve">  </w:t>
        <w:br/>
        <w:t xml:space="preserve">Lon B. Smith, Esq. </w:t>
        <w:br/>
        <w:t xml:space="preserve">Assistant Chief Counsel </w:t>
        <w:br/>
        <w:t xml:space="preserve">CC:DOM:FI&amp;P, Room 4300 TR </w:t>
        <w:br/>
        <w:t xml:space="preserve">Internal Revenue Service </w:t>
        <w:br/>
        <w:t xml:space="preserve">1111 Constitution Avenue, N.W. </w:t>
        <w:br/>
        <w:t xml:space="preserve">Washington, D.C. 20224 </w:t>
      </w:r>
    </w:p>
    <w:p>
      <w:pPr>
        <w:pStyle w:val="Normal"/>
        <w:rPr>
          <w:sz w:val="24"/>
        </w:rPr>
      </w:pPr>
      <w:r>
        <w:rPr>
          <w:sz w:val="24"/>
        </w:rPr>
      </w:r>
    </w:p>
    <w:p>
      <w:pPr>
        <w:pStyle w:val="Normal"/>
        <w:tabs>
          <w:tab w:val="clear" w:pos="720"/>
          <w:tab w:val="left" w:pos="2610" w:leader="none"/>
        </w:tabs>
        <w:spacing w:lineRule="atLeast" w:line="240"/>
        <w:rPr>
          <w:color w:val="000000"/>
          <w:sz w:val="24"/>
        </w:rPr>
      </w:pPr>
      <w:r>
        <w:rPr>
          <w:color w:val="000000"/>
          <w:sz w:val="24"/>
        </w:rPr>
        <w:tab/>
        <w:t>Re: comments on proposed hedging regulations</w:t>
      </w:r>
    </w:p>
    <w:p>
      <w:pPr>
        <w:pStyle w:val="Normal"/>
        <w:rPr>
          <w:sz w:val="24"/>
        </w:rPr>
      </w:pPr>
      <w:r>
        <w:rPr>
          <w:sz w:val="24"/>
        </w:rPr>
        <w:br/>
        <w:t xml:space="preserve">Lady and Gentlemen: </w:t>
        <w:br/>
      </w:r>
    </w:p>
    <w:p>
      <w:pPr>
        <w:pStyle w:val="Normal"/>
        <w:tabs>
          <w:tab w:val="clear" w:pos="720"/>
          <w:tab w:val="left" w:pos="2610" w:leader="none"/>
        </w:tabs>
        <w:spacing w:lineRule="atLeast" w:line="240"/>
        <w:rPr/>
      </w:pPr>
      <w:r>
        <w:rPr>
          <w:color w:val="000000"/>
          <w:sz w:val="24"/>
        </w:rPr>
        <w:t>I am writing in response to the Internal Revenue Service’s (“IRS”) request for comments concerning whether weather based financial derivatives, which hedge against volumetric risk, should be recognized as bona fide hedging transactions for tax purposes.</w:t>
      </w:r>
      <w:r>
        <w:rPr>
          <w:rStyle w:val="FootnoteCharacters"/>
          <w:rStyle w:val="FootnoteReference"/>
          <w:color w:val="000000"/>
          <w:sz w:val="24"/>
        </w:rPr>
        <w:footnoteReference w:id="2"/>
      </w:r>
      <w:r>
        <w:rPr>
          <w:color w:val="000000"/>
          <w:sz w:val="24"/>
        </w:rPr>
        <w:t xml:space="preserve">  </w:t>
      </w:r>
    </w:p>
    <w:p>
      <w:pPr>
        <w:pStyle w:val="Normal"/>
        <w:tabs>
          <w:tab w:val="clear" w:pos="720"/>
          <w:tab w:val="left" w:pos="2610" w:leader="none"/>
        </w:tabs>
        <w:spacing w:lineRule="atLeast" w:line="240"/>
        <w:rPr>
          <w:color w:val="000000"/>
          <w:sz w:val="24"/>
        </w:rPr>
      </w:pPr>
      <w:r>
        <w:rPr>
          <w:color w:val="000000"/>
          <w:sz w:val="24"/>
        </w:rPr>
      </w:r>
    </w:p>
    <w:p>
      <w:pPr>
        <w:pStyle w:val="Normal"/>
        <w:tabs>
          <w:tab w:val="clear" w:pos="720"/>
          <w:tab w:val="left" w:pos="2610" w:leader="none"/>
        </w:tabs>
        <w:spacing w:lineRule="atLeast" w:line="240"/>
        <w:rPr/>
      </w:pPr>
      <w:r>
        <w:rPr>
          <w:sz w:val="24"/>
        </w:rPr>
        <w:t xml:space="preserve">The preamble to the proposed regulations states that weather based financial derivatives hedge volumetric risk and, since volumetric risk is not one of the three types of risk categories specified in the hedging regulations, suggests that such weather derivatives are not properly treated as “hedging transactions” as defined in the proposed regulations.  However, the preamble invites comments on how the IRS might exercise its statutory authorization to expand the term “hedging transaction” beyond the risks currently set forth in Code Sections 1221(b)(2)(A)(i) and (ii).  For the reasons we set forth below, we believe that hedges of weather risk are properly respected as hedges for tax purposes, and thus we urge you to adopt the suggested rule of application encompassing such risk within regulations to section 1221. </w:t>
      </w:r>
    </w:p>
    <w:p>
      <w:pPr>
        <w:pStyle w:val="Normal"/>
        <w:tabs>
          <w:tab w:val="clear" w:pos="720"/>
          <w:tab w:val="left" w:pos="2610" w:leader="none"/>
        </w:tabs>
        <w:spacing w:lineRule="atLeast" w:line="240"/>
        <w:rPr>
          <w:sz w:val="24"/>
        </w:rPr>
      </w:pPr>
      <w:r>
        <w:rPr>
          <w:sz w:val="24"/>
        </w:rPr>
      </w:r>
    </w:p>
    <w:p>
      <w:pPr>
        <w:pStyle w:val="Normal"/>
        <w:tabs>
          <w:tab w:val="clear" w:pos="720"/>
          <w:tab w:val="left" w:pos="2610" w:leader="none"/>
        </w:tabs>
        <w:spacing w:lineRule="atLeast" w:line="240"/>
        <w:rPr>
          <w:sz w:val="24"/>
        </w:rPr>
      </w:pPr>
      <w:r>
        <w:rPr>
          <w:sz w:val="24"/>
        </w:rPr>
        <w:t>In our view, no principled reason exists why the definition of a hedging transaction should depend upon whether the risk being hedged is a matter of price as opposed to volume, provided that the hedging transaction ultimately relates to a business activity that clearly produces ordinary income.   The only apparent difference between weather risk and the specific types of risks that are included within the scope of the current hedging regulations -- price, interest rate and currency risk -- is that risk management techniques for price, interest rate, and currency exposure have been around for many years, while weather risk management tools date back only to 1997.</w:t>
      </w:r>
    </w:p>
    <w:p>
      <w:pPr>
        <w:pStyle w:val="Normal"/>
        <w:tabs>
          <w:tab w:val="clear" w:pos="720"/>
          <w:tab w:val="left" w:pos="2610" w:leader="none"/>
        </w:tabs>
        <w:spacing w:lineRule="atLeast" w:line="240"/>
        <w:rPr>
          <w:sz w:val="24"/>
        </w:rPr>
      </w:pPr>
      <w:r>
        <w:rPr>
          <w:sz w:val="24"/>
        </w:rPr>
      </w:r>
    </w:p>
    <w:p>
      <w:pPr>
        <w:pStyle w:val="BodyText"/>
        <w:spacing w:lineRule="atLeast" w:line="240"/>
        <w:rPr/>
      </w:pPr>
      <w:r>
        <w:rPr/>
        <w:t xml:space="preserve">Most businesses today conduct their hedging activities out of a centralized risk management function that views weather risk and other similar volumetric risk as being part of the larger category of risks that are properly managed in traditional fashion through a centralized hedging program.  Managers of these centralized risk functions do not distinguish between the specific types of risks currently embraced by the hedging regulations and weather and other volumetric risks.  Indeed, weather hedges, which address volumetric risk, are quite similar to price hedges because they have a common impact with price on the bottom line.  As a computational matter, a business’s revenues and its costs are each as much a function of volume sold or purchased as they are of the price received or paid.  Weather patterns can wreak havoc with a business’s volumes, for better or worse, through their impact on supply and demand for a particular product, just as price changes can impact what a company receives for its product, and thus impact a company’s bottom line.  </w:t>
      </w:r>
    </w:p>
    <w:p>
      <w:pPr>
        <w:pStyle w:val="BodyText"/>
        <w:spacing w:lineRule="atLeast" w:line="240"/>
        <w:rPr/>
      </w:pPr>
      <w:r>
        <w:rPr/>
      </w:r>
    </w:p>
    <w:p>
      <w:pPr>
        <w:pStyle w:val="Normal"/>
        <w:tabs>
          <w:tab w:val="clear" w:pos="720"/>
          <w:tab w:val="left" w:pos="2610" w:leader="none"/>
        </w:tabs>
        <w:rPr/>
      </w:pPr>
      <w:r>
        <w:rPr>
          <w:sz w:val="24"/>
        </w:rPr>
        <w:t xml:space="preserve">The tax laws have accommodated bona fide hedging activity since 1936 when the IRS issued General Counsel Memorandum 17322.  Indeed, from this earliest period, the tax laws facilitated hedging (and the efficient placement of risk by taxpayers among market participants) in a manner that ensured that taxpayers were not exposed to tax character whipsaws (that is, having losses treated as capital and gains as ordinary) when engaging in such activity.  More recently, after the </w:t>
      </w:r>
      <w:r>
        <w:rPr>
          <w:i/>
          <w:iCs/>
          <w:sz w:val="24"/>
        </w:rPr>
        <w:t>Arkansas Best</w:t>
      </w:r>
      <w:r>
        <w:rPr>
          <w:sz w:val="24"/>
        </w:rPr>
        <w:t xml:space="preserve"> case left substantial confusion as to the types of transactions that qualified as hedges for tax purposes, the IRS issued regulations recognizing hedges of price, interest rate, and foreign currency risk as bona fide hedges for tax purposes.  Finally, in 1999, Congress broadened the definition of a tax hedge to encompass transactions entered into for risk management, rather than merely risk reduction, and authorized the IRS to modify existing regulations or issue new regulations broadening the definition of tax hedges.  For the reasons developed herein, we believe that the IRS should exercise the discretion granted it by Congress to modify the category of hedge transactions to include those transactions based on weather and other appropriate volumetric risks that otherwise facilitate the hedging of ordinary income producing activities.</w:t>
      </w:r>
    </w:p>
    <w:p>
      <w:pPr>
        <w:pStyle w:val="BodyText3"/>
        <w:rPr>
          <w:sz w:val="24"/>
        </w:rPr>
      </w:pPr>
      <w:r>
        <w:rPr>
          <w:sz w:val="24"/>
        </w:rPr>
      </w:r>
    </w:p>
    <w:p>
      <w:pPr>
        <w:pStyle w:val="Normal"/>
        <w:tabs>
          <w:tab w:val="clear" w:pos="720"/>
          <w:tab w:val="left" w:pos="2610" w:leader="none"/>
        </w:tabs>
        <w:rPr>
          <w:sz w:val="24"/>
        </w:rPr>
      </w:pPr>
      <w:r>
        <w:rPr>
          <w:sz w:val="24"/>
        </w:rPr>
        <w:t>I.  Background: Evolution of Hedging to Encompass Weather Risk Management</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For over half a century, businesses have used financial instruments to hedge their economic exposure to price fluctuations beyond their control so that the economic results of their business from year to year reflect the value added by the business, rather than the effect of price fluctuations.  Businesses seeking to manage their price, interest rate, and currency risk have been able to choose from a variety of sophisticated financial techniques, including futures contracts, options, swaps and other derivative instruments, to accomplish their objectives.</w:t>
      </w:r>
    </w:p>
    <w:p>
      <w:pPr>
        <w:pStyle w:val="Normal"/>
        <w:tabs>
          <w:tab w:val="clear" w:pos="720"/>
          <w:tab w:val="left" w:pos="2610" w:leader="none"/>
        </w:tabs>
        <w:rPr>
          <w:sz w:val="24"/>
        </w:rPr>
      </w:pPr>
      <w:r>
        <w:rPr>
          <w:sz w:val="24"/>
        </w:rPr>
      </w:r>
    </w:p>
    <w:p>
      <w:pPr>
        <w:pStyle w:val="Normal"/>
        <w:tabs>
          <w:tab w:val="clear" w:pos="720"/>
          <w:tab w:val="left" w:pos="2610" w:leader="none"/>
        </w:tabs>
        <w:rPr/>
      </w:pPr>
      <w:r>
        <w:rPr>
          <w:color w:val="000000"/>
          <w:sz w:val="24"/>
        </w:rPr>
        <w:t xml:space="preserve">Companies have long recognized that weather can also have a significant impact on revenues.  </w:t>
      </w:r>
      <w:r>
        <w:rPr>
          <w:sz w:val="24"/>
        </w:rPr>
        <w:t xml:space="preserve">According to U.S. Department of Commerce statistics, weather affects about $1 trillion of the $7 trillion U.S. annual gross domestic product. </w:t>
      </w:r>
      <w:r>
        <w:rPr>
          <w:color w:val="000000"/>
          <w:sz w:val="24"/>
        </w:rPr>
        <w:t xml:space="preserve"> Unfortunately, until relatively recently, there was little that a company could do to manage their weather risk.  Only recently have companies begun to realize that there is something they can do to mitigate weather risk. </w:t>
      </w:r>
    </w:p>
    <w:p>
      <w:pPr>
        <w:pStyle w:val="Normal"/>
        <w:tabs>
          <w:tab w:val="clear" w:pos="720"/>
          <w:tab w:val="left" w:pos="2610" w:leader="none"/>
        </w:tabs>
        <w:rPr>
          <w:color w:val="000000"/>
          <w:sz w:val="24"/>
        </w:rPr>
      </w:pPr>
      <w:r>
        <w:rPr>
          <w:color w:val="000000"/>
          <w:sz w:val="24"/>
        </w:rPr>
      </w:r>
    </w:p>
    <w:p>
      <w:pPr>
        <w:pStyle w:val="Normal"/>
        <w:tabs>
          <w:tab w:val="clear" w:pos="720"/>
          <w:tab w:val="left" w:pos="2610" w:leader="none"/>
        </w:tabs>
        <w:rPr/>
      </w:pPr>
      <w:r>
        <w:rPr>
          <w:sz w:val="24"/>
        </w:rPr>
        <w:t xml:space="preserve">The recent </w:t>
        <w:softHyphen/>
        <w:t>increased awareness among taxpayers of the consequences of weather on their business stems from the El Niño winter of 1997-98, when the profitability of many companies was negatively affected by the unusually mild winter.  The crisis that winter spurred the development of a weather derivatives market which enabled businesses that could be adversely affected by unanticipated temperature swings to transfer this risk to counterparties with the opposite weather profiles.</w:t>
      </w:r>
      <w:r>
        <w:rPr>
          <w:rStyle w:val="FootnoteCharacters"/>
          <w:rStyle w:val="FootnoteReference"/>
          <w:sz w:val="24"/>
        </w:rPr>
        <w:footnoteReference w:id="3"/>
      </w:r>
      <w:r>
        <w:rPr>
          <w:sz w:val="24"/>
        </w:rPr>
        <w:t xml:space="preserve">  Professional managers were accustomed to using futures and options to hedge their risk in interest rates, equities and foreign exchange, and they found that they could use similar tools for the management of risk from changes in weather.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II. Background on Weather Risk Management Products</w:t>
      </w:r>
    </w:p>
    <w:p>
      <w:pPr>
        <w:pStyle w:val="Normal"/>
        <w:tabs>
          <w:tab w:val="clear" w:pos="720"/>
          <w:tab w:val="left" w:pos="2610" w:leader="none"/>
        </w:tabs>
        <w:rPr>
          <w:sz w:val="24"/>
        </w:rPr>
      </w:pPr>
      <w:r>
        <w:rPr>
          <w:sz w:val="24"/>
        </w:rPr>
      </w:r>
    </w:p>
    <w:p>
      <w:pPr>
        <w:pStyle w:val="Normal"/>
        <w:tabs>
          <w:tab w:val="clear" w:pos="720"/>
          <w:tab w:val="left" w:pos="2610" w:leader="none"/>
        </w:tabs>
        <w:rPr/>
      </w:pPr>
      <w:r>
        <w:rPr>
          <w:sz w:val="24"/>
        </w:rPr>
        <w:t>The weather risk management product class includes options, caps, floors, collars, and swaps – in short, the types of financial products common to other types of risk management.  In turn, the basic trade inherent in weather related risk management centers around temperature and, specifically, products indexed to Heating Degree Days (HDDs) or Cooling Degree Days (CDDs) that measure either relative coolness or warmness, respectively.  HDDs and CDDs are calculated using temperature data provided by the National Weather Service.</w:t>
      </w:r>
      <w:r>
        <w:rPr>
          <w:rStyle w:val="FootnoteCharacters"/>
          <w:rStyle w:val="FootnoteReference"/>
          <w:sz w:val="24"/>
        </w:rPr>
        <w:footnoteReference w:id="4"/>
      </w:r>
      <w:r>
        <w:rPr>
          <w:sz w:val="24"/>
        </w:rPr>
        <w:t xml:space="preserve">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 xml:space="preserve">Weather options, for example, are written on the cumulative HDDs or CDDs over a specified period as determined for a defined geographic area.  Weather derivative option contracts are based on the total number of HDDs or CDDs in a period.  Payouts are defined as a specified dollar sum multiplied by differences between the HDD or CDD level specified in the contract (i.e. the "Strike") and the actual HDD or CDD level which occurs during the contract period.  Similarly, in a typical CDD/HDD swap, one counter party gets paid if the degree days over a specified period are greater than the strike level, and the other party gets paid if the degree days over that period are less than the strike.   </w:t>
      </w:r>
    </w:p>
    <w:p>
      <w:pPr>
        <w:pStyle w:val="Normal"/>
        <w:tabs>
          <w:tab w:val="clear" w:pos="720"/>
          <w:tab w:val="left" w:pos="2610" w:leader="none"/>
        </w:tabs>
        <w:rPr>
          <w:sz w:val="24"/>
        </w:rPr>
      </w:pPr>
      <w:r>
        <w:rPr>
          <w:sz w:val="24"/>
        </w:rPr>
      </w:r>
    </w:p>
    <w:p>
      <w:pPr>
        <w:pStyle w:val="BodyText"/>
        <w:rPr/>
      </w:pPr>
      <w:r>
        <w:rPr/>
        <w:t>Weather derivatives are not limited to products based on temperature indices and also encompass derivatives written for inches of rainfall or snowfall, wind chill or heat index, or the number of skiing days.  While the position set forth herein is primarily oriented to temperature based weather derivatives, the arguments in support of such instruments being included within the category of risks accorded tax hedging treatment are equally applicable to instruments based on these other categories of volumetric weather risks.</w:t>
      </w:r>
    </w:p>
    <w:p>
      <w:pPr>
        <w:pStyle w:val="BodyText"/>
        <w:rPr/>
      </w:pPr>
      <w:r>
        <w:rPr/>
      </w:r>
    </w:p>
    <w:p>
      <w:pPr>
        <w:pStyle w:val="BodyText"/>
        <w:rPr/>
      </w:pPr>
      <w:r>
        <w:rPr/>
        <w:t>III. The Market for Weather Products</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 xml:space="preserve">Initially, energy and utility companies were the primary users of weather-related risk management products.  Indeed, the advent of weather products coincided with deregulation of natural gas and electricity during which period business operating in those areas began aggressively managing all relevant risks related to their business in order to optimize their performance.  Utilities and power providers had long used derivative instruments to hedge the price of fossil fuels or electricity but they realized, as they examined their risk sensitivities, that they were just as vulnerable to lower levels of consumer demand for their product during periods when winter or summer temperatures are close to the 65 º Fahrenheit baseline around which temperature based weather derivatives are written.  Lower demand caused by unseasonably adverse weather patterns was recognized to give rise to volumetric risk that affected these businesses’ revenue streams.  These businesses began to specifically analyze the impact of weather risk and found such risk could be easily quantified.  In many cases, the correlation between weather and energy demand is as high as 95 percent.  Accordingly, utility and energy companies began to use weather derivatives to protect their volume-related revenue against cooler than average summers, or unusually warm winters, by entering into weather contracts that pay out in the event of a warmer than expected winter or a cooler than expected summer.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While utilities and companies in the energy sector are mostly concerned about mild summers and winters, conversely, other sectors of the economy are concerned with the serious economic consequences that follow periods of unseasonably cold winters or hot summers.  In other words, many businesses have the opposite weather risk profile as companies in the energy sector.  For example, agricultural companies may be looking to replace revenues that might be lost due to freeze or drought.  A lettuce grower, dependent on cool temperatures from April to July for the crop to grow, may be willing to pay a premium for a weather derivative that allows it to collect money if the temperature exceeds the norm on a certain number of days.  A chemical company may want to hedge the risk of warm weather because certain mites won't multiply in the heat, lessening the amount of a particular chemical needed to kill the mites.  Further, extremely cold winters can cause havoc in the transportation sector as well as with businesses that cater to the general public’s temperature-sensitive demand for goods and services.  A retail clothing company may wish to protect itself against a drop in sales due to unseasonable weather at the start of each season.  Weather derivatives are also useful for construction companies, film studios, golf courses, and theme parks, all of which can be negatively affected by extreme temperatures.  Other logical users of weather derivatives include soft drink and beer manufacturers that believe warm weather leads to higher sales, municipalities that pay for snowplowing, and restaurants with outdoor seating.</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In sum, companies from far-ranging sectors including agriculture, construction, retail, transportation and entertainment have economic exposure in their core businesses to the effects of weather.  The differing weather exposures borne by various sectors of the economy allows for the intermediation of weather risk based on the different weather risk profiles of the various sectors.  Weather-based financial derivatives, in turn, offer the means to taxpayers to match their respective weather profiles one to the other.</w:t>
      </w:r>
    </w:p>
    <w:p>
      <w:pPr>
        <w:pStyle w:val="Normal"/>
        <w:tabs>
          <w:tab w:val="clear" w:pos="720"/>
          <w:tab w:val="left" w:pos="2610" w:leader="none"/>
        </w:tabs>
        <w:rPr>
          <w:sz w:val="24"/>
        </w:rPr>
      </w:pPr>
      <w:r>
        <w:rPr>
          <w:sz w:val="24"/>
        </w:rPr>
        <w:t xml:space="preserve"> </w:t>
      </w:r>
    </w:p>
    <w:p>
      <w:pPr>
        <w:pStyle w:val="Normal"/>
        <w:tabs>
          <w:tab w:val="clear" w:pos="720"/>
          <w:tab w:val="left" w:pos="2610" w:leader="none"/>
        </w:tabs>
        <w:rPr>
          <w:sz w:val="24"/>
        </w:rPr>
      </w:pPr>
      <w:r>
        <w:rPr>
          <w:sz w:val="24"/>
        </w:rPr>
        <w:t>IV.  Understanding Business’s Drive for Managing Weather Risk</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 xml:space="preserve">Until recently, the concept of extending tax hedging treatment to cover weather derivatives had no practical relevance simply because there were no risk management tools available with respect to the weather.  Businesses generally operated under the old adage that there’s nothing one can do about the weather.  Now, however, weather risk management has been recognized by the private sector as an appropriate undertaking where there are tools available to help guard against weather that would otherwise adversely impact business.  We urge the IRS to continue the trend established in General Counsel Memorandum 17322 of supporting the private sector in its push to manage risks by embracing volumetric weather risk as hedgeable risk.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Weather risk is just the type of risk that is appropriately covered by the hedging regulations because it is a risk that is outside the control of taxpayers and it affects the bottom line every bit as much as price fluctuations.  As previously mentioned, the profitability of a business is as much a factor of the volume of product sold (or the volume of inputs purchased) as it is the price received for its product (or the costs of the inputs it purchases).  Indeed, revenue is the product of price received and units sold, and cost of goods sold is the product of the cost of goods and the number of such goods sold – revenue and cost of goods sold are both a function of volume and price.  In short, volume and price are two sides of the same coin.  Further, unit volume variance is every bit as detrimental to the bottom line as unit price variation.  Unexpected changes in one or the other impact the bottom line in the same way because, as described, both revenues and cost of goods sold depend as much on volume as on price.  Yet while price risk has long been recognized by the tax law as the kind of risk that can be mitigated through hedging, weather risk has not yet been recognized by the tax law as a category of hedgeable risk for purposes of the hedging rules.</w:t>
      </w:r>
    </w:p>
    <w:p>
      <w:pPr>
        <w:pStyle w:val="Normal"/>
        <w:tabs>
          <w:tab w:val="clear" w:pos="720"/>
          <w:tab w:val="left" w:pos="2610" w:leader="none"/>
        </w:tabs>
        <w:rPr>
          <w:sz w:val="24"/>
        </w:rPr>
      </w:pPr>
      <w:r>
        <w:rPr>
          <w:sz w:val="24"/>
        </w:rPr>
        <w:t xml:space="preserve"> </w:t>
      </w:r>
    </w:p>
    <w:p>
      <w:pPr>
        <w:pStyle w:val="BodyText"/>
        <w:rPr/>
      </w:pPr>
      <w:r>
        <w:rPr/>
        <w:t xml:space="preserve">Weather exposure is something that many corporations no longer want to accept and, instead, want to manage. Weather derivative contracts are particularly attractive to businesses that are already familiar with traditional risk management techniques.  When combined with other price risk management tools, volume-related hedges such as weather based financial derivatives increase the ability of business managers to manage business risk. Weather based financial derivative products, like other risk management products, allow companies to concentrate on producing the products or providing the services at which they are really skilled.  </w:t>
      </w:r>
    </w:p>
    <w:p>
      <w:pPr>
        <w:pStyle w:val="BodyText"/>
        <w:rPr/>
      </w:pPr>
      <w:r>
        <w:rPr/>
      </w:r>
    </w:p>
    <w:p>
      <w:pPr>
        <w:pStyle w:val="BodyText"/>
        <w:rPr/>
      </w:pPr>
      <w:r>
        <w:rPr/>
        <w:t>A company that manages all significant risks, whether price, interest rate, currency or weather (or all of the above), can more accurately correlate profits to real performance without fear of earnings fluctuations due to forces beyond its control.  In turn, a business that undertakes such risk management is rewarded both in the credit and capital markets.  Traditional debt covenants and required debt coverage ratios put pressure on the managers of companies to achieve consistent earnings, rather than have earnings that fluctuate.  As described above, weather risk is every bit as relevant to businesses as commodity price, interest rate or currency risk and must be managed if businesses with weather sensitivities are to perform optimally.  In this respect, weather derivatives can help business ideally manage the risks to which they are exposed and, thus, attain better positioning in the credit and capital markets and otherwise satisfy their lenders.  Further, investors, for their part, want businesses to take on only those risks that management understands and can manage and, as described, weather risk is a significant component affecting many businesses to which this risk management mandate extends, which mandate can be satisfied with use of weather based financial derivatives.</w:t>
      </w:r>
    </w:p>
    <w:p>
      <w:pPr>
        <w:pStyle w:val="BodyText"/>
        <w:rPr/>
      </w:pPr>
      <w:r>
        <w:rPr/>
      </w:r>
    </w:p>
    <w:p>
      <w:pPr>
        <w:pStyle w:val="BodyText"/>
        <w:rPr/>
      </w:pPr>
      <w:r>
        <w:rPr/>
        <w:t>Accordingly, businesses have pressure from multiple constituencies to manage all risks affecting them and weather risk, as it is increasingly recognized and understood by business managers as one that significantly impacts performance, is a risk such businesses are increasingly mandated to manage.  We encourage the IRS to facilitate the managers of business in their efforts to satisfy their capital and credit market constituencies in their demands for risk management by embracing weather as a hedgeable risk.</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 xml:space="preserve">V.  Weather Hedging Activities are Focused on Risk Aversion and Not Speculation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 xml:space="preserve">When a taxpayer hedges price risk with respect to property that it sells in the ordinary course of its business, the hedge relates to property that does not produce capital gain or loss and, as such, is a bona fide tax hedge.  If a taxpayer hedges weather risk with respect to sales of similar ordinary property, such a hedge also relates to the hedged ordinary property and should not give rise to capital gain or loss.  As such, it should also be treated as a bona fide hedge.  Volumetric risks beyond the control of the taxpayer should not be accounted for any differently from price risks that are also beyond the control of the taxpayer.  The purpose of the hedge in each case is the same.  By allowing the taxpayer to mitigate risk of unpredictable events, the taxpayer may more properly focus on its core business - whether it is selling soda, running a theme park or maintaining a golf course. </w:t>
        <w:br/>
      </w:r>
    </w:p>
    <w:p>
      <w:pPr>
        <w:pStyle w:val="Normal"/>
        <w:tabs>
          <w:tab w:val="clear" w:pos="720"/>
          <w:tab w:val="left" w:pos="2610" w:leader="none"/>
        </w:tabs>
        <w:rPr>
          <w:sz w:val="24"/>
        </w:rPr>
      </w:pPr>
      <w:r>
        <w:rPr>
          <w:sz w:val="24"/>
        </w:rPr>
        <w:t xml:space="preserve">It makes sense for gain or loss on a hedging transaction to be viewed as ordinary if it relates directly to an ordinary income producing activity because it either affects the cost of that activity or the gross proceeds derived from the activity.  Weather based financial instruments entered into to hedge ordinary income activity of a taxpayer are directly connected to the business activities of the taxpayer and should be treated as producing ordinary gain or loss.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 xml:space="preserve">The IRS has traditionally been concerned that putative hedging activity might have a "speculative” component, in which case capital gain or loss treatment would be more appropriate.  Dating back to at least General Counsel Memorandum 17322, the IRS has struggled with the question how to draw the line between hedging and speculation.  As a practical matter, this concern seems less problematic with respect to a weather product because rarely, if ever, does a business buy weather products for speculative reasons.  Typically, companies do not enter into weather transactions without first undertaking a regression analysis to determine the correlation between its revenues and temperatures or some other weather-related index.  This helps them quantify, based on statistical measures, whether and to what extent their business is exposed to weather.  Knowing and understanding what that risk exposure is helps, in turn, to craft a customized weather transaction that precisely tracks the company’s underlying business exposure so that the weather based hedge product will result in an appropriate offset in light of the businesses historical weather sensitivity.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 xml:space="preserve">Apart from these practical considerations, safeguards against speculation are already embedded in the hedging regulations in their current form.  First, the regulations define a hedging transaction relatively narrowly by reference to the nature of the property being hedged.  In addition, the hedging regulations address the character whipsaw (that is, the concern that taxpayers may attempt to treat losses as ordinary and gains as capital) in two ways.  First, a taxpayer entering into a hedging transaction must identify the transaction as such according to rules contained in the regulations. Generally, if a transaction is identified as a hedging transaction, the identification is binding with respect to gain, whether or not all the requirements for hedging transaction treatment are satisfied.  Second, and more broadly, an exclusivity rule is established.  Gain or loss on property, a short sale, or an option is ordinary on the grounds that the property, short sale or hedging transaction serves a hedging function only if the property, short sale or option is part of a “hedging transaction” as defined.  Thus, if a transaction falls outside the regulations’ definition of a hedging transaction, gain or loss is not made ordinary by the fact that property is a “surrogate” for a noncapital asset or that the transaction serves generally as “insurance against a business risk."  These regulations effectively serve to limit hedging treatment to cases in which there is no substantial speculative or manipulative activity.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VI.  CONCLUSION</w:t>
      </w:r>
    </w:p>
    <w:p>
      <w:pPr>
        <w:pStyle w:val="Normal"/>
        <w:tabs>
          <w:tab w:val="clear" w:pos="720"/>
          <w:tab w:val="left" w:pos="2610" w:leader="none"/>
        </w:tabs>
        <w:rPr>
          <w:sz w:val="24"/>
        </w:rPr>
      </w:pPr>
      <w:r>
        <w:rPr>
          <w:sz w:val="24"/>
        </w:rPr>
      </w:r>
    </w:p>
    <w:p>
      <w:pPr>
        <w:pStyle w:val="BodyText"/>
        <w:rPr/>
      </w:pPr>
      <w:r>
        <w:rPr/>
        <w:t xml:space="preserve">To the extent that there is volatility inherent in prices that is beyond a business’s control, the tax law recognizes a hedge of price risk as a bona fide hedging transaction when such hedge relates to a taxpayer’s ordinary income producing activity.  To the extent that there is volatility inherent in volume due to weather patterns beyond the control of the taxpayer, the tax law should respect a hedge of that risk as a bona fide hedge in a similar fashion when such hedge relates to a taxpayer’s ordinary income producing activity.  Weather risk affecting volume is but the opposite side of the coin of price risk and should be treated similarly to such price risk and respected as a bona fide hedge for tax purposes.  By embracing volumetric weather risk as hedgeable risk, furthermore, the IRS will stand shoulder to shoulder with modern risk managers in facilitating economic activity by taxpayers that promotes a more efficient spreading of risk throughout society – ultimately promoting economic expansion and stability.  Finally, the identification requirements of the current hedging regulations operate to insure against character whipsaws with regard to weather based financial derivatives in the same fashion as with other financial derivatives used by taxpayers to hedge their ordinary income producing activities. </w:t>
      </w:r>
    </w:p>
    <w:p>
      <w:pPr>
        <w:pStyle w:val="BodyText"/>
        <w:rPr/>
      </w:pPr>
      <w:r>
        <w:rPr/>
      </w:r>
    </w:p>
    <w:p>
      <w:pPr>
        <w:pStyle w:val="BodyText"/>
        <w:rPr/>
      </w:pPr>
      <w:r>
        <w:rPr/>
        <w:t xml:space="preserve">For the foregoing reasons, we urge the IRS to modify the proposed regulations to embrace weather risk as hedgeable risk.  The IRS should modify the proposed regulations to explicitly recognize weather risk as the type of risk that is properly the subject of a tax hedge within the meaning of Reg. Sec. 1.1221-2(b).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ab/>
        <w:t>Signed,</w:t>
      </w:r>
    </w:p>
    <w:p>
      <w:pPr>
        <w:pStyle w:val="Normal"/>
        <w:tabs>
          <w:tab w:val="clear" w:pos="720"/>
          <w:tab w:val="left" w:pos="2610" w:leader="none"/>
        </w:tabs>
        <w:rPr>
          <w:sz w:val="24"/>
        </w:rPr>
      </w:pPr>
      <w:r>
        <w:rPr>
          <w:sz w:val="24"/>
        </w:rPr>
        <w:t xml:space="preserve"> </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tab/>
        <w:t>Stephen H. Douglas</w:t>
      </w:r>
    </w:p>
    <w:p>
      <w:pPr>
        <w:pStyle w:val="Normal"/>
        <w:tabs>
          <w:tab w:val="clear" w:pos="720"/>
          <w:tab w:val="left" w:pos="2610" w:leader="none"/>
        </w:tabs>
        <w:rPr>
          <w:sz w:val="24"/>
        </w:rPr>
      </w:pPr>
      <w:r>
        <w:rPr>
          <w:sz w:val="24"/>
        </w:rPr>
        <w:tab/>
        <w:t>Senior Director – Tax, Enron Wholesale Services</w:t>
      </w:r>
    </w:p>
    <w:p>
      <w:pPr>
        <w:pStyle w:val="Normal"/>
        <w:tabs>
          <w:tab w:val="clear" w:pos="720"/>
          <w:tab w:val="left" w:pos="2610" w:leader="none"/>
        </w:tabs>
        <w:rPr>
          <w:sz w:val="24"/>
        </w:rPr>
      </w:pPr>
      <w:r>
        <w:rPr>
          <w:sz w:val="24"/>
        </w:rPr>
      </w:r>
    </w:p>
    <w:p>
      <w:pPr>
        <w:pStyle w:val="Normal"/>
        <w:tabs>
          <w:tab w:val="clear" w:pos="720"/>
          <w:tab w:val="left" w:pos="2610" w:leader="none"/>
        </w:tabs>
        <w:rPr>
          <w:sz w:val="24"/>
        </w:rPr>
      </w:pPr>
      <w:r>
        <w:rPr>
          <w:sz w:val="24"/>
        </w:rPr>
      </w:r>
    </w:p>
    <w:sectPr>
      <w:footerReference w:type="default" r:id="rId2"/>
      <w:footerReference w:type="first" r:id="rId3"/>
      <w:footnotePr>
        <w:numFmt w:val="decimal"/>
      </w:footnotePr>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Preamble to the Proposed Treasury Regulations section 1.1221-2.</w:t>
      </w:r>
    </w:p>
  </w:footnote>
  <w:footnote w:id="3">
    <w:p>
      <w:pPr>
        <w:pStyle w:val="FootnoteText"/>
        <w:rPr/>
      </w:pPr>
      <w:r>
        <w:rPr>
          <w:rStyle w:val="FootnoteCharacters"/>
        </w:rPr>
        <w:footnoteRef/>
      </w:r>
      <w:r>
        <w:rPr/>
        <w:t xml:space="preserve"> </w:t>
      </w:r>
      <w:r>
        <w:rPr/>
        <w:t>The basis risk transfer mechanism is to match counterparties that gain from milder weather patterns with those that do not.</w:t>
      </w:r>
    </w:p>
  </w:footnote>
  <w:footnote w:id="4">
    <w:p>
      <w:pPr>
        <w:pStyle w:val="Normal"/>
        <w:tabs>
          <w:tab w:val="clear" w:pos="720"/>
          <w:tab w:val="left" w:pos="2610" w:leader="none"/>
        </w:tabs>
        <w:rPr/>
      </w:pPr>
      <w:r>
        <w:rPr>
          <w:rStyle w:val="FootnoteCharacters"/>
        </w:rPr>
        <w:footnoteRef/>
      </w:r>
      <w:r>
        <w:rPr/>
        <w:t xml:space="preserve"> </w:t>
      </w:r>
      <w:r>
        <w:rPr/>
        <w:t>A degree day is the measure of how much a day’s average temperature deviates from 65 º Fahrenheit.</w:t>
      </w:r>
      <w:r>
        <w:rPr>
          <w:rStyle w:val="FootnoteCharacters"/>
        </w:rPr>
        <w:t>?</w:t>
      </w:r>
      <w:r>
        <w:rPr/>
        <w:t xml:space="preserve"> The number of CDD’s or HDD’s on a single day is the difference of the daily average temperature from 65 degrees Fahrenheit. CDD’s and HDD’s are never negative.  If the daily average temperature is less than 65 F, then the difference of the daily average temperature and 65 F is the number of HDDs.  If the daily average temperature is greater than 65 F, then the difference of the daily average temperature and 65 F is the number of CDDs.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610" w:leader="none"/>
      </w:tabs>
      <w:jc w:val="center"/>
      <w:outlineLvl w:val="0"/>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61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tabs>
        <w:tab w:val="clear" w:pos="720"/>
        <w:tab w:val="left" w:pos="2610" w:leader="none"/>
      </w:tabs>
      <w:jc w:val="center"/>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2610" w:leader="none"/>
      </w:tabs>
      <w:spacing w:lineRule="atLeast" w:line="240"/>
    </w:pPr>
    <w:rPr>
      <w:color w:val="000000"/>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2001-10-19T21:46:00Z</dcterms:created>
  <dc:creator>sdougla</dc:creator>
  <dc:description/>
  <dc:language>en-CA</dc:language>
  <cp:lastModifiedBy>sdougla</cp:lastModifiedBy>
  <cp:lastPrinted>2001-10-18T11:31:00Z</cp:lastPrinted>
  <dcterms:modified xsi:type="dcterms:W3CDTF">2001-10-19T21:47:00Z</dcterms:modified>
  <cp:revision>3</cp:revision>
  <dc:subject/>
  <dc:title>Clemmons said that Enron first considered its new business when it was considering ways to hedge its own exposure on gas contracts</dc:title>
</cp:coreProperties>
</file>