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IP for NewCO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Hardware</w:t>
      </w:r>
    </w:p>
    <w:p>
      <w:pPr>
        <w:pStyle w:val="Normal"/>
        <w:numPr>
          <w:ilvl w:val="0"/>
          <w:numId w:val="1"/>
        </w:numPr>
        <w:rPr/>
      </w:pPr>
      <w:r>
        <w:rPr/>
        <w:t>Software</w:t>
      </w:r>
    </w:p>
    <w:p>
      <w:pPr>
        <w:pStyle w:val="Normal"/>
        <w:numPr>
          <w:ilvl w:val="1"/>
          <w:numId w:val="1"/>
        </w:numPr>
        <w:rPr/>
      </w:pPr>
      <w:r>
        <w:rPr/>
        <w:t>Licenses</w:t>
      </w:r>
    </w:p>
    <w:p>
      <w:pPr>
        <w:pStyle w:val="Normal"/>
        <w:numPr>
          <w:ilvl w:val="1"/>
          <w:numId w:val="1"/>
        </w:numPr>
        <w:rPr/>
      </w:pPr>
      <w:r>
        <w:rPr/>
        <w:t xml:space="preserve">Internet Code </w:t>
      </w:r>
    </w:p>
    <w:p>
      <w:pPr>
        <w:pStyle w:val="Normal"/>
        <w:numPr>
          <w:ilvl w:val="1"/>
          <w:numId w:val="1"/>
        </w:numPr>
        <w:rPr/>
      </w:pPr>
      <w:r>
        <w:rPr/>
        <w:t>Internal Trading Apps</w:t>
      </w:r>
    </w:p>
    <w:p>
      <w:pPr>
        <w:pStyle w:val="Normal"/>
        <w:numPr>
          <w:ilvl w:val="1"/>
          <w:numId w:val="1"/>
        </w:numPr>
        <w:rPr/>
      </w:pPr>
      <w:r>
        <w:rPr/>
        <w:t>Reporting Apps</w:t>
      </w:r>
    </w:p>
    <w:p>
      <w:pPr>
        <w:pStyle w:val="Normal"/>
        <w:numPr>
          <w:ilvl w:val="1"/>
          <w:numId w:val="1"/>
        </w:numPr>
        <w:rPr/>
      </w:pPr>
      <w:r>
        <w:rPr/>
        <w:t>Database</w:t>
      </w:r>
    </w:p>
    <w:p>
      <w:pPr>
        <w:pStyle w:val="Normal"/>
        <w:numPr>
          <w:ilvl w:val="0"/>
          <w:numId w:val="1"/>
        </w:numPr>
        <w:rPr/>
      </w:pPr>
      <w:r>
        <w:rPr/>
        <w:t>Data</w:t>
      </w:r>
    </w:p>
    <w:p>
      <w:pPr>
        <w:pStyle w:val="Normal"/>
        <w:numPr>
          <w:ilvl w:val="0"/>
          <w:numId w:val="1"/>
        </w:numPr>
        <w:rPr/>
      </w:pPr>
      <w:r>
        <w:rPr/>
        <w:t>Reporting database</w:t>
      </w:r>
    </w:p>
    <w:p>
      <w:pPr>
        <w:pStyle w:val="Normal"/>
        <w:numPr>
          <w:ilvl w:val="0"/>
          <w:numId w:val="1"/>
        </w:numPr>
        <w:rPr/>
      </w:pPr>
      <w:r>
        <w:rPr/>
        <w:t>Marketing Database (Access)</w:t>
      </w:r>
    </w:p>
    <w:p>
      <w:pPr>
        <w:pStyle w:val="Normal"/>
        <w:numPr>
          <w:ilvl w:val="0"/>
          <w:numId w:val="1"/>
        </w:numPr>
        <w:rPr/>
      </w:pPr>
      <w:r>
        <w:rPr/>
        <w:t>ISP</w:t>
      </w:r>
    </w:p>
    <w:p>
      <w:pPr>
        <w:pStyle w:val="Normal"/>
        <w:numPr>
          <w:ilvl w:val="0"/>
          <w:numId w:val="1"/>
        </w:numPr>
        <w:rPr/>
      </w:pPr>
      <w:r>
        <w:rPr/>
        <w:t>Global Counterparty Database Access</w:t>
      </w:r>
    </w:p>
    <w:p>
      <w:pPr>
        <w:pStyle w:val="Normal"/>
        <w:numPr>
          <w:ilvl w:val="0"/>
          <w:numId w:val="1"/>
        </w:numPr>
        <w:rPr/>
      </w:pPr>
      <w:r>
        <w:rPr/>
        <w:t>Credit Apps/Links</w:t>
      </w:r>
    </w:p>
    <w:p>
      <w:pPr>
        <w:pStyle w:val="Normal"/>
        <w:numPr>
          <w:ilvl w:val="0"/>
          <w:numId w:val="1"/>
        </w:numPr>
        <w:rPr/>
      </w:pPr>
      <w:r>
        <w:rPr/>
        <w:t>Contract Templates</w:t>
      </w:r>
    </w:p>
    <w:p>
      <w:pPr>
        <w:pStyle w:val="Normal"/>
        <w:numPr>
          <w:ilvl w:val="0"/>
          <w:numId w:val="1"/>
        </w:numPr>
        <w:rPr/>
      </w:pPr>
      <w:r>
        <w:rPr/>
        <w:t>Content Contracts</w:t>
      </w:r>
    </w:p>
    <w:p>
      <w:pPr>
        <w:pStyle w:val="Normal"/>
        <w:numPr>
          <w:ilvl w:val="0"/>
          <w:numId w:val="1"/>
        </w:numPr>
        <w:rPr/>
      </w:pPr>
      <w:r>
        <w:rPr/>
        <w:t>True Quote Contract</w:t>
      </w:r>
    </w:p>
    <w:p>
      <w:pPr>
        <w:pStyle w:val="Normal"/>
        <w:numPr>
          <w:ilvl w:val="1"/>
          <w:numId w:val="1"/>
        </w:numPr>
        <w:rPr/>
      </w:pPr>
      <w:r>
        <w:rPr/>
        <w:t>Exchange Software</w:t>
      </w:r>
    </w:p>
    <w:p>
      <w:pPr>
        <w:pStyle w:val="Normal"/>
        <w:numPr>
          <w:ilvl w:val="0"/>
          <w:numId w:val="1"/>
        </w:numPr>
        <w:rPr/>
      </w:pPr>
      <w:r>
        <w:rPr/>
        <w:t>Phone lines/#s</w:t>
      </w:r>
    </w:p>
    <w:p>
      <w:pPr>
        <w:pStyle w:val="Normal"/>
        <w:numPr>
          <w:ilvl w:val="0"/>
          <w:numId w:val="1"/>
        </w:numPr>
        <w:rPr/>
      </w:pPr>
      <w:r>
        <w:rPr/>
        <w:t>Auto e-mailing/messaging</w:t>
      </w:r>
    </w:p>
    <w:p>
      <w:pPr>
        <w:pStyle w:val="Normal"/>
        <w:numPr>
          <w:ilvl w:val="0"/>
          <w:numId w:val="1"/>
        </w:numPr>
        <w:rPr/>
      </w:pPr>
      <w:r>
        <w:rPr/>
        <w:t>Reuters/GlobalView Quote Feeds</w:t>
      </w:r>
    </w:p>
    <w:p>
      <w:pPr>
        <w:pStyle w:val="Normal"/>
        <w:numPr>
          <w:ilvl w:val="0"/>
          <w:numId w:val="1"/>
        </w:numPr>
        <w:rPr/>
      </w:pPr>
      <w:r>
        <w:rPr/>
        <w:t>Gas Daily/NGI/NGX Price Indices</w:t>
      </w:r>
    </w:p>
    <w:p>
      <w:pPr>
        <w:pStyle w:val="Normal"/>
        <w:numPr>
          <w:ilvl w:val="0"/>
          <w:numId w:val="1"/>
        </w:numPr>
        <w:rPr/>
      </w:pPr>
      <w:r>
        <w:rPr/>
        <w:t>Arthur Andersen Audit Materials</w:t>
      </w:r>
    </w:p>
    <w:p>
      <w:pPr>
        <w:pStyle w:val="Normal"/>
        <w:numPr>
          <w:ilvl w:val="0"/>
          <w:numId w:val="1"/>
        </w:numPr>
        <w:rPr/>
      </w:pPr>
      <w:r>
        <w:rPr/>
        <w:t>Arthur Andersen Daily Price Report Audit</w:t>
      </w:r>
    </w:p>
    <w:p>
      <w:pPr>
        <w:pStyle w:val="Normal"/>
        <w:numPr>
          <w:ilvl w:val="0"/>
          <w:numId w:val="1"/>
        </w:numPr>
        <w:rPr/>
      </w:pPr>
      <w:r>
        <w:rPr/>
        <w:t>Trademarks:  EnronOnline, EnronOnline.Com, Putting the energy into e-commerce, Puts the energy into e-commerce.</w:t>
      </w:r>
    </w:p>
    <w:p>
      <w:pPr>
        <w:pStyle w:val="Normal"/>
        <w:numPr>
          <w:ilvl w:val="0"/>
          <w:numId w:val="1"/>
        </w:numPr>
        <w:rPr/>
      </w:pPr>
      <w:r>
        <w:rPr/>
        <w:t>Patents</w:t>
      </w:r>
    </w:p>
    <w:p>
      <w:pPr>
        <w:pStyle w:val="Normal"/>
        <w:numPr>
          <w:ilvl w:val="0"/>
          <w:numId w:val="1"/>
        </w:numPr>
        <w:rPr/>
      </w:pPr>
      <w:r>
        <w:rPr/>
        <w:t>Logos</w:t>
      </w:r>
    </w:p>
    <w:p>
      <w:pPr>
        <w:pStyle w:val="Normal"/>
        <w:numPr>
          <w:ilvl w:val="0"/>
          <w:numId w:val="1"/>
        </w:numPr>
        <w:rPr/>
      </w:pPr>
      <w:r>
        <w:rPr/>
        <w:t>Copyrights to all web and printed content…including, but not limited to, FAQs, Online Help, Trader Manual, Getting Started Guide, Demo CD, Brochures, PCG Operations Manual, IT Documentation, Process Documentation.</w:t>
      </w:r>
    </w:p>
    <w:p>
      <w:pPr>
        <w:pStyle w:val="Normal"/>
        <w:numPr>
          <w:ilvl w:val="0"/>
          <w:numId w:val="1"/>
        </w:numPr>
        <w:rPr/>
      </w:pPr>
      <w:r>
        <w:rPr/>
        <w:t>Company Profiles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3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2001-12-11T15:38:00Z</dcterms:created>
  <dc:creator>kshah</dc:creator>
  <dc:description/>
  <dc:language>en-CA</dc:language>
  <cp:lastModifiedBy>dforster</cp:lastModifiedBy>
  <dcterms:modified xsi:type="dcterms:W3CDTF">2001-12-11T15:38:00Z</dcterms:modified>
  <cp:revision>2</cp:revision>
  <dc:subject/>
  <dc:title>IP for NewCO</dc:title>
</cp:coreProperties>
</file>