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eading"/>
        <w:numPr>
          <w:ilvl w:val="0"/>
          <w:numId w:val="0"/>
        </w:numPr>
        <w:ind w:hanging="0" w:start="0"/>
        <w:rPr>
          <w:rFonts w:cs="Arial"/>
        </w:rPr>
      </w:pPr>
      <w:r>
        <w:rPr>
          <w:rFonts w:cs="Arial"/>
        </w:rPr>
      </w:r>
    </w:p>
    <w:p>
      <w:pPr>
        <w:pStyle w:val="Heading"/>
        <w:rPr>
          <w:rFonts w:cs="Arial"/>
        </w:rPr>
      </w:pPr>
      <w:r>
        <w:rPr>
          <w:rFonts w:cs="Arial"/>
        </w:rPr>
        <w:t>BEFORE THE PUBLIC UTILITIES COMMISSION</w:t>
      </w:r>
    </w:p>
    <w:p>
      <w:pPr>
        <w:pStyle w:val="Subtitle"/>
        <w:rPr>
          <w:rFonts w:cs="Arial"/>
        </w:rPr>
      </w:pPr>
      <w:r>
        <w:rPr>
          <w:rFonts w:cs="Arial"/>
        </w:rPr>
        <w:t>OF THE STATE OF CALIFORNIA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5058"/>
        <w:gridCol w:w="3798"/>
      </w:tblGrid>
      <w:tr>
        <w:trPr/>
        <w:tc>
          <w:tcPr>
            <w:tcW w:w="505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798" w:type="dxa"/>
            <w:tcBorders>
              <w:start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I.99-07-003</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REPLY BRIEF OF THE INDICATED PRODUCERS</w:t>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t>Evelyn Kahl Elsesser</w:t>
      </w:r>
    </w:p>
    <w:p>
      <w:pPr>
        <w:pStyle w:val="Normal"/>
        <w:jc w:val="end"/>
        <w:rPr>
          <w:rFonts w:ascii="Arial" w:hAnsi="Arial" w:cs="Arial"/>
        </w:rPr>
      </w:pPr>
      <w:r>
        <w:rPr>
          <w:rFonts w:cs="Arial" w:ascii="Arial" w:hAnsi="Arial"/>
        </w:rPr>
        <w:t>Christine H. Jun</w:t>
      </w:r>
    </w:p>
    <w:p>
      <w:pPr>
        <w:pStyle w:val="Normal"/>
        <w:jc w:val="end"/>
        <w:rPr>
          <w:rFonts w:ascii="Arial" w:hAnsi="Arial" w:cs="Arial"/>
        </w:rPr>
      </w:pPr>
      <w:r>
        <w:rPr>
          <w:rFonts w:cs="Arial" w:ascii="Arial" w:hAnsi="Arial"/>
        </w:rPr>
        <w:t>Alcantar &amp; Elsesser LLP</w:t>
      </w:r>
    </w:p>
    <w:p>
      <w:pPr>
        <w:pStyle w:val="Normal"/>
        <w:jc w:val="end"/>
        <w:rPr>
          <w:rFonts w:ascii="Arial" w:hAnsi="Arial" w:cs="Arial"/>
        </w:rPr>
      </w:pPr>
      <w:r>
        <w:rPr>
          <w:rFonts w:cs="Arial" w:ascii="Arial" w:hAnsi="Arial"/>
        </w:rPr>
        <w:t>One Embarcadero Center Suite 2420</w:t>
      </w:r>
    </w:p>
    <w:p>
      <w:pPr>
        <w:pStyle w:val="Normal"/>
        <w:jc w:val="end"/>
        <w:rPr>
          <w:rFonts w:ascii="Arial" w:hAnsi="Arial" w:cs="Arial"/>
        </w:rPr>
      </w:pPr>
      <w:r>
        <w:rPr>
          <w:rFonts w:cs="Arial" w:ascii="Arial" w:hAnsi="Arial"/>
        </w:rPr>
        <w:t>San Francisco California  94111</w:t>
      </w:r>
    </w:p>
    <w:p>
      <w:pPr>
        <w:pStyle w:val="Normal"/>
        <w:jc w:val="end"/>
        <w:rPr>
          <w:rFonts w:ascii="Arial" w:hAnsi="Arial" w:cs="Arial"/>
        </w:rPr>
      </w:pPr>
      <w:r>
        <w:rPr>
          <w:rFonts w:cs="Arial" w:ascii="Arial" w:hAnsi="Arial"/>
        </w:rPr>
        <w:t>415.421.4143 – office</w:t>
      </w:r>
    </w:p>
    <w:p>
      <w:pPr>
        <w:pStyle w:val="Normal"/>
        <w:jc w:val="end"/>
        <w:rPr>
          <w:rFonts w:ascii="Arial" w:hAnsi="Arial" w:cs="Arial"/>
        </w:rPr>
      </w:pPr>
      <w:r>
        <w:rPr>
          <w:rFonts w:cs="Arial" w:ascii="Arial" w:hAnsi="Arial"/>
        </w:rPr>
        <w:t>415.989.1263 – fax</w:t>
      </w:r>
    </w:p>
    <w:p>
      <w:pPr>
        <w:pStyle w:val="Normal"/>
        <w:jc w:val="end"/>
        <w:rPr>
          <w:rFonts w:ascii="Arial" w:hAnsi="Arial" w:cs="Arial"/>
        </w:rPr>
      </w:pPr>
      <w:hyperlink r:id="rId2">
        <w:r>
          <w:rPr>
            <w:rStyle w:val="Hyperlink"/>
            <w:rFonts w:cs="Arial" w:ascii="Arial" w:hAnsi="Arial"/>
          </w:rPr>
          <w:t>eke@aelaw.com</w:t>
        </w:r>
      </w:hyperlink>
    </w:p>
    <w:p>
      <w:pPr>
        <w:pStyle w:val="Normal"/>
        <w:jc w:val="end"/>
        <w:rPr>
          <w:rFonts w:ascii="Arial" w:hAnsi="Arial" w:cs="Arial"/>
        </w:rPr>
      </w:pPr>
      <w:hyperlink r:id="rId3">
        <w:r>
          <w:rPr>
            <w:rStyle w:val="Hyperlink"/>
            <w:rFonts w:cs="Arial" w:ascii="Arial" w:hAnsi="Arial"/>
          </w:rPr>
          <w:t>chj@aelaw.com</w:t>
        </w:r>
      </w:hyperlink>
    </w:p>
    <w:p>
      <w:pPr>
        <w:pStyle w:val="Normal"/>
        <w:tabs>
          <w:tab w:val="clear" w:pos="720"/>
          <w:tab w:val="left" w:pos="3960" w:leader="none"/>
          <w:tab w:val="right" w:pos="8460" w:leader="none"/>
        </w:tabs>
        <w:jc w:val="both"/>
        <w:rPr>
          <w:rFonts w:ascii="Arial" w:hAnsi="Arial" w:cs="Arial"/>
        </w:rPr>
      </w:pPr>
      <w:r>
        <w:rPr>
          <w:rFonts w:cs="Arial" w:ascii="Arial" w:hAnsi="Arial"/>
        </w:rPr>
      </w:r>
    </w:p>
    <w:p>
      <w:pPr>
        <w:pStyle w:val="Normal"/>
        <w:tabs>
          <w:tab w:val="clear" w:pos="720"/>
          <w:tab w:val="left" w:pos="3960" w:leader="none"/>
          <w:tab w:val="right" w:pos="9000" w:leader="none"/>
        </w:tabs>
        <w:ind w:start="4140" w:end="0"/>
        <w:jc w:val="end"/>
        <w:rPr>
          <w:rFonts w:ascii="Arial" w:hAnsi="Arial" w:cs="Arial"/>
        </w:rPr>
      </w:pPr>
      <w:r>
        <w:rPr>
          <w:rFonts w:cs="Arial" w:ascii="Arial" w:hAnsi="Arial"/>
        </w:rPr>
        <w:t>Attorneys for The Indicated Producers</w:t>
      </w:r>
    </w:p>
    <w:p>
      <w:pPr>
        <w:pStyle w:val="Normal"/>
        <w:tabs>
          <w:tab w:val="clear" w:pos="720"/>
          <w:tab w:val="left" w:pos="3960" w:leader="none"/>
          <w:tab w:val="right" w:pos="9000" w:leader="none"/>
        </w:tabs>
        <w:ind w:start="4140" w:end="0"/>
        <w:jc w:val="end"/>
        <w:rPr>
          <w:rFonts w:ascii="Arial" w:hAnsi="Arial" w:cs="Arial"/>
        </w:rPr>
      </w:pPr>
      <w:r>
        <w:rPr>
          <w:rFonts w:cs="Arial" w:ascii="Arial" w:hAnsi="Arial"/>
        </w:rPr>
      </w:r>
    </w:p>
    <w:p>
      <w:pPr>
        <w:pStyle w:val="Normal"/>
        <w:tabs>
          <w:tab w:val="clear" w:pos="720"/>
          <w:tab w:val="left" w:pos="3960" w:leader="none"/>
          <w:tab w:val="right" w:pos="9000" w:leader="none"/>
        </w:tabs>
        <w:ind w:hanging="4140" w:start="4140" w:end="0"/>
        <w:rPr>
          <w:rFonts w:ascii="Arial" w:hAnsi="Arial" w:cs="Arial"/>
        </w:rPr>
      </w:pPr>
      <w:r>
        <w:rPr>
          <w:rFonts w:cs="Arial" w:ascii="Arial" w:hAnsi="Arial"/>
        </w:rPr>
      </w:r>
    </w:p>
    <w:p>
      <w:pPr>
        <w:sectPr>
          <w:footerReference w:type="default" r:id="rId4"/>
          <w:type w:val="nextPage"/>
          <w:pgSz w:w="12240" w:h="15840"/>
          <w:pgMar w:left="1440" w:right="1440" w:gutter="0" w:header="0" w:top="1440" w:footer="720" w:bottom="1440"/>
          <w:pgNumType w:fmt="lowerRoman"/>
          <w:formProt w:val="false"/>
          <w:textDirection w:val="lrTb"/>
          <w:docGrid w:type="default" w:linePitch="360" w:charSpace="0"/>
        </w:sectPr>
        <w:pStyle w:val="Normal"/>
        <w:rPr>
          <w:rFonts w:ascii="Arial" w:hAnsi="Arial" w:cs="Arial"/>
        </w:rPr>
      </w:pPr>
      <w:r>
        <w:rPr>
          <w:rFonts w:cs="Arial" w:ascii="Arial" w:hAnsi="Arial"/>
        </w:rPr>
        <w:t>Dated:  July 31,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1440" w:end="0"/>
        <w:rPr>
          <w:rFonts w:ascii="Arial" w:hAnsi="Arial" w:cs="Arial"/>
          <w:b/>
        </w:rPr>
      </w:pPr>
      <w:r>
        <w:rPr>
          <w:rFonts w:cs="Arial" w:ascii="Arial" w:hAnsi="Arial"/>
          <w:b/>
        </w:rPr>
        <w:t>BEFORE THE PUBLIC UTILITIES COMMISSION</w:t>
      </w:r>
    </w:p>
    <w:p>
      <w:pPr>
        <w:pStyle w:val="Subtitle"/>
        <w:rPr>
          <w:rFonts w:cs="Arial"/>
        </w:rPr>
      </w:pPr>
      <w:r>
        <w:rPr>
          <w:rFonts w:cs="Arial"/>
        </w:rPr>
        <w:t>OF THE STATE OF CALIFORNIA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5058"/>
        <w:gridCol w:w="3798"/>
      </w:tblGrid>
      <w:tr>
        <w:trPr/>
        <w:tc>
          <w:tcPr>
            <w:tcW w:w="505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798" w:type="dxa"/>
            <w:tcBorders>
              <w:start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I.99-07-003</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REPLY BRIEF OF THE INDICATED PRODUCERS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rPr/>
      </w:pPr>
      <w:r>
        <w:rPr/>
        <w:t xml:space="preserve">I.  </w:t>
        <w:tab/>
        <w:t>INTRODUCTION</w:t>
      </w:r>
    </w:p>
    <w:p>
      <w:pPr>
        <w:pStyle w:val="Normal"/>
        <w:rPr>
          <w:rFonts w:ascii="Arial" w:hAnsi="Arial" w:cs="Arial"/>
        </w:rPr>
      </w:pPr>
      <w:r>
        <w:rPr>
          <w:rFonts w:cs="Arial" w:ascii="Arial" w:hAnsi="Arial"/>
        </w:rPr>
      </w:r>
    </w:p>
    <w:p>
      <w:pPr>
        <w:pStyle w:val="BodyTextIndent2"/>
        <w:rPr/>
      </w:pPr>
      <w:r>
        <w:rPr/>
        <w:t xml:space="preserve">Pursuant to Rule 75 of the Rules of Practice and Procedure of the California Public Utilities Commission (“CPUC” or “Commission”), the Indicated Producers submit this Reply Brief in the above-captioned proceeding.  In particular, this Brief responds to assertions contained in the Opening Brief of the Southern California Generation Coalition (“SCGC”) relating to the potential of third party manipulation of receipt point capacity under the Comprehensive Settlement (“CS”) filed in this proceeding.  The Indicated Producers rely on the evidence and testimony presented in this proceeding to maintain that the CS enables customers to obtain capacity or their peak gas supplies through numerous mechanisms in a market designed to promote liquidity.  </w:t>
      </w:r>
    </w:p>
    <w:p>
      <w:pPr>
        <w:pStyle w:val="Heading1"/>
        <w:rPr/>
      </w:pPr>
      <w:r>
        <w:rPr/>
      </w:r>
    </w:p>
    <w:p>
      <w:pPr>
        <w:pStyle w:val="Heading1"/>
        <w:rPr/>
      </w:pPr>
      <w:r>
        <w:rPr/>
        <w:t>II.</w:t>
        <w:tab/>
        <w:t>DISCUSSION</w:t>
      </w:r>
    </w:p>
    <w:p>
      <w:pPr>
        <w:pStyle w:val="Normal"/>
        <w:rPr/>
      </w:pPr>
      <w:r>
        <w:rPr/>
      </w:r>
    </w:p>
    <w:p>
      <w:pPr>
        <w:pStyle w:val="BodyText"/>
        <w:ind w:firstLine="720" w:end="0"/>
        <w:rPr/>
      </w:pPr>
      <w:r>
        <w:rPr>
          <w:b w:val="false"/>
          <w:bCs/>
        </w:rPr>
        <w:t>SCGC expresses concern for the potential ability of third parties to manipulate bottleneck capacity in order to drive up both capacity prices and downstream citygate gas prices.  (Opening Brief of SCGC, July 10, 2000, p. 27.)  SCGC then proceeds to rebut the alleged argument of CS supporters that interruptible capacity and the forty percent market concentration limit will suffice to prevent third party control over bottleneck facilities.  (</w:t>
      </w:r>
      <w:r>
        <w:rPr>
          <w:b w:val="false"/>
          <w:bCs/>
          <w:i/>
          <w:iCs/>
        </w:rPr>
        <w:t>Id.</w:t>
      </w:r>
      <w:r>
        <w:rPr>
          <w:b w:val="false"/>
          <w:bCs/>
        </w:rPr>
        <w:t>)  It is true that under the CS SoCalGas is not required to sell on an interruptible basis firm capacity that is not nominated by the capacity holder in a timely manner.  SCGC, however, ignores the built-in incentive that SoCalGas has in selling firm capacity in the interruptible market.  (CS, Ex. 1, §1.1.3.7.)</w:t>
      </w:r>
    </w:p>
    <w:p>
      <w:pPr>
        <w:pStyle w:val="TOAHeading"/>
        <w:spacing w:lineRule="auto" w:line="480" w:before="0" w:after="0"/>
        <w:rPr/>
      </w:pPr>
      <w:r>
        <w:rPr>
          <w:rFonts w:cs="Arial"/>
          <w:b w:val="false"/>
          <w:bCs w:val="false"/>
        </w:rPr>
        <w:tab/>
        <w:t>SCGC also characterizes the forty percent market concentration limit as an ineffective and easily thwarted attempt to limit market concentration.  (Opening Brief of SCGC, at pp. 29-31.)  The forty percent market concentration limit is a term of the CS that was agreed upon by CS signatories as part of the settlement process.  Indeed, SCGC admits that the forty percent market concentration limit is an improvement upon the Gas Accord, in that the Gas Accord contained no market concentration limits.  (SCGC/Yap, Tr. vol. 2, p. 216:7-14.)  SCGC testified that, although there are no market concentration limits or other market concentration controls in the Gas Accord, they are unable to cite “any specific evidence that there has been any anticompetitive behavior on the PG&amp;E system [or at the citygate].”  (</w:t>
      </w:r>
      <w:r>
        <w:rPr>
          <w:rFonts w:cs="Arial"/>
          <w:b w:val="false"/>
          <w:bCs w:val="false"/>
          <w:i/>
          <w:iCs/>
        </w:rPr>
        <w:t>Id.</w:t>
      </w:r>
      <w:r>
        <w:rPr>
          <w:rFonts w:cs="Arial"/>
          <w:b w:val="false"/>
          <w:bCs w:val="false"/>
        </w:rPr>
        <w:t>, at p. 216:26-27.)  And even though the forty percent market concentration limit does not apply to open seasons beyond the initial Open Season, even SCGC admits that customers have numerous options under which to purchase backbone receipt point capacity and sufficient gas supplies.  (</w:t>
      </w:r>
      <w:r>
        <w:rPr>
          <w:rFonts w:cs="Arial"/>
          <w:b w:val="false"/>
          <w:bCs w:val="false"/>
          <w:i/>
          <w:iCs/>
        </w:rPr>
        <w:t>Id.</w:t>
      </w:r>
      <w:r>
        <w:rPr>
          <w:rFonts w:cs="Arial"/>
          <w:b w:val="false"/>
          <w:bCs w:val="false"/>
        </w:rPr>
        <w:t xml:space="preserve">, at pp. 218:13 – 225:15.)    </w:t>
      </w:r>
    </w:p>
    <w:p>
      <w:pPr>
        <w:pStyle w:val="BodyTextIndent2"/>
        <w:rPr/>
      </w:pPr>
      <w:r>
        <w:rPr/>
        <w:t>SCGC next argues that the Open Seasons procedures of the CS would prevent noncore customers from obtaining the capacity sufficient to meet their peak requirements.  (Opening Brief of SCGC, at pp. 31-42.)  This argument, however, is shortsighted.  It fails to look beyond but half of the numerous options under which customers may obtain capacity on the SoCalGas backbone transmission system or to meet seasonal peak requirements for gas.  SCGC cites in its Opening Brief the open season process, the interruptible market, and the secondary market as inadequate sources from which to purchase backbone capacity.  (</w:t>
      </w:r>
      <w:r>
        <w:rPr>
          <w:i/>
          <w:iCs/>
        </w:rPr>
        <w:t>Id.</w:t>
      </w:r>
      <w:r>
        <w:rPr/>
        <w:t xml:space="preserve">)  But SCGC forgot to include other options that itself conceded were available to noncore customers under the CS.  Testifying for SCGC, Ms. Yap stated that in addition to the open season process, the interruptible market, and the secondary market, EG customers can also meet their firm peaking requirements by obtaining gas supplies at the citygate, through third party balancing, or by arranging for storage.  (SCGC/Yap, Tr. vol. 2, pp. 218:13 – 226:15.)  The drafters of the CS viewed these options as part of an integrated system of options.  They did not view each option as discrete and mutually exclusive of each other.  Rather, theese options were designed to supplement each other and contribute to overall liquidity.  </w:t>
      </w:r>
    </w:p>
    <w:p>
      <w:pPr>
        <w:pStyle w:val="Heading1"/>
        <w:rPr/>
      </w:pPr>
      <w:r>
        <w:rPr/>
      </w:r>
      <w:r>
        <w:br w:type="page"/>
      </w:r>
    </w:p>
    <w:p>
      <w:pPr>
        <w:pStyle w:val="Heading1"/>
        <w:rPr/>
      </w:pPr>
      <w:r>
        <w:rPr/>
        <w:t>III.</w:t>
        <w:tab/>
        <w:t>CONCLUSION</w:t>
      </w:r>
    </w:p>
    <w:p>
      <w:pPr>
        <w:pStyle w:val="Normal"/>
        <w:rPr/>
      </w:pPr>
      <w:r>
        <w:rPr/>
      </w:r>
    </w:p>
    <w:p>
      <w:pPr>
        <w:pStyle w:val="Normal"/>
        <w:spacing w:lineRule="auto" w:line="480"/>
        <w:ind w:firstLine="720" w:end="0"/>
        <w:rPr>
          <w:rFonts w:ascii="Arial" w:hAnsi="Arial" w:cs="Arial"/>
        </w:rPr>
      </w:pPr>
      <w:r>
        <w:rPr>
          <w:rFonts w:cs="Arial" w:ascii="Arial" w:hAnsi="Arial"/>
        </w:rPr>
        <w:t xml:space="preserve">For the reasons stated above and in its Opening Brief of July 10, 2000, the Indicated Producers respectfully urge the Commission to consider as a whole the whole range of options under the Comprehensive Settlement that suffice to enable individual noncore customers to meet their respective peak receipt point intrastate capacity requirements throughout the year.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Pleading"/>
        <w:numPr>
          <w:ilvl w:val="0"/>
          <w:numId w:val="0"/>
        </w:numPr>
        <w:ind w:hanging="0" w:start="0"/>
        <w:rPr>
          <w:rFonts w:cs="Arial"/>
        </w:rPr>
      </w:pPr>
      <w:r>
        <w:rPr>
          <w:rFonts w:cs="Arial"/>
        </w:rPr>
        <w:t>Submitted by:</w:t>
      </w:r>
    </w:p>
    <w:p>
      <w:pPr>
        <w:pStyle w:val="Pleading"/>
        <w:numPr>
          <w:ilvl w:val="0"/>
          <w:numId w:val="0"/>
        </w:numPr>
        <w:ind w:hanging="0" w:start="720" w:end="0"/>
        <w:rPr>
          <w:rFonts w:cs="Arial"/>
        </w:rPr>
      </w:pPr>
      <w:r>
        <w:rPr>
          <w:rFonts w:cs="Arial"/>
        </w:rPr>
      </w:r>
    </w:p>
    <w:p>
      <w:pPr>
        <w:pStyle w:val="Pleading"/>
        <w:numPr>
          <w:ilvl w:val="0"/>
          <w:numId w:val="0"/>
        </w:numPr>
        <w:ind w:hanging="0" w:start="720" w:end="0"/>
        <w:rPr>
          <w:rFonts w:cs="Arial"/>
        </w:rPr>
      </w:pPr>
      <w:r>
        <w:rPr>
          <w:rFonts w:cs="Arial"/>
        </w:rPr>
      </w:r>
    </w:p>
    <w:p>
      <w:pPr>
        <w:pStyle w:val="Pleading"/>
        <w:numPr>
          <w:ilvl w:val="0"/>
          <w:numId w:val="0"/>
        </w:numPr>
        <w:ind w:hanging="0" w:start="720" w:end="0"/>
        <w:rPr/>
      </w:pPr>
      <w:r>
        <w:rPr>
          <w:rFonts w:cs="Arial"/>
        </w:rPr>
        <w:tab/>
        <w:tab/>
        <w:tab/>
        <w:tab/>
        <w:tab/>
      </w:r>
      <w:r>
        <w:rPr>
          <w:rFonts w:cs="Arial"/>
          <w:b/>
        </w:rPr>
        <w:t>Alcantar &amp; Elsesser, LLP</w:t>
      </w:r>
    </w:p>
    <w:p>
      <w:pPr>
        <w:pStyle w:val="Pleading"/>
        <w:numPr>
          <w:ilvl w:val="0"/>
          <w:numId w:val="0"/>
        </w:numPr>
        <w:ind w:hanging="0" w:start="720" w:end="0"/>
        <w:jc w:val="end"/>
        <w:rPr>
          <w:rFonts w:cs="Arial"/>
          <w:b/>
        </w:rPr>
      </w:pPr>
      <w:r>
        <w:rPr>
          <w:rFonts w:cs="Arial"/>
          <w:b/>
        </w:rPr>
      </w:r>
    </w:p>
    <w:p>
      <w:pPr>
        <w:pStyle w:val="Pleading"/>
        <w:numPr>
          <w:ilvl w:val="0"/>
          <w:numId w:val="0"/>
        </w:numPr>
        <w:ind w:hanging="0" w:start="720" w:end="0"/>
        <w:jc w:val="end"/>
        <w:rPr>
          <w:rFonts w:cs="Arial"/>
        </w:rPr>
      </w:pPr>
      <w:r>
        <w:rPr>
          <w:rFonts w:cs="Arial"/>
        </w:rPr>
      </w:r>
    </w:p>
    <w:p>
      <w:pPr>
        <w:pStyle w:val="Pleading"/>
        <w:numPr>
          <w:ilvl w:val="0"/>
          <w:numId w:val="0"/>
        </w:numPr>
        <w:ind w:firstLine="720" w:start="3600" w:end="0"/>
        <w:rPr>
          <w:rFonts w:cs="Arial"/>
        </w:rPr>
      </w:pPr>
      <w:r>
        <w:rPr>
          <w:rFonts w:cs="Arial"/>
        </w:rPr>
        <w:t>________________________________</w:t>
      </w:r>
    </w:p>
    <w:p>
      <w:pPr>
        <w:pStyle w:val="Pleading"/>
        <w:numPr>
          <w:ilvl w:val="0"/>
          <w:numId w:val="0"/>
        </w:numPr>
        <w:ind w:firstLine="720" w:start="3600" w:end="0"/>
        <w:rPr>
          <w:rFonts w:cs="Arial"/>
        </w:rPr>
      </w:pPr>
      <w:r>
        <w:rPr>
          <w:rFonts w:cs="Arial"/>
        </w:rPr>
        <w:t xml:space="preserve">Evelyn Kahl Elsesser </w:t>
      </w:r>
    </w:p>
    <w:p>
      <w:pPr>
        <w:pStyle w:val="Pleading"/>
        <w:numPr>
          <w:ilvl w:val="0"/>
          <w:numId w:val="0"/>
        </w:numPr>
        <w:ind w:firstLine="720" w:start="3600" w:end="0"/>
        <w:rPr>
          <w:rFonts w:cs="Arial"/>
        </w:rPr>
      </w:pPr>
      <w:r>
        <w:rPr>
          <w:rFonts w:cs="Arial"/>
        </w:rPr>
        <w:t>Christine H. Jun</w:t>
      </w:r>
    </w:p>
    <w:p>
      <w:pPr>
        <w:pStyle w:val="Pleading"/>
        <w:numPr>
          <w:ilvl w:val="0"/>
          <w:numId w:val="0"/>
        </w:numPr>
        <w:ind w:firstLine="720" w:start="3600" w:end="0"/>
        <w:rPr>
          <w:rFonts w:cs="Arial"/>
        </w:rPr>
      </w:pPr>
      <w:r>
        <w:rPr>
          <w:rFonts w:cs="Arial"/>
        </w:rPr>
        <w:t>Attorneys for Indicated Producers</w:t>
      </w:r>
    </w:p>
    <w:p>
      <w:pPr>
        <w:pStyle w:val="Pleading"/>
        <w:numPr>
          <w:ilvl w:val="0"/>
          <w:numId w:val="0"/>
        </w:numPr>
        <w:ind w:firstLine="720" w:start="3600" w:end="0"/>
        <w:rPr>
          <w:rFonts w:cs="Arial"/>
        </w:rPr>
      </w:pPr>
      <w:r>
        <w:rPr>
          <w:rFonts w:cs="Arial"/>
        </w:rPr>
      </w:r>
    </w:p>
    <w:p>
      <w:pPr>
        <w:pStyle w:val="Normal"/>
        <w:ind w:firstLine="720" w:start="3600" w:end="0"/>
        <w:rPr>
          <w:rFonts w:ascii="Arial" w:hAnsi="Arial" w:cs="Arial"/>
        </w:rPr>
      </w:pPr>
      <w:r>
        <w:rPr>
          <w:rFonts w:cs="Arial" w:ascii="Arial" w:hAnsi="Arial"/>
        </w:rPr>
        <w:t>One Embarcadero Center Suite 2420</w:t>
      </w:r>
    </w:p>
    <w:p>
      <w:pPr>
        <w:pStyle w:val="Normal"/>
        <w:ind w:firstLine="720" w:start="3600" w:end="0"/>
        <w:rPr>
          <w:rFonts w:ascii="Arial" w:hAnsi="Arial" w:cs="Arial"/>
        </w:rPr>
      </w:pPr>
      <w:r>
        <w:rPr>
          <w:rFonts w:cs="Arial" w:ascii="Arial" w:hAnsi="Arial"/>
        </w:rPr>
        <w:t>San Francisco California  94111</w:t>
      </w:r>
    </w:p>
    <w:p>
      <w:pPr>
        <w:pStyle w:val="Normal"/>
        <w:ind w:firstLine="720" w:start="3600" w:end="0"/>
        <w:rPr>
          <w:rFonts w:ascii="Arial" w:hAnsi="Arial" w:cs="Arial"/>
        </w:rPr>
      </w:pPr>
      <w:r>
        <w:rPr>
          <w:rFonts w:cs="Arial" w:ascii="Arial" w:hAnsi="Arial"/>
        </w:rPr>
        <w:t>415.421.4143 – office</w:t>
      </w:r>
    </w:p>
    <w:p>
      <w:pPr>
        <w:pStyle w:val="Normal"/>
        <w:ind w:firstLine="720" w:start="3600" w:end="0"/>
        <w:rPr>
          <w:rFonts w:ascii="Arial" w:hAnsi="Arial" w:cs="Arial"/>
        </w:rPr>
      </w:pPr>
      <w:r>
        <w:rPr>
          <w:rFonts w:cs="Arial" w:ascii="Arial" w:hAnsi="Arial"/>
        </w:rPr>
        <w:t>415.989.1263 – fax</w:t>
      </w:r>
    </w:p>
    <w:p>
      <w:pPr>
        <w:pStyle w:val="Pleading"/>
        <w:numPr>
          <w:ilvl w:val="0"/>
          <w:numId w:val="0"/>
        </w:numPr>
        <w:ind w:firstLine="720" w:start="3600" w:end="0"/>
        <w:rPr>
          <w:rFonts w:cs="Arial"/>
        </w:rPr>
      </w:pPr>
      <w:hyperlink r:id="rId5">
        <w:r>
          <w:rPr>
            <w:rStyle w:val="Hyperlink"/>
            <w:rFonts w:cs="Arial"/>
          </w:rPr>
          <w:t>eke@aelaw.com</w:t>
        </w:r>
      </w:hyperlink>
    </w:p>
    <w:p>
      <w:pPr>
        <w:pStyle w:val="Pleading"/>
        <w:numPr>
          <w:ilvl w:val="0"/>
          <w:numId w:val="0"/>
        </w:numPr>
        <w:ind w:firstLine="720" w:start="3600" w:end="0"/>
        <w:rPr>
          <w:rFonts w:cs="Arial"/>
        </w:rPr>
      </w:pPr>
      <w:hyperlink r:id="rId6">
        <w:r>
          <w:rPr>
            <w:rStyle w:val="Hyperlink"/>
            <w:rFonts w:cs="Arial"/>
          </w:rPr>
          <w:t>chj@aelaw.com</w:t>
        </w:r>
      </w:hyperlink>
    </w:p>
    <w:p>
      <w:pPr>
        <w:pStyle w:val="Pleading"/>
        <w:numPr>
          <w:ilvl w:val="0"/>
          <w:numId w:val="0"/>
        </w:numPr>
        <w:ind w:firstLine="720" w:start="3600" w:end="0"/>
        <w:rPr>
          <w:rFonts w:cs="Arial"/>
        </w:rPr>
      </w:pPr>
      <w:r>
        <w:rPr>
          <w:rFonts w:cs="Arial"/>
        </w:rPr>
      </w:r>
    </w:p>
    <w:p>
      <w:pPr>
        <w:pStyle w:val="Pleading"/>
        <w:numPr>
          <w:ilvl w:val="0"/>
          <w:numId w:val="0"/>
        </w:numPr>
        <w:ind w:firstLine="720" w:start="3600" w:end="0"/>
        <w:rPr>
          <w:rFonts w:cs="Arial"/>
        </w:rPr>
      </w:pPr>
      <w:r>
        <w:rPr>
          <w:rFonts w:cs="Arial"/>
        </w:rPr>
      </w:r>
    </w:p>
    <w:p>
      <w:pPr>
        <w:pStyle w:val="Normal"/>
        <w:rPr>
          <w:rFonts w:ascii="Arial" w:hAnsi="Arial" w:cs="Arial"/>
        </w:rPr>
      </w:pPr>
      <w:r>
        <w:rPr>
          <w:rFonts w:cs="Arial" w:ascii="Arial" w:hAnsi="Arial"/>
        </w:rPr>
        <w:t>July 31, 2000</w:t>
      </w:r>
    </w:p>
    <w:p>
      <w:pPr>
        <w:pStyle w:val="Normal"/>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r>
    </w:p>
    <w:sectPr>
      <w:footerReference w:type="default" r:id="rId7"/>
      <w:footerReference w:type="first" r:id="rId8"/>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jc w:val="center"/>
                            <w:rPr>
                              <w:rStyle w:val="PageNumber"/>
                              <w:rFonts w:ascii="Arial" w:hAnsi="Arial" w:cs="Arial"/>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jc w:val="center"/>
                      <w:rPr>
                        <w:rStyle w:val="PageNumber"/>
                        <w:rFonts w:ascii="Arial" w:hAnsi="Arial" w:cs="Arial"/>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486400" cy="525780"/>
              <wp:effectExtent l="0" t="0" r="0" b="0"/>
              <wp:wrapSquare wrapText="bothSides"/>
              <wp:docPr id="2" name="Frame2"/>
              <a:graphic xmlns:a="http://schemas.openxmlformats.org/drawingml/2006/main">
                <a:graphicData uri="http://schemas.microsoft.com/office/word/2010/wordprocessingShape">
                  <wps:wsp>
                    <wps:cNvSpPr txBox="1"/>
                    <wps:spPr>
                      <a:xfrm>
                        <a:off x="0" y="0"/>
                        <a:ext cx="5486400" cy="525780"/>
                      </a:xfrm>
                      <a:prstGeom prst="rect"/>
                      <a:solidFill>
                        <a:srgbClr val="FFFFFF">
                          <a:alpha val="0"/>
                        </a:srgbClr>
                      </a:solidFill>
                    </wps:spPr>
                    <wps:txbx>
                      <w:txbxContent>
                        <w:p>
                          <w:pPr>
                            <w:pStyle w:val="Footer"/>
                            <w:jc w:val="cen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p>
                          <w:pPr>
                            <w:pStyle w:val="Footer"/>
                            <w:rPr>
                              <w:rStyle w:val="PageNumber"/>
                              <w:rFonts w:ascii="Arial" w:hAnsi="Arial" w:cs="Arial"/>
                            </w:rPr>
                          </w:pPr>
                          <w:r>
                            <w:rPr/>
                          </w:r>
                        </w:p>
                        <w:p>
                          <w:pPr>
                            <w:pStyle w:val="Footer"/>
                            <w:rPr>
                              <w:rStyle w:val="PageNumber"/>
                              <w:rFonts w:ascii="Arial" w:hAnsi="Arial" w:cs="Arial"/>
                            </w:rPr>
                          </w:pPr>
                          <w:r>
                            <w:rPr/>
                          </w:r>
                        </w:p>
                      </w:txbxContent>
                    </wps:txbx>
                    <wps:bodyPr anchor="t" lIns="0" tIns="0" rIns="0" bIns="0">
                      <a:noAutofit/>
                    </wps:bodyPr>
                  </wps:wsp>
                </a:graphicData>
              </a:graphic>
            </wp:anchor>
          </w:drawing>
        </mc:Choice>
        <mc:Fallback>
          <w:pict>
            <v:rect fillcolor="#FFFFFF" style="position:absolute;rotation:-0;width:432pt;height:41.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p>
                    <w:pPr>
                      <w:pStyle w:val="Footer"/>
                      <w:rPr>
                        <w:rStyle w:val="PageNumber"/>
                        <w:rFonts w:ascii="Arial" w:hAnsi="Arial" w:cs="Arial"/>
                      </w:rPr>
                    </w:pPr>
                    <w:r>
                      <w:rPr/>
                    </w:r>
                  </w:p>
                  <w:p>
                    <w:pPr>
                      <w:pStyle w:val="Footer"/>
                      <w:rPr>
                        <w:rStyle w:val="PageNumber"/>
                        <w:rFonts w:ascii="Arial" w:hAnsi="Arial" w:cs="Arial"/>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 w:hAnsi="Arial" w:cs="Arial"/>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504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480"/>
        </w:tabs>
        <w:ind w:start="5760" w:hanging="0"/>
      </w:pPr>
      <w:rPr/>
    </w:lvl>
  </w:abstractNum>
  <w:abstractNum w:abstractNumId="2">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 w:hAnsi="Arial" w:cs="Arial"/>
      </w:rPr>
    </w:lvl>
    <w:lvl w:ilvl="1">
      <w:start w:val="1"/>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numFmt w:val="lowerLetter"/>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504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480"/>
        </w:tabs>
        <w:ind w:start="5760" w:hanging="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outlineLvl w:val="0"/>
    </w:pPr>
    <w:rPr>
      <w:rFonts w:ascii="Arial" w:hAnsi="Arial" w:cs="Arial"/>
      <w:b/>
      <w:bC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Arial" w:hAnsi="Arial" w:cs="Arial"/>
      <w:b/>
      <w:i w:val="false"/>
      <w:caps w:val="false"/>
      <w:smallCaps w:val="false"/>
      <w:strike w:val="false"/>
      <w:dstrike w:val="false"/>
      <w:outline w:val="false"/>
      <w:shadow w:val="false"/>
      <w:vanish w:val="false"/>
      <w:position w:val="0"/>
      <w:sz w:val="24"/>
      <w:sz w:val="24"/>
      <w:vertAlign w:val="baseline"/>
    </w:rPr>
  </w:style>
  <w:style w:type="character" w:styleId="WW8Num14z1">
    <w:name w:val="WW8Num14z1"/>
    <w:qFormat/>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Cs w:val="20"/>
    </w:rPr>
  </w:style>
  <w:style w:type="paragraph" w:styleId="BodyText">
    <w:name w:val="Body Text"/>
    <w:basedOn w:val="Normal"/>
    <w:pPr>
      <w:spacing w:lineRule="auto" w:line="480"/>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Subtitle">
    <w:name w:val="Subtitle"/>
    <w:basedOn w:val="Normal"/>
    <w:next w:val="BodyText"/>
    <w:qFormat/>
    <w:pPr>
      <w:jc w:val="center"/>
    </w:pPr>
    <w:rPr>
      <w:rFonts w:ascii="Arial" w:hAnsi="Arial" w:cs="Arial"/>
      <w:b/>
      <w:szCs w:val="20"/>
    </w:rPr>
  </w:style>
  <w:style w:type="paragraph" w:styleId="Pleading">
    <w:name w:val="Pleading"/>
    <w:basedOn w:val="Normal"/>
    <w:qFormat/>
    <w:pPr>
      <w:numPr>
        <w:ilvl w:val="0"/>
        <w:numId w:val="2"/>
      </w:numPr>
    </w:pPr>
    <w:rPr>
      <w:rFonts w:ascii="Arial" w:hAnsi="Arial" w:cs="Arial"/>
    </w:rPr>
  </w:style>
  <w:style w:type="paragraph" w:styleId="BodyTextIndent">
    <w:name w:val="Body Text Indent"/>
    <w:basedOn w:val="Normal"/>
    <w:pPr>
      <w:ind w:hanging="720" w:start="1440" w:end="0"/>
    </w:pPr>
    <w:rPr>
      <w:rFonts w:ascii="Arial" w:hAnsi="Arial" w:cs="Arial"/>
      <w:b/>
      <w:bCs/>
    </w:rPr>
  </w:style>
  <w:style w:type="paragraph" w:styleId="BodyTextIndent2">
    <w:name w:val="Body Text Indent 2"/>
    <w:basedOn w:val="Normal"/>
    <w:qFormat/>
    <w:pPr>
      <w:spacing w:lineRule="auto" w:line="480"/>
      <w:ind w:firstLine="720" w:start="0" w:end="0"/>
    </w:pPr>
    <w:rPr>
      <w:rFonts w:ascii="Arial" w:hAnsi="Arial" w:cs="Arial"/>
    </w:rPr>
  </w:style>
  <w:style w:type="paragraph" w:styleId="BodyTextIndent3">
    <w:name w:val="Body Text Indent 3"/>
    <w:basedOn w:val="Normal"/>
    <w:qFormat/>
    <w:pPr>
      <w:spacing w:lineRule="auto" w:line="480"/>
      <w:ind w:firstLine="360" w:start="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jc w:val="both"/>
    </w:pPr>
    <w:rPr>
      <w:rFonts w:ascii="Arial" w:hAnsi="Arial" w:cs="Arial"/>
      <w:i/>
      <w:iCs/>
    </w:rPr>
  </w:style>
  <w:style w:type="paragraph" w:styleId="TOC2">
    <w:name w:val="toc 2"/>
    <w:basedOn w:val="Normal"/>
    <w:next w:val="Normal"/>
    <w:pPr>
      <w:ind w:hanging="0" w:start="240" w:end="0"/>
    </w:pPr>
    <w:rPr/>
  </w:style>
  <w:style w:type="paragraph" w:styleId="TOC1">
    <w:name w:val="toc 1"/>
    <w:basedOn w:val="Normal"/>
    <w:next w:val="Normal"/>
    <w:pPr/>
    <w:rPr/>
  </w:style>
  <w:style w:type="paragraph" w:styleId="TOC3">
    <w:name w:val="toc 3"/>
    <w:basedOn w:val="Normal"/>
    <w:next w:val="Normal"/>
    <w:pPr>
      <w:ind w:hanging="0" w:start="480" w:end="0"/>
    </w:pPr>
    <w:rPr>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ofAuthorities">
    <w:name w:val="Table of Authorities"/>
    <w:basedOn w:val="Normal"/>
    <w:next w:val="Normal"/>
    <w:qFormat/>
    <w:pPr>
      <w:ind w:hanging="240" w:start="240" w:end="0"/>
    </w:pPr>
    <w:rPr/>
  </w:style>
  <w:style w:type="paragraph" w:styleId="TOAHeading">
    <w:name w:val="TOA Heading"/>
    <w:basedOn w:val="Normal"/>
    <w:next w:val="Normal"/>
    <w:qFormat/>
    <w:pPr>
      <w:spacing w:before="120" w:after="0"/>
    </w:pPr>
    <w:rPr>
      <w:rFonts w:ascii="Arial" w:hAnsi="Arial" w:cs="Arial"/>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ke@aelaw.com" TargetMode="External"/><Relationship Id="rId3" Type="http://schemas.openxmlformats.org/officeDocument/2006/relationships/hyperlink" Target="mailto:chj@aelaw.com" TargetMode="External"/><Relationship Id="rId4" Type="http://schemas.openxmlformats.org/officeDocument/2006/relationships/footer" Target="footer1.xml"/><Relationship Id="rId5" Type="http://schemas.openxmlformats.org/officeDocument/2006/relationships/hyperlink" Target="mailto:eke@aelaw.com" TargetMode="External"/><Relationship Id="rId6" Type="http://schemas.openxmlformats.org/officeDocument/2006/relationships/hyperlink" Target="mailto:chj@aelaw.com"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2000-07-31T18:33:00Z</dcterms:created>
  <dc:creator>Valued Sony Customer</dc:creator>
  <dc:description/>
  <dc:language>en-CA</dc:language>
  <cp:lastModifiedBy>Valued Sony Customer</cp:lastModifiedBy>
  <cp:lastPrinted>2000-07-31T14:11:00Z</cp:lastPrinted>
  <dcterms:modified xsi:type="dcterms:W3CDTF">2000-07-31T18:42:00Z</dcterms:modified>
  <cp:revision>3</cp:revision>
  <dc:subject/>
  <dc:title>lkjh</dc:title>
</cp:coreProperties>
</file>