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eading"/>
        <w:numPr>
          <w:ilvl w:val="0"/>
          <w:numId w:val="0"/>
        </w:numPr>
        <w:ind w:hanging="0" w:start="0"/>
        <w:rPr>
          <w:rFonts w:cs="Arial"/>
        </w:rPr>
      </w:pPr>
      <w:r>
        <w:rPr>
          <w:rFonts w:cs="Arial"/>
        </w:rPr>
      </w:r>
    </w:p>
    <w:p>
      <w:pPr>
        <w:pStyle w:val="Heading"/>
        <w:rPr>
          <w:rFonts w:cs="Arial"/>
        </w:rPr>
      </w:pPr>
      <w:r>
        <w:rPr>
          <w:rFonts w:cs="Arial"/>
        </w:rPr>
        <w:t>BEFORE THE PUBLIC UTILITIES COMMISSION</w:t>
      </w:r>
    </w:p>
    <w:p>
      <w:pPr>
        <w:pStyle w:val="Subtitle"/>
        <w:rPr>
          <w:rFonts w:cs="Arial"/>
        </w:rPr>
      </w:pPr>
      <w:r>
        <w:rPr>
          <w:rFonts w:cs="Arial"/>
        </w:rPr>
        <w:t>OF THE STATE OF CALIFORNIA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8856" w:type="dxa"/>
        <w:jc w:val="start"/>
        <w:tblInd w:w="0" w:type="dxa"/>
        <w:tblLayout w:type="fixed"/>
        <w:tblCellMar>
          <w:top w:w="0" w:type="dxa"/>
          <w:start w:w="108" w:type="dxa"/>
          <w:bottom w:w="0" w:type="dxa"/>
          <w:end w:w="108" w:type="dxa"/>
        </w:tblCellMar>
      </w:tblPr>
      <w:tblGrid>
        <w:gridCol w:w="5058"/>
        <w:gridCol w:w="3798"/>
      </w:tblGrid>
      <w:tr>
        <w:trPr/>
        <w:tc>
          <w:tcPr>
            <w:tcW w:w="5058"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3798" w:type="dxa"/>
            <w:tcBorders>
              <w:start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I.99-07-003</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
        <w:rPr>
          <w:rFonts w:cs="Arial"/>
        </w:rPr>
      </w:pPr>
      <w:r>
        <w:rPr>
          <w:rFonts w:cs="Arial"/>
        </w:rPr>
        <w:t>OPENING BRIEF OF  THE INDICATED PRODUCERS</w:t>
      </w:r>
    </w:p>
    <w:p>
      <w:pPr>
        <w:pStyle w:val="Heading"/>
        <w:rPr>
          <w:rFonts w:cs="Arial"/>
        </w:rPr>
      </w:pPr>
      <w:r>
        <w:rPr>
          <w:rFonts w:cs="Arial"/>
        </w:rPr>
        <w:t xml:space="preserve">IN SUPPORT OF </w:t>
      </w:r>
    </w:p>
    <w:p>
      <w:pPr>
        <w:pStyle w:val="Heading"/>
        <w:rPr>
          <w:rFonts w:cs="Arial"/>
        </w:rPr>
      </w:pPr>
      <w:r>
        <w:rPr>
          <w:rFonts w:cs="Arial"/>
        </w:rPr>
        <w:t>THE COMPREHENSIVE GAS OII SETTLEMENT AGREEMENT</w:t>
      </w:r>
    </w:p>
    <w:p>
      <w:pPr>
        <w:pStyle w:val="Heading"/>
        <w:rPr>
          <w:rFonts w:cs="Arial"/>
        </w:rPr>
      </w:pPr>
      <w:r>
        <w:rPr>
          <w:rFonts w:cs="Arial"/>
        </w:rPr>
        <w:t>FOR SOUTHERN CALIFORNIA GAS COMPANY AND</w:t>
      </w:r>
    </w:p>
    <w:p>
      <w:pPr>
        <w:pStyle w:val="Heading"/>
        <w:rPr>
          <w:rFonts w:cs="Arial"/>
        </w:rPr>
      </w:pPr>
      <w:r>
        <w:rPr>
          <w:rFonts w:cs="Arial"/>
        </w:rPr>
        <w:t>SAN DIEGO GAS &amp; ELECTRIC COMPANY</w:t>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t>Evelyn Kahl Elsesser</w:t>
      </w:r>
    </w:p>
    <w:p>
      <w:pPr>
        <w:pStyle w:val="Normal"/>
        <w:jc w:val="end"/>
        <w:rPr>
          <w:rFonts w:ascii="Arial" w:hAnsi="Arial" w:cs="Arial"/>
        </w:rPr>
      </w:pPr>
      <w:r>
        <w:rPr>
          <w:rFonts w:cs="Arial" w:ascii="Arial" w:hAnsi="Arial"/>
        </w:rPr>
        <w:t>Christine H. Jun</w:t>
      </w:r>
    </w:p>
    <w:p>
      <w:pPr>
        <w:pStyle w:val="Normal"/>
        <w:jc w:val="end"/>
        <w:rPr>
          <w:rFonts w:ascii="Arial" w:hAnsi="Arial" w:cs="Arial"/>
        </w:rPr>
      </w:pPr>
      <w:r>
        <w:rPr>
          <w:rFonts w:cs="Arial" w:ascii="Arial" w:hAnsi="Arial"/>
        </w:rPr>
        <w:t>Alcantar &amp; Elsesser LLP</w:t>
      </w:r>
    </w:p>
    <w:p>
      <w:pPr>
        <w:pStyle w:val="Normal"/>
        <w:jc w:val="end"/>
        <w:rPr>
          <w:rFonts w:ascii="Arial" w:hAnsi="Arial" w:cs="Arial"/>
        </w:rPr>
      </w:pPr>
      <w:r>
        <w:rPr>
          <w:rFonts w:cs="Arial" w:ascii="Arial" w:hAnsi="Arial"/>
        </w:rPr>
        <w:t>One Embarcadero Center Suite 2420</w:t>
      </w:r>
    </w:p>
    <w:p>
      <w:pPr>
        <w:pStyle w:val="Normal"/>
        <w:jc w:val="end"/>
        <w:rPr>
          <w:rFonts w:ascii="Arial" w:hAnsi="Arial" w:cs="Arial"/>
        </w:rPr>
      </w:pPr>
      <w:r>
        <w:rPr>
          <w:rFonts w:cs="Arial" w:ascii="Arial" w:hAnsi="Arial"/>
        </w:rPr>
        <w:t>San Francisco California  94111</w:t>
      </w:r>
    </w:p>
    <w:p>
      <w:pPr>
        <w:pStyle w:val="Normal"/>
        <w:jc w:val="end"/>
        <w:rPr>
          <w:rFonts w:ascii="Arial" w:hAnsi="Arial" w:cs="Arial"/>
        </w:rPr>
      </w:pPr>
      <w:r>
        <w:rPr>
          <w:rFonts w:cs="Arial" w:ascii="Arial" w:hAnsi="Arial"/>
        </w:rPr>
        <w:t>415.421.4143 – office</w:t>
      </w:r>
    </w:p>
    <w:p>
      <w:pPr>
        <w:pStyle w:val="Normal"/>
        <w:jc w:val="end"/>
        <w:rPr>
          <w:rFonts w:ascii="Arial" w:hAnsi="Arial" w:cs="Arial"/>
        </w:rPr>
      </w:pPr>
      <w:r>
        <w:rPr>
          <w:rFonts w:cs="Arial" w:ascii="Arial" w:hAnsi="Arial"/>
        </w:rPr>
        <w:t>415.989.1263 – fax</w:t>
      </w:r>
    </w:p>
    <w:p>
      <w:pPr>
        <w:pStyle w:val="Normal"/>
        <w:jc w:val="end"/>
        <w:rPr>
          <w:rFonts w:ascii="Arial" w:hAnsi="Arial" w:cs="Arial"/>
        </w:rPr>
      </w:pPr>
      <w:hyperlink r:id="rId2">
        <w:r>
          <w:rPr>
            <w:rStyle w:val="Hyperlink"/>
            <w:rFonts w:cs="Arial" w:ascii="Arial" w:hAnsi="Arial"/>
          </w:rPr>
          <w:t>eke@aelaw.com</w:t>
        </w:r>
      </w:hyperlink>
    </w:p>
    <w:p>
      <w:pPr>
        <w:pStyle w:val="Normal"/>
        <w:jc w:val="end"/>
        <w:rPr>
          <w:rFonts w:ascii="Arial" w:hAnsi="Arial" w:cs="Arial"/>
        </w:rPr>
      </w:pPr>
      <w:hyperlink r:id="rId3">
        <w:r>
          <w:rPr>
            <w:rStyle w:val="Hyperlink"/>
            <w:rFonts w:cs="Arial" w:ascii="Arial" w:hAnsi="Arial"/>
          </w:rPr>
          <w:t>chj@aelaw.com</w:t>
        </w:r>
      </w:hyperlink>
    </w:p>
    <w:p>
      <w:pPr>
        <w:pStyle w:val="Normal"/>
        <w:tabs>
          <w:tab w:val="clear" w:pos="720"/>
          <w:tab w:val="left" w:pos="3960" w:leader="none"/>
          <w:tab w:val="right" w:pos="8460" w:leader="none"/>
        </w:tabs>
        <w:jc w:val="both"/>
        <w:rPr>
          <w:rFonts w:ascii="Arial" w:hAnsi="Arial" w:cs="Arial"/>
        </w:rPr>
      </w:pPr>
      <w:r>
        <w:rPr>
          <w:rFonts w:cs="Arial" w:ascii="Arial" w:hAnsi="Arial"/>
        </w:rPr>
      </w:r>
    </w:p>
    <w:p>
      <w:pPr>
        <w:pStyle w:val="Normal"/>
        <w:tabs>
          <w:tab w:val="clear" w:pos="720"/>
          <w:tab w:val="left" w:pos="3960" w:leader="none"/>
          <w:tab w:val="right" w:pos="9000" w:leader="none"/>
        </w:tabs>
        <w:ind w:start="4140" w:end="0"/>
        <w:jc w:val="end"/>
        <w:rPr>
          <w:rFonts w:ascii="Arial" w:hAnsi="Arial" w:cs="Arial"/>
        </w:rPr>
      </w:pPr>
      <w:r>
        <w:rPr>
          <w:rFonts w:cs="Arial" w:ascii="Arial" w:hAnsi="Arial"/>
        </w:rPr>
        <w:t>Attorneys for The Indicated Producers</w:t>
      </w:r>
    </w:p>
    <w:p>
      <w:pPr>
        <w:pStyle w:val="Normal"/>
        <w:tabs>
          <w:tab w:val="clear" w:pos="720"/>
          <w:tab w:val="left" w:pos="3960" w:leader="none"/>
          <w:tab w:val="right" w:pos="9000" w:leader="none"/>
        </w:tabs>
        <w:ind w:start="4140" w:end="0"/>
        <w:jc w:val="end"/>
        <w:rPr>
          <w:rFonts w:ascii="Arial" w:hAnsi="Arial" w:cs="Arial"/>
        </w:rPr>
      </w:pPr>
      <w:r>
        <w:rPr>
          <w:rFonts w:cs="Arial" w:ascii="Arial" w:hAnsi="Arial"/>
        </w:rPr>
      </w:r>
    </w:p>
    <w:p>
      <w:pPr>
        <w:pStyle w:val="Normal"/>
        <w:tabs>
          <w:tab w:val="clear" w:pos="720"/>
          <w:tab w:val="left" w:pos="3960" w:leader="none"/>
          <w:tab w:val="right" w:pos="9000" w:leader="none"/>
        </w:tabs>
        <w:ind w:hanging="4140" w:start="4140" w:end="0"/>
        <w:rPr>
          <w:rFonts w:ascii="Arial" w:hAnsi="Arial" w:cs="Arial"/>
        </w:rPr>
      </w:pPr>
      <w:r>
        <w:rPr>
          <w:rFonts w:cs="Arial" w:ascii="Arial" w:hAnsi="Arial"/>
        </w:rPr>
      </w:r>
    </w:p>
    <w:p>
      <w:pPr>
        <w:sectPr>
          <w:footerReference w:type="default" r:id="rId4"/>
          <w:type w:val="nextPage"/>
          <w:pgSz w:w="12240" w:h="15840"/>
          <w:pgMar w:left="1440" w:right="1440" w:gutter="0" w:header="0" w:top="1440" w:footer="720" w:bottom="1440"/>
          <w:pgNumType w:fmt="lowerRoman"/>
          <w:formProt w:val="false"/>
          <w:textDirection w:val="lrTb"/>
          <w:docGrid w:type="default" w:linePitch="360" w:charSpace="0"/>
        </w:sectPr>
        <w:pStyle w:val="Normal"/>
        <w:rPr>
          <w:rFonts w:ascii="Arial" w:hAnsi="Arial" w:cs="Arial"/>
        </w:rPr>
      </w:pPr>
      <w:r>
        <w:rPr>
          <w:rFonts w:cs="Arial" w:ascii="Arial" w:hAnsi="Arial"/>
        </w:rPr>
        <w:t>Dated:  July 10, 2000</w:t>
      </w:r>
    </w:p>
    <w:p>
      <w:pPr>
        <w:pStyle w:val="Normal"/>
        <w:rPr>
          <w:rFonts w:ascii="Arial" w:hAnsi="Arial" w:cs="Arial"/>
        </w:rPr>
      </w:pPr>
      <w:r>
        <w:rPr>
          <w:rFonts w:cs="Arial" w:ascii="Arial" w:hAnsi="Arial"/>
        </w:rPr>
      </w:r>
    </w:p>
    <w:p>
      <w:pPr>
        <w:pStyle w:val="Normal"/>
        <w:jc w:val="center"/>
        <w:rPr>
          <w:rFonts w:ascii="Arial" w:hAnsi="Arial" w:cs="Arial"/>
          <w:b/>
          <w:bCs/>
          <w:sz w:val="28"/>
        </w:rPr>
      </w:pPr>
      <w:r>
        <w:rPr>
          <w:rFonts w:cs="Arial" w:ascii="Arial" w:hAnsi="Arial"/>
          <w:b/>
          <w:bCs/>
          <w:sz w:val="28"/>
        </w:rPr>
        <w:t>Table of Contents</w:t>
      </w:r>
    </w:p>
    <w:p>
      <w:pPr>
        <w:pStyle w:val="Normal"/>
        <w:jc w:val="center"/>
        <w:rPr>
          <w:rFonts w:ascii="Arial" w:hAnsi="Arial" w:cs="Arial"/>
          <w:b/>
          <w:bCs/>
          <w:sz w:val="28"/>
        </w:rPr>
      </w:pPr>
      <w:r>
        <w:rPr>
          <w:rFonts w:cs="Arial" w:ascii="Arial" w:hAnsi="Arial"/>
          <w:b/>
          <w:bCs/>
          <w:sz w:val="28"/>
        </w:rPr>
      </w:r>
    </w:p>
    <w:sdt>
      <w:sdtPr>
        <w:docPartObj>
          <w:docPartGallery w:val="Table of Contents"/>
          <w:docPartUnique w:val="true"/>
        </w:docPartObj>
      </w:sdtPr>
      <w:sdtContent>
        <w:p>
          <w:pPr>
            <w:pStyle w:val="TOC1"/>
            <w:tabs>
              <w:tab w:val="clear" w:pos="720"/>
              <w:tab w:val="right" w:pos="9350" w:leader="dot"/>
            </w:tabs>
            <w:rPr>
              <w:lang w:val="en-CA" w:eastAsia="en-CA"/>
            </w:rPr>
          </w:pPr>
          <w:r>
            <w:fldChar w:fldCharType="begin"/>
          </w:r>
          <w:r>
            <w:rPr>
              <w:rStyle w:val="IndexLink"/>
              <w:rFonts w:cs="Arial"/>
              <w:lang w:val="en-CA" w:eastAsia="en-CA"/>
            </w:rPr>
            <w:instrText xml:space="preserve"> TOC \o "1-3" \h \z </w:instrText>
          </w:r>
          <w:r>
            <w:rPr>
              <w:rStyle w:val="IndexLink"/>
              <w:rFonts w:cs="Arial"/>
              <w:lang w:val="en-CA" w:eastAsia="en-CA"/>
            </w:rPr>
            <w:fldChar w:fldCharType="separate"/>
          </w:r>
          <w:hyperlink w:anchor="__RefHeading___Toc487877577">
            <w:r>
              <w:rPr>
                <w:rStyle w:val="IndexLink"/>
                <w:rFonts w:cs="Arial"/>
                <w:lang w:val="en-CA" w:eastAsia="en-CA"/>
              </w:rPr>
              <w:t>Commission Decisions</w:t>
              <w:tab/>
              <w:t>ii</w:t>
            </w:r>
          </w:hyperlink>
        </w:p>
        <w:p>
          <w:pPr>
            <w:pStyle w:val="TOC1"/>
            <w:tabs>
              <w:tab w:val="clear" w:pos="720"/>
              <w:tab w:val="right" w:pos="9350" w:leader="dot"/>
            </w:tabs>
            <w:rPr>
              <w:lang w:val="en-CA" w:eastAsia="en-CA"/>
            </w:rPr>
          </w:pPr>
          <w:hyperlink w:anchor="__RefHeading___Toc487877578">
            <w:r>
              <w:rPr>
                <w:rStyle w:val="IndexLink"/>
                <w:lang w:val="en-CA" w:eastAsia="en-CA"/>
              </w:rPr>
              <w:t>Statutes</w:t>
              <w:tab/>
              <w:t>ii</w:t>
            </w:r>
          </w:hyperlink>
        </w:p>
        <w:p>
          <w:pPr>
            <w:pStyle w:val="TOC1"/>
            <w:tabs>
              <w:tab w:val="left" w:pos="720" w:leader="none"/>
              <w:tab w:val="right" w:pos="9350" w:leader="dot"/>
            </w:tabs>
            <w:rPr>
              <w:lang w:val="en-CA" w:eastAsia="en-CA"/>
            </w:rPr>
          </w:pPr>
          <w:hyperlink w:anchor="__RefHeading___Toc487877579">
            <w:r>
              <w:rPr>
                <w:rStyle w:val="IndexLink"/>
                <w:lang w:val="en-CA" w:eastAsia="en-CA"/>
              </w:rPr>
              <w:t xml:space="preserve">I.  </w:t>
              <w:tab/>
              <w:t>INTRODUCTION</w:t>
              <w:tab/>
              <w:t>1</w:t>
            </w:r>
          </w:hyperlink>
        </w:p>
        <w:p>
          <w:pPr>
            <w:pStyle w:val="TOC1"/>
            <w:tabs>
              <w:tab w:val="left" w:pos="720" w:leader="none"/>
              <w:tab w:val="right" w:pos="9350" w:leader="dot"/>
            </w:tabs>
            <w:rPr>
              <w:lang w:val="en-CA" w:eastAsia="en-CA"/>
            </w:rPr>
          </w:pPr>
          <w:hyperlink w:anchor="__RefHeading___Toc487877580">
            <w:r>
              <w:rPr>
                <w:rStyle w:val="IndexLink"/>
                <w:lang w:val="en-CA" w:eastAsia="en-CA"/>
              </w:rPr>
              <w:t>III.</w:t>
              <w:tab/>
              <w:t>THE COMPREHENSIVE SETTLEMENT REPRESENTS THE VIEWS OF A BROAD SPECTRUM OF ACTIVE PARTIES.</w:t>
              <w:tab/>
              <w:t>3</w:t>
            </w:r>
          </w:hyperlink>
        </w:p>
        <w:p>
          <w:pPr>
            <w:pStyle w:val="TOC1"/>
            <w:tabs>
              <w:tab w:val="left" w:pos="720" w:leader="none"/>
              <w:tab w:val="right" w:pos="9350" w:leader="dot"/>
            </w:tabs>
            <w:rPr>
              <w:lang w:val="en-CA" w:eastAsia="en-CA"/>
            </w:rPr>
          </w:pPr>
          <w:hyperlink w:anchor="__RefHeading___Toc487877581">
            <w:r>
              <w:rPr>
                <w:rStyle w:val="IndexLink"/>
                <w:lang w:val="en-CA" w:eastAsia="en-CA"/>
              </w:rPr>
              <w:t>IV.</w:t>
              <w:tab/>
              <w:t>The Open Season Process Protects the Interests of Existing Core and Noncore Customers While Limiting the Risk of Market Concentration At Any Receipt Point.</w:t>
              <w:tab/>
              <w:t>5</w:t>
            </w:r>
          </w:hyperlink>
        </w:p>
        <w:p>
          <w:pPr>
            <w:pStyle w:val="TOC1"/>
            <w:tabs>
              <w:tab w:val="left" w:pos="720" w:leader="none"/>
              <w:tab w:val="right" w:pos="9350" w:leader="dot"/>
            </w:tabs>
            <w:rPr>
              <w:lang w:val="en-CA" w:eastAsia="en-CA"/>
            </w:rPr>
          </w:pPr>
          <w:hyperlink w:anchor="__RefHeading___Toc487877582">
            <w:r>
              <w:rPr>
                <w:rStyle w:val="IndexLink"/>
                <w:lang w:val="en-CA" w:eastAsia="en-CA"/>
              </w:rPr>
              <w:t xml:space="preserve">A.  </w:t>
              <w:tab/>
              <w:t>The Capacity Allocation Process Is Designed to Limit Market Concentration and Maximize Liquidity.</w:t>
              <w:tab/>
              <w:t>6</w:t>
            </w:r>
          </w:hyperlink>
        </w:p>
        <w:p>
          <w:pPr>
            <w:pStyle w:val="TOC1"/>
            <w:tabs>
              <w:tab w:val="clear" w:pos="720"/>
              <w:tab w:val="left" w:pos="480" w:leader="none"/>
              <w:tab w:val="right" w:pos="9350" w:leader="dot"/>
            </w:tabs>
            <w:rPr>
              <w:lang w:val="en-CA" w:eastAsia="en-CA"/>
            </w:rPr>
          </w:pPr>
          <w:hyperlink w:anchor="__RefHeading___Toc487877583">
            <w:r>
              <w:rPr>
                <w:rStyle w:val="IndexLink"/>
                <w:lang w:val="en-CA" w:eastAsia="en-CA"/>
              </w:rPr>
              <w:t>1.</w:t>
              <w:tab/>
              <w:t>Pre-Open Season Allocations</w:t>
              <w:tab/>
              <w:t>6</w:t>
            </w:r>
          </w:hyperlink>
        </w:p>
        <w:p>
          <w:pPr>
            <w:pStyle w:val="TOC1"/>
            <w:tabs>
              <w:tab w:val="clear" w:pos="720"/>
              <w:tab w:val="left" w:pos="480" w:leader="none"/>
              <w:tab w:val="right" w:pos="9350" w:leader="dot"/>
            </w:tabs>
            <w:rPr>
              <w:lang w:val="en-CA" w:eastAsia="en-CA"/>
            </w:rPr>
          </w:pPr>
          <w:hyperlink w:anchor="__RefHeading___Toc487877584">
            <w:r>
              <w:rPr>
                <w:rStyle w:val="IndexLink"/>
                <w:lang w:val="en-CA" w:eastAsia="en-CA"/>
              </w:rPr>
              <w:t>2.</w:t>
              <w:tab/>
              <w:t>The Non-Core “Customer” Open Season</w:t>
              <w:tab/>
              <w:t>7</w:t>
            </w:r>
          </w:hyperlink>
        </w:p>
        <w:p>
          <w:pPr>
            <w:pStyle w:val="TOC1"/>
            <w:tabs>
              <w:tab w:val="clear" w:pos="720"/>
              <w:tab w:val="left" w:pos="480" w:leader="none"/>
              <w:tab w:val="right" w:pos="9350" w:leader="dot"/>
            </w:tabs>
            <w:rPr>
              <w:lang w:val="en-CA" w:eastAsia="en-CA"/>
            </w:rPr>
          </w:pPr>
          <w:hyperlink w:anchor="__RefHeading___Toc487877585">
            <w:r>
              <w:rPr>
                <w:rStyle w:val="IndexLink"/>
                <w:lang w:val="en-CA" w:eastAsia="en-CA"/>
              </w:rPr>
              <w:t>a.</w:t>
              <w:tab/>
              <w:t>“Customer” Stage One.</w:t>
              <w:tab/>
              <w:t>7</w:t>
            </w:r>
          </w:hyperlink>
        </w:p>
        <w:p>
          <w:pPr>
            <w:pStyle w:val="TOC1"/>
            <w:tabs>
              <w:tab w:val="clear" w:pos="720"/>
              <w:tab w:val="left" w:pos="480" w:leader="none"/>
              <w:tab w:val="right" w:pos="9350" w:leader="dot"/>
            </w:tabs>
            <w:rPr>
              <w:lang w:val="en-CA" w:eastAsia="en-CA"/>
            </w:rPr>
          </w:pPr>
          <w:hyperlink w:anchor="__RefHeading___Toc487877586">
            <w:r>
              <w:rPr>
                <w:rStyle w:val="IndexLink"/>
                <w:lang w:val="en-CA" w:eastAsia="en-CA"/>
              </w:rPr>
              <w:t>b.</w:t>
              <w:tab/>
              <w:t>“Customer” Stage Two.</w:t>
              <w:tab/>
              <w:t>8</w:t>
            </w:r>
          </w:hyperlink>
        </w:p>
        <w:p>
          <w:pPr>
            <w:pStyle w:val="TOC1"/>
            <w:tabs>
              <w:tab w:val="clear" w:pos="720"/>
              <w:tab w:val="left" w:pos="480" w:leader="none"/>
              <w:tab w:val="right" w:pos="9350" w:leader="dot"/>
            </w:tabs>
            <w:rPr>
              <w:lang w:val="en-CA" w:eastAsia="en-CA"/>
            </w:rPr>
          </w:pPr>
          <w:hyperlink w:anchor="__RefHeading___Toc487877587">
            <w:r>
              <w:rPr>
                <w:rStyle w:val="IndexLink"/>
                <w:lang w:val="en-CA" w:eastAsia="en-CA"/>
              </w:rPr>
              <w:t>c.</w:t>
              <w:tab/>
              <w:t>All Market Participants Stage Three.</w:t>
              <w:tab/>
              <w:t>9</w:t>
            </w:r>
          </w:hyperlink>
        </w:p>
        <w:p>
          <w:pPr>
            <w:pStyle w:val="TOC1"/>
            <w:tabs>
              <w:tab w:val="clear" w:pos="720"/>
              <w:tab w:val="left" w:pos="480" w:leader="none"/>
              <w:tab w:val="right" w:pos="9350" w:leader="dot"/>
            </w:tabs>
            <w:rPr>
              <w:lang w:val="en-CA" w:eastAsia="en-CA"/>
            </w:rPr>
          </w:pPr>
          <w:hyperlink w:anchor="__RefHeading___Toc487877588">
            <w:r>
              <w:rPr>
                <w:rStyle w:val="IndexLink"/>
                <w:lang w:val="en-CA" w:eastAsia="en-CA"/>
              </w:rPr>
              <w:t>3.</w:t>
              <w:tab/>
              <w:t>The Open Season Serves the Public Interest by Increasing the Opportunity for Existing Transportation Customers to Obtain and Manage Capacity, Enhancing Liquidity and Reducing the Potential for Market Concentration.</w:t>
              <w:tab/>
              <w:t>9</w:t>
            </w:r>
          </w:hyperlink>
        </w:p>
        <w:p>
          <w:pPr>
            <w:pStyle w:val="TOC1"/>
            <w:tabs>
              <w:tab w:val="clear" w:pos="720"/>
              <w:tab w:val="left" w:pos="480" w:leader="none"/>
              <w:tab w:val="right" w:pos="9350" w:leader="dot"/>
            </w:tabs>
            <w:rPr>
              <w:lang w:val="en-CA" w:eastAsia="en-CA"/>
            </w:rPr>
          </w:pPr>
          <w:hyperlink w:anchor="__RefHeading___Toc487877589">
            <w:r>
              <w:rPr>
                <w:rStyle w:val="IndexLink"/>
                <w:lang w:val="en-CA" w:eastAsia="en-CA"/>
              </w:rPr>
              <w:t>B.</w:t>
              <w:tab/>
              <w:t>The Comprehensive Settlement Expressly Limits Market Concentration in the Primary Market.</w:t>
              <w:tab/>
              <w:t>13</w:t>
            </w:r>
          </w:hyperlink>
        </w:p>
        <w:p>
          <w:pPr>
            <w:pStyle w:val="TOC1"/>
            <w:tabs>
              <w:tab w:val="clear" w:pos="720"/>
              <w:tab w:val="left" w:pos="480" w:leader="none"/>
              <w:tab w:val="right" w:pos="9350" w:leader="dot"/>
            </w:tabs>
            <w:rPr>
              <w:lang w:val="en-CA" w:eastAsia="en-CA"/>
            </w:rPr>
          </w:pPr>
          <w:hyperlink w:anchor="__RefHeading___Toc487877590">
            <w:r>
              <w:rPr>
                <w:rStyle w:val="IndexLink"/>
                <w:lang w:val="en-CA" w:eastAsia="en-CA"/>
              </w:rPr>
              <w:t>V.</w:t>
              <w:tab/>
              <w:t>THE COMPREHENSIVE SETTLEMENT BENEFITS CALIFORNIA PRODUCERS, CONSISTENT WITH THE CALIFORNIA NATURAL GAS POLICY ACT.</w:t>
              <w:tab/>
              <w:t>17</w:t>
            </w:r>
          </w:hyperlink>
        </w:p>
        <w:p>
          <w:pPr>
            <w:pStyle w:val="TOC1"/>
            <w:tabs>
              <w:tab w:val="clear" w:pos="720"/>
              <w:tab w:val="left" w:pos="480" w:leader="none"/>
              <w:tab w:val="right" w:pos="9350" w:leader="dot"/>
            </w:tabs>
            <w:rPr>
              <w:lang w:val="en-CA" w:eastAsia="en-CA"/>
            </w:rPr>
          </w:pPr>
          <w:hyperlink w:anchor="__RefHeading___Toc487877591">
            <w:r>
              <w:rPr>
                <w:rStyle w:val="IndexLink"/>
                <w:lang w:val="en-CA" w:eastAsia="en-CA"/>
              </w:rPr>
              <w:t>A.</w:t>
              <w:tab/>
              <w:t>The Comprehensive Settlement Secures the Rights of California Producers to Access the SoCalGas System and Hence the Delivery of California-Produced Gas to End-Users.</w:t>
              <w:tab/>
              <w:t>18</w:t>
            </w:r>
          </w:hyperlink>
        </w:p>
        <w:p>
          <w:pPr>
            <w:pStyle w:val="TOC1"/>
            <w:tabs>
              <w:tab w:val="clear" w:pos="720"/>
              <w:tab w:val="left" w:pos="480" w:leader="none"/>
              <w:tab w:val="right" w:pos="9350" w:leader="dot"/>
            </w:tabs>
            <w:rPr>
              <w:lang w:val="en-CA" w:eastAsia="en-CA"/>
            </w:rPr>
          </w:pPr>
          <w:hyperlink w:anchor="__RefHeading___Toc487877592">
            <w:r>
              <w:rPr>
                <w:rStyle w:val="IndexLink"/>
                <w:lang w:val="en-CA" w:eastAsia="en-CA"/>
              </w:rPr>
              <w:t>B.</w:t>
              <w:tab/>
              <w:t>The Unbundling of Intrastate Transmission Capacity Under the Comprehensive Settlement Benefits California Production.</w:t>
              <w:tab/>
              <w:t>19</w:t>
            </w:r>
          </w:hyperlink>
        </w:p>
        <w:p>
          <w:pPr>
            <w:pStyle w:val="TOC1"/>
            <w:tabs>
              <w:tab w:val="left" w:pos="720" w:leader="none"/>
              <w:tab w:val="right" w:pos="9350" w:leader="dot"/>
            </w:tabs>
            <w:rPr>
              <w:lang w:val="en-CA" w:eastAsia="en-CA"/>
            </w:rPr>
          </w:pPr>
          <w:hyperlink w:anchor="__RefHeading___Toc487877593">
            <w:r>
              <w:rPr>
                <w:rStyle w:val="IndexLink"/>
                <w:lang w:val="en-CA" w:eastAsia="en-CA"/>
              </w:rPr>
              <w:t>VI.</w:t>
              <w:tab/>
              <w:t>CONCLUSION</w:t>
              <w:tab/>
              <w:t>22</w:t>
            </w:r>
          </w:hyperlink>
          <w:r>
            <w:rPr>
              <w:rStyle w:val="IndexLink"/>
              <w:lang w:val="en-CA" w:eastAsia="en-CA"/>
            </w:rPr>
            <w:fldChar w:fldCharType="end"/>
          </w:r>
        </w:p>
      </w:sdtContent>
    </w:sdt>
    <w:p>
      <w:pPr>
        <w:pStyle w:val="Normal"/>
        <w:rPr>
          <w:rFonts w:ascii="Arial" w:hAnsi="Arial" w:cs="Arial"/>
          <w:lang w:val="en-CA" w:eastAsia="en-CA"/>
        </w:rPr>
      </w:pPr>
      <w:r>
        <w:rPr>
          <w:rFonts w:cs="Arial" w:ascii="Arial" w:hAnsi="Arial"/>
          <w:lang w:val="en-CA" w:eastAsia="en-CA"/>
        </w:rPr>
      </w:r>
      <w:r>
        <w:br w:type="page"/>
      </w:r>
    </w:p>
    <w:p>
      <w:pPr>
        <w:pStyle w:val="Subtitle"/>
        <w:rPr>
          <w:rFonts w:cs="Arial"/>
          <w:bCs/>
        </w:rPr>
      </w:pPr>
      <w:r>
        <w:rPr>
          <w:rFonts w:cs="Arial"/>
          <w:bCs/>
        </w:rPr>
        <w:t>TABLE OF AUTHORITIES</w:t>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p>
      <w:pPr>
        <w:pStyle w:val="Heading1"/>
        <w:rPr/>
      </w:pPr>
      <w:bookmarkStart w:id="0" w:name="__RefHeading___Toc487877577"/>
      <w:bookmarkEnd w:id="0"/>
      <w:r>
        <w:rPr/>
        <w:t>Commission Decisions</w:t>
      </w:r>
    </w:p>
    <w:sdt>
      <w:sdtPr>
        <w:docPartObj>
          <w:docPartGallery w:val="Table of Contents"/>
          <w:docPartUnique w:val="true"/>
        </w:docPartObj>
      </w:sdtPr>
      <w:sdtContent>
        <w:p>
          <w:pPr>
            <w:pStyle w:val="TOC1"/>
            <w:tabs>
              <w:tab w:val="clear" w:pos="720"/>
              <w:tab w:val="right" w:pos="9350" w:leader="dot"/>
            </w:tabs>
            <w:rPr>
              <w:rFonts w:ascii="Arial" w:hAnsi="Arial" w:cs="Arial"/>
              <w:bCs/>
              <w:lang w:val="en-CA" w:eastAsia="en-CA"/>
            </w:rPr>
          </w:pPr>
          <w:r>
            <w:fldChar w:fldCharType="begin"/>
          </w:r>
          <w:r>
            <w:rPr>
              <w:bCs/>
              <w:rFonts w:cs="Arial" w:ascii="Arial" w:hAnsi="Arial"/>
              <w:lang w:val="en-CA" w:eastAsia="en-CA"/>
            </w:rPr>
            <w:instrText xml:space="preserve">toc \f C \e 1-3 </w:instrText>
          </w:r>
          <w:r>
            <w:rPr>
              <w:bCs/>
              <w:rFonts w:cs="Arial" w:ascii="Arial" w:hAnsi="Arial"/>
              <w:lang w:val="en-CA" w:eastAsia="en-CA"/>
            </w:rPr>
            <w:fldChar w:fldCharType="separate"/>
          </w:r>
          <w:r>
            <w:rPr>
              <w:rFonts w:cs="Arial" w:ascii="Arial" w:hAnsi="Arial"/>
              <w:bCs/>
              <w:lang w:val="en-CA" w:eastAsia="en-CA"/>
            </w:rPr>
            <w:t>D. 99-07-015</w:t>
            <w:tab/>
            <w:t>2, 19</w:t>
          </w:r>
        </w:p>
        <w:p>
          <w:pPr>
            <w:pStyle w:val="TOC1"/>
            <w:tabs>
              <w:tab w:val="clear" w:pos="720"/>
              <w:tab w:val="right" w:pos="9350" w:leader="dot"/>
            </w:tabs>
            <w:rPr/>
          </w:pPr>
          <w:r>
            <w:rPr>
              <w:rFonts w:cs="Arial" w:ascii="Arial" w:hAnsi="Arial"/>
            </w:rPr>
            <w:t>D. 97-08-055</w:t>
          </w:r>
          <w:r>
            <w:rPr>
              <w:rFonts w:cs="Arial" w:ascii="Arial" w:hAnsi="Arial"/>
              <w:bCs/>
              <w:lang w:val="en-CA" w:eastAsia="en-CA"/>
            </w:rPr>
            <w:tab/>
            <w:t>3</w:t>
          </w:r>
        </w:p>
        <w:p>
          <w:pPr>
            <w:pStyle w:val="TOC2"/>
            <w:tabs>
              <w:tab w:val="clear" w:pos="720"/>
              <w:tab w:val="right" w:pos="9350" w:leader="dot"/>
            </w:tabs>
            <w:ind w:start="0" w:end="0"/>
            <w:rPr>
              <w:rFonts w:ascii="Arial" w:hAnsi="Arial" w:cs="Arial"/>
              <w:bCs/>
              <w:lang w:val="en-CA" w:eastAsia="en-CA"/>
            </w:rPr>
          </w:pPr>
          <w:r>
            <w:rPr>
              <w:rFonts w:cs="Arial" w:ascii="Arial" w:hAnsi="Arial"/>
              <w:bCs/>
              <w:lang w:val="en-CA" w:eastAsia="en-CA"/>
            </w:rPr>
          </w:r>
        </w:p>
        <w:p>
          <w:pPr>
            <w:pStyle w:val="Heading1"/>
            <w:rPr/>
          </w:pPr>
          <w:r>
            <w:rPr/>
            <w:t>Statutes</w:t>
          </w:r>
          <w:bookmarkStart w:id="1" w:name="__RefHeading___Toc487877578"/>
        </w:p>
        <w:p>
          <w:pPr>
            <w:pStyle w:val="TOC2"/>
            <w:tabs>
              <w:tab w:val="clear" w:pos="720"/>
              <w:tab w:val="right" w:pos="9350" w:leader="dot"/>
            </w:tabs>
            <w:ind w:start="0" w:end="0"/>
            <w:rPr/>
          </w:pPr>
          <w:r>
            <w:rPr>
              <w:rFonts w:cs="Arial" w:ascii="Arial" w:hAnsi="Arial"/>
              <w:bCs/>
              <w:lang w:val="en-CA" w:eastAsia="en-CA"/>
            </w:rPr>
            <w:t xml:space="preserve">Cal. P.U. Code §§785 </w:t>
          </w:r>
          <w:r>
            <w:rPr>
              <w:rFonts w:cs="Arial" w:ascii="Arial" w:hAnsi="Arial"/>
              <w:bCs/>
              <w:i/>
              <w:iCs/>
              <w:lang w:val="en-CA" w:eastAsia="en-CA"/>
            </w:rPr>
            <w:t>et seq.</w:t>
          </w:r>
          <w:r>
            <w:rPr>
              <w:rFonts w:cs="Arial" w:ascii="Arial" w:hAnsi="Arial"/>
              <w:bCs/>
              <w:lang w:val="en-CA" w:eastAsia="en-CA"/>
            </w:rPr>
            <w:tab/>
            <w:t>17</w:t>
          </w:r>
        </w:p>
        <w:p>
          <w:pPr>
            <w:pStyle w:val="Normal"/>
            <w:rPr>
              <w:rFonts w:ascii="Arial" w:hAnsi="Arial" w:cs="Arial"/>
              <w:bCs/>
              <w:lang w:val="en-CA" w:eastAsia="en-CA"/>
            </w:rPr>
          </w:pPr>
          <w:r>
            <w:rPr>
              <w:rFonts w:cs="Arial" w:ascii="Arial" w:hAnsi="Arial"/>
              <w:bCs/>
              <w:lang w:val="en-CA" w:eastAsia="en-CA"/>
            </w:rPr>
          </w:r>
        </w:p>
        <w:p>
          <w:pPr>
            <w:pStyle w:val="Normal"/>
            <w:rPr>
              <w:rFonts w:ascii="Arial" w:hAnsi="Arial" w:cs="Arial"/>
            </w:rPr>
          </w:pPr>
          <w:r>
            <w:rPr>
              <w:rFonts w:cs="Arial" w:ascii="Arial" w:hAnsi="Arial"/>
            </w:rPr>
          </w:r>
        </w:p>
        <w:p>
          <w:pPr>
            <w:pStyle w:val="TOC1"/>
            <w:tabs>
              <w:tab w:val="clear" w:pos="720"/>
              <w:tab w:val="right" w:pos="9350" w:leader="dot"/>
            </w:tabs>
            <w:rPr>
              <w:rFonts w:ascii="Arial" w:hAnsi="Arial" w:cs="Arial"/>
              <w:bCs/>
              <w:lang w:val="en-CA" w:eastAsia="en-CA"/>
            </w:rPr>
          </w:pPr>
          <w:r>
            <w:rPr>
              <w:rFonts w:cs="Arial" w:ascii="Arial" w:hAnsi="Arial"/>
              <w:bCs/>
              <w:lang w:val="en-CA" w:eastAsia="en-CA"/>
            </w:rPr>
          </w:r>
        </w:p>
        <w:p>
          <w:pPr>
            <w:pStyle w:val="TOC1"/>
            <w:tabs>
              <w:tab w:val="clear" w:pos="720"/>
              <w:tab w:val="right" w:pos="9350" w:leader="dot"/>
            </w:tabs>
            <w:rPr>
              <w:rFonts w:ascii="Arial" w:hAnsi="Arial" w:cs="Arial"/>
              <w:bCs/>
              <w:lang w:val="en-CA" w:eastAsia="en-CA"/>
            </w:rPr>
          </w:pPr>
          <w:r>
            <w:rPr>
              <w:rFonts w:cs="Arial" w:ascii="Arial" w:hAnsi="Arial"/>
              <w:bCs/>
              <w:lang w:val="en-CA" w:eastAsia="en-CA"/>
            </w:rPr>
          </w:r>
        </w:p>
        <w:p>
          <w:pPr>
            <w:pStyle w:val="TOC1"/>
            <w:tabs>
              <w:tab w:val="clear" w:pos="720"/>
              <w:tab w:val="right" w:pos="9350" w:leader="dot"/>
            </w:tabs>
            <w:rPr>
              <w:rFonts w:ascii="Arial" w:hAnsi="Arial" w:cs="Arial"/>
              <w:bCs/>
              <w:lang w:val="en-CA" w:eastAsia="en-CA"/>
            </w:rPr>
          </w:pPr>
          <w:r>
            <w:rPr>
              <w:rFonts w:cs="Arial" w:ascii="Arial" w:hAnsi="Arial"/>
              <w:bCs/>
              <w:lang w:val="en-CA" w:eastAsia="en-CA"/>
            </w:rPr>
          </w:r>
          <w:r>
            <w:rPr>
              <w:bCs/>
              <w:rFonts w:cs="Arial" w:ascii="Arial" w:hAnsi="Arial"/>
              <w:lang w:val="en-CA" w:eastAsia="en-CA"/>
            </w:rPr>
            <w:fldChar w:fldCharType="end"/>
          </w:r>
        </w:p>
      </w:sdtContent>
    </w:sdt>
    <w:p>
      <w:pPr>
        <w:pStyle w:val="Normal"/>
        <w:rPr>
          <w:rFonts w:ascii="Arial" w:hAnsi="Arial" w:cs="Arial"/>
          <w:bCs/>
          <w:lang w:val="en-CA" w:eastAsia="en-CA"/>
        </w:rPr>
      </w:pPr>
      <w:r>
        <w:rPr>
          <w:rFonts w:cs="Arial" w:ascii="Arial" w:hAnsi="Arial"/>
          <w:bCs/>
          <w:lang w:val="en-CA" w:eastAsia="en-CA"/>
        </w:rPr>
      </w:r>
      <w:bookmarkEnd w:id="1"/>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sectPr>
          <w:headerReference w:type="default" r:id="rId5"/>
          <w:headerReference w:type="first" r:id="rId6"/>
          <w:footerReference w:type="default" r:id="rId7"/>
          <w:footerReference w:type="first" r:id="rId8"/>
          <w:type w:val="nextPage"/>
          <w:pgSz w:w="12240" w:h="15840"/>
          <w:pgMar w:left="1440" w:right="1440" w:gutter="0" w:header="720" w:top="1440" w:footer="720" w:bottom="1440"/>
          <w:pgNumType w:start="1" w:fmt="lowerRoman"/>
          <w:formProt w:val="false"/>
          <w:titlePg/>
          <w:textDirection w:val="lrTb"/>
          <w:docGrid w:type="default" w:linePitch="360" w:charSpace="0"/>
        </w:sect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1440" w:end="0"/>
        <w:rPr>
          <w:rFonts w:ascii="Arial" w:hAnsi="Arial" w:cs="Arial"/>
          <w:b/>
        </w:rPr>
      </w:pPr>
      <w:r>
        <w:rPr>
          <w:rFonts w:cs="Arial" w:ascii="Arial" w:hAnsi="Arial"/>
          <w:b/>
        </w:rPr>
        <w:t>BEFORE THE PUBLIC UTILITIES COMMISSION</w:t>
      </w:r>
    </w:p>
    <w:p>
      <w:pPr>
        <w:pStyle w:val="Subtitle"/>
        <w:rPr>
          <w:rFonts w:cs="Arial"/>
        </w:rPr>
      </w:pPr>
      <w:r>
        <w:rPr>
          <w:rFonts w:cs="Arial"/>
        </w:rPr>
        <w:t>OF THE STATE OF CALIFORNIA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8856" w:type="dxa"/>
        <w:jc w:val="start"/>
        <w:tblInd w:w="0" w:type="dxa"/>
        <w:tblLayout w:type="fixed"/>
        <w:tblCellMar>
          <w:top w:w="0" w:type="dxa"/>
          <w:start w:w="108" w:type="dxa"/>
          <w:bottom w:w="0" w:type="dxa"/>
          <w:end w:w="108" w:type="dxa"/>
        </w:tblCellMar>
      </w:tblPr>
      <w:tblGrid>
        <w:gridCol w:w="5058"/>
        <w:gridCol w:w="3798"/>
      </w:tblGrid>
      <w:tr>
        <w:trPr/>
        <w:tc>
          <w:tcPr>
            <w:tcW w:w="5058"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3798" w:type="dxa"/>
            <w:tcBorders>
              <w:start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I.99-07-003</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
        <w:rPr>
          <w:rFonts w:cs="Arial"/>
        </w:rPr>
      </w:pPr>
      <w:r>
        <w:rPr>
          <w:rFonts w:cs="Arial"/>
        </w:rPr>
        <w:t>OPENING BRIEF OF THE INDICATED PRODUCERS</w:t>
      </w:r>
    </w:p>
    <w:p>
      <w:pPr>
        <w:pStyle w:val="Heading"/>
        <w:rPr>
          <w:rFonts w:cs="Arial"/>
        </w:rPr>
      </w:pPr>
      <w:r>
        <w:rPr>
          <w:rFonts w:cs="Arial"/>
        </w:rPr>
        <w:t xml:space="preserve">IN SUPPORT OF </w:t>
      </w:r>
    </w:p>
    <w:p>
      <w:pPr>
        <w:pStyle w:val="Heading"/>
        <w:rPr>
          <w:rFonts w:cs="Arial"/>
        </w:rPr>
      </w:pPr>
      <w:r>
        <w:rPr>
          <w:rFonts w:cs="Arial"/>
        </w:rPr>
        <w:t>THE COMPREHENSIVE GAS OII SETTLEMENT AGREEMENT</w:t>
      </w:r>
    </w:p>
    <w:p>
      <w:pPr>
        <w:pStyle w:val="Heading"/>
        <w:rPr>
          <w:rFonts w:cs="Arial"/>
        </w:rPr>
      </w:pPr>
      <w:r>
        <w:rPr>
          <w:rFonts w:cs="Arial"/>
        </w:rPr>
        <w:t>FOR SOUTHERN CALIFORNIA GAS COMPANY AND</w:t>
      </w:r>
    </w:p>
    <w:p>
      <w:pPr>
        <w:pStyle w:val="Heading"/>
        <w:rPr>
          <w:rFonts w:cs="Arial"/>
        </w:rPr>
      </w:pPr>
      <w:r>
        <w:rPr>
          <w:rFonts w:cs="Arial"/>
        </w:rPr>
        <w:t xml:space="preserve">SAN DIEGO GAS &amp; ELECTRIC COMPANY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rPr/>
      </w:pPr>
      <w:bookmarkStart w:id="2" w:name="__RefHeading___Toc487877579"/>
      <w:bookmarkEnd w:id="2"/>
      <w:r>
        <w:rPr/>
        <w:t xml:space="preserve">I.  </w:t>
        <w:tab/>
        <w:t>INTRODUCTION</w:t>
      </w:r>
    </w:p>
    <w:p>
      <w:pPr>
        <w:pStyle w:val="Normal"/>
        <w:rPr>
          <w:rFonts w:ascii="Arial" w:hAnsi="Arial" w:cs="Arial"/>
        </w:rPr>
      </w:pPr>
      <w:r>
        <w:rPr>
          <w:rFonts w:cs="Arial" w:ascii="Arial" w:hAnsi="Arial"/>
        </w:rPr>
      </w:r>
    </w:p>
    <w:p>
      <w:pPr>
        <w:pStyle w:val="Normal"/>
        <w:spacing w:lineRule="auto" w:line="480"/>
        <w:rPr/>
      </w:pPr>
      <w:r>
        <w:rPr>
          <w:rFonts w:cs="Arial" w:ascii="Arial" w:hAnsi="Arial"/>
        </w:rPr>
        <w:tab/>
        <w:t>Pursuant to Rule 75 of the Rules of Practice and Procedure of the California Public Utilities Commission (“CPUC” or “Commission”), The Indicated Producers</w:t>
      </w:r>
      <w:r>
        <w:rPr>
          <w:rStyle w:val="FootnoteCharacters"/>
          <w:rStyle w:val="FootnoteReference"/>
          <w:rFonts w:cs="Arial" w:ascii="Arial" w:hAnsi="Arial"/>
        </w:rPr>
        <w:footnoteReference w:id="2"/>
      </w:r>
      <w:r>
        <w:rPr>
          <w:rFonts w:cs="Arial" w:ascii="Arial" w:hAnsi="Arial"/>
        </w:rPr>
        <w:t xml:space="preserve"> submit this Opening Brief in the above-referenced proceeding.  </w:t>
        <w:tab/>
      </w:r>
    </w:p>
    <w:p>
      <w:pPr>
        <w:pStyle w:val="Normal"/>
        <w:spacing w:lineRule="auto" w:line="480"/>
        <w:rPr>
          <w:rFonts w:ascii="Arial" w:hAnsi="Arial" w:cs="Arial"/>
        </w:rPr>
      </w:pPr>
      <w:r>
        <w:rPr>
          <w:rFonts w:cs="Arial" w:ascii="Arial" w:hAnsi="Arial"/>
        </w:rPr>
        <w:tab/>
        <w:t xml:space="preserve">The Indicated Producers signed and support the Comprehensive Gas OII Settlement Agreement, as revised and filed on April 28, 2000 and entered into evidence in this proceeding as Exhibit 1 (“Comprehensive Settlement” or “CS”).  In addition to other benefits of the Comprehensive Settlement that are briefed by other signatories, The Indicated Producers sponsor this Opening Brief to emphasize (1) the benefits of the Open Season mechanisms which were designed specifically to limit the risk of market concentration of unbundled receipt point capacity, and (2) the benefits to existing SoCalGas customers and to California natural gas producers.    </w:t>
      </w:r>
    </w:p>
    <w:p>
      <w:pPr>
        <w:pStyle w:val="Normal"/>
        <w:spacing w:lineRule="auto" w:line="480"/>
        <w:rPr>
          <w:rFonts w:ascii="Arial" w:hAnsi="Arial" w:cs="Arial"/>
        </w:rPr>
      </w:pPr>
      <w:r>
        <w:rPr>
          <w:rFonts w:cs="Arial" w:ascii="Arial" w:hAnsi="Arial"/>
        </w:rPr>
        <w:tab/>
        <w:t>The Indicated Producers respectfully recommend that the Commission move to adopt the Comprehensive Settlement for the reasons set forth in detail below and for the reasons set forth in brief by other supporters of the Comprehensive Settlement.</w:t>
      </w:r>
    </w:p>
    <w:p>
      <w:pPr>
        <w:pStyle w:val="Normal"/>
        <w:ind w:hanging="720" w:start="720" w:end="0"/>
        <w:rPr/>
      </w:pPr>
      <w:r>
        <w:rPr>
          <w:rFonts w:cs="Arial" w:ascii="Arial" w:hAnsi="Arial"/>
          <w:b/>
        </w:rPr>
        <w:t>II.</w:t>
        <w:tab/>
        <w:t>THE COMPREHENSIVE SETTLEMENT REALIZES THE GOALS OF THE COMMISSION’S MOST PROMISING OPTIONS DECISION BY UNBUNDLING INTRASTATE BACKBONE TRANSMISSION ON THE SOCALGAS SYSTEM AND PROVIDING BUILT-IN MECHANISMS DESIGNED TO LIMIT THE RISK OF MARKET CONCENTRATION.</w:t>
      </w:r>
      <w:r>
        <w:rPr>
          <w:rFonts w:cs="Arial" w:ascii="Arial" w:hAnsi="Arial"/>
        </w:rPr>
        <w:t xml:space="preserve"> </w:t>
      </w:r>
    </w:p>
    <w:p>
      <w:pPr>
        <w:pStyle w:val="Normal"/>
        <w:rPr>
          <w:rFonts w:ascii="Arial" w:hAnsi="Arial" w:eastAsia="Arial" w:cs="Arial"/>
        </w:rPr>
      </w:pPr>
      <w:r>
        <w:rPr>
          <w:rFonts w:eastAsia="Arial" w:cs="Arial" w:ascii="Arial" w:hAnsi="Arial"/>
        </w:rPr>
        <w:t xml:space="preserve"> </w:t>
      </w:r>
    </w:p>
    <w:p>
      <w:pPr>
        <w:pStyle w:val="BodyTextIndent2"/>
        <w:rPr/>
      </w:pPr>
      <w:r>
        <w:rPr/>
        <w:t xml:space="preserve">In its Most Promising Options decision, the Commission encouraged the consideration of unbundling intrastate backbone transmission and a system of tradable intrastate transmission rights.  </w:t>
      </w:r>
    </w:p>
    <w:p>
      <w:pPr>
        <w:pStyle w:val="BodyTextIndent2"/>
        <w:spacing w:lineRule="auto" w:line="240"/>
        <w:ind w:hanging="0" w:start="720" w:end="720"/>
        <w:jc w:val="both"/>
        <w:rPr>
          <w:i/>
          <w:i/>
          <w:iCs/>
        </w:rPr>
      </w:pPr>
      <w:r>
        <w:rPr>
          <w:i/>
          <w:iCs/>
        </w:rPr>
        <w:t xml:space="preserve">We agree that the creation of firm, tradable intrastate transmission rights offers the hope of achieving these objectives [e.g., allowing customers to bid for capacity in an objective manner recognizing each customer’s system usage, increasing allocative efficiency, and … providing individual shippers with greater certainty as to their ability to move certain quantities of gas through the pipeline system.  </w:t>
      </w:r>
    </w:p>
    <w:p>
      <w:pPr>
        <w:pStyle w:val="BodyTextIndent2"/>
        <w:spacing w:lineRule="auto" w:line="240"/>
        <w:ind w:hanging="0" w:end="0"/>
        <w:rPr>
          <w:i/>
          <w:i/>
          <w:iCs/>
        </w:rPr>
      </w:pPr>
      <w:r>
        <w:rPr>
          <w:i/>
          <w:iCs/>
        </w:rPr>
      </w:r>
    </w:p>
    <w:p>
      <w:pPr>
        <w:pStyle w:val="BodyTextIndent2"/>
        <w:ind w:hanging="0" w:end="0"/>
        <w:rPr/>
      </w:pPr>
      <w:r>
        <w:rPr/>
        <w:t xml:space="preserve">(Decision (D.) 99-07-015 (July 8, 1999), at p. 14, FoF No. 1.)  Unbundling intrastate backbone transmission capacity in southern California will facilitate more efficient use of the SoCalGas transportation system.  The Post Interim Settlement expressly excludes unbundling of intrastate backbone transmission.  </w:t>
      </w:r>
      <w:r>
        <w:rPr>
          <w:i/>
          <w:iCs/>
        </w:rPr>
        <w:t>“No intrastate ‘backbone’ transmission unbundling shall occur for the term of the Settlement Agreement.</w:t>
      </w:r>
      <w:r>
        <w:rPr/>
        <w:t xml:space="preserve">”  (Post Interim Settlement Agreement (April 3, 2000), at p. 6.)  </w:t>
      </w:r>
    </w:p>
    <w:p>
      <w:pPr>
        <w:pStyle w:val="BodyTextIndent2"/>
        <w:rPr/>
      </w:pPr>
      <w:r>
        <w:rPr/>
        <w:t xml:space="preserve">By contrast, the Comprehensive Settlement provides for a smooth transition toward unbundling intrastate backbone transmission capacity and a secondary market for the trading of capacity.  At the same time, it mitigates the risk to existing SoCalGas customers through the pre-Open Season allocations, the three-stage Open Season Process, the first two rounds of which are open to customers only or their representatives or assignees, and a 40% concentration limit on capacity at any receipt point.  Promoting market liquidity and limiting the risk of market concentration in the area of intrastate backbone transmission capacity should serve to benefit the interest of all Californians.  </w:t>
      </w:r>
    </w:p>
    <w:p>
      <w:pPr>
        <w:pStyle w:val="Normal"/>
        <w:spacing w:lineRule="auto" w:line="480"/>
        <w:rPr>
          <w:rFonts w:ascii="Arial" w:hAnsi="Arial" w:cs="Arial"/>
        </w:rPr>
      </w:pPr>
      <w:r>
        <w:rPr>
          <w:rFonts w:cs="Arial" w:ascii="Arial" w:hAnsi="Arial"/>
        </w:rPr>
        <w:tab/>
        <w:t>The Comprehensive Settlement will also maintain without interruption and secure during the term of the Settlement the existing receipt point access agreements between California producers of natural gas and SoCalGas.  The Comprehensive Settlement secures the rights of California producers to deliver gas into Socal supply points and to serve instate loads, and thus fulfill the provisions of the California Gas Policy Act.</w:t>
      </w:r>
    </w:p>
    <w:p>
      <w:pPr>
        <w:pStyle w:val="Normal"/>
        <w:rPr>
          <w:rFonts w:ascii="Arial" w:hAnsi="Arial" w:cs="Arial"/>
        </w:rPr>
      </w:pPr>
      <w:r>
        <w:rPr>
          <w:rFonts w:cs="Arial" w:ascii="Arial" w:hAnsi="Arial"/>
        </w:rPr>
      </w:r>
    </w:p>
    <w:p>
      <w:pPr>
        <w:pStyle w:val="Heading1"/>
        <w:ind w:hanging="720" w:start="720" w:end="0"/>
        <w:rPr/>
      </w:pPr>
      <w:bookmarkStart w:id="3" w:name="__RefHeading___Toc487877580"/>
      <w:bookmarkEnd w:id="3"/>
      <w:r>
        <w:rPr/>
        <w:t>III.</w:t>
        <w:tab/>
        <w:t>THE COMPREHENSIVE SETTLEMENT REPRESENTS THE VIEWS OF A BROAD SPECTRUM OF ACTIVE PARTIES.</w:t>
      </w:r>
    </w:p>
    <w:p>
      <w:pPr>
        <w:pStyle w:val="Normal"/>
        <w:rPr>
          <w:rFonts w:ascii="Arial" w:hAnsi="Arial" w:cs="Arial"/>
        </w:rPr>
      </w:pPr>
      <w:r>
        <w:rPr>
          <w:rFonts w:cs="Arial" w:ascii="Arial" w:hAnsi="Arial"/>
        </w:rPr>
      </w:r>
    </w:p>
    <w:p>
      <w:pPr>
        <w:pStyle w:val="Normal"/>
        <w:spacing w:lineRule="auto" w:line="480"/>
        <w:rPr/>
      </w:pPr>
      <w:r>
        <w:rPr>
          <w:rFonts w:cs="Arial" w:ascii="Arial" w:hAnsi="Arial"/>
        </w:rPr>
        <w:tab/>
        <w:t>One of the strengths of the PG&amp;E Gas Accord cited by the Commission when it approved the Gas Accord was that it represented a broad consensus of support among very diverse interests.  (</w:t>
      </w:r>
      <w:r>
        <w:rPr>
          <w:rFonts w:cs="Arial" w:ascii="Arial" w:hAnsi="Arial"/>
          <w:u w:val="single"/>
        </w:rPr>
        <w:t>Decision 97-08-055.</w:t>
      </w:r>
      <w:r>
        <w:rPr>
          <w:rFonts w:cs="Arial" w:ascii="Arial" w:hAnsi="Arial"/>
        </w:rPr>
        <w:t xml:space="preserve">)  Under Section 5.2, “Features Supporting Approval,” of the decision, the Commission cited as the first of the Gas Accord’s </w:t>
      </w:r>
      <w:r>
        <w:rPr>
          <w:rFonts w:cs="Arial" w:ascii="Arial" w:hAnsi="Arial"/>
          <w:i/>
          <w:iCs/>
        </w:rPr>
        <w:t>“attractive features”</w:t>
      </w:r>
      <w:r>
        <w:rPr>
          <w:rFonts w:cs="Arial" w:ascii="Arial" w:hAnsi="Arial"/>
        </w:rPr>
        <w:t xml:space="preserve"> its </w:t>
      </w:r>
      <w:r>
        <w:rPr>
          <w:rFonts w:cs="Arial" w:ascii="Arial" w:hAnsi="Arial"/>
          <w:i/>
          <w:iCs/>
        </w:rPr>
        <w:t>“support of a broad spectrum of active parties.”</w:t>
      </w:r>
      <w:r>
        <w:rPr>
          <w:rFonts w:cs="Arial" w:ascii="Arial" w:hAnsi="Arial"/>
        </w:rPr>
        <w:t xml:space="preserve">  (</w:t>
      </w:r>
      <w:r>
        <w:rPr>
          <w:rFonts w:cs="Arial" w:ascii="Arial" w:hAnsi="Arial"/>
          <w:i/>
          <w:iCs/>
        </w:rPr>
        <w:t>Id.</w:t>
      </w:r>
      <w:r>
        <w:rPr>
          <w:rFonts w:cs="Arial" w:ascii="Arial" w:hAnsi="Arial"/>
        </w:rPr>
        <w:t>, at p. 19, FoF No.13.).</w:t>
      </w:r>
    </w:p>
    <w:p>
      <w:pPr>
        <w:pStyle w:val="Normal"/>
        <w:spacing w:lineRule="auto" w:line="480"/>
        <w:rPr/>
      </w:pPr>
      <w:r>
        <w:rPr>
          <w:rFonts w:cs="Arial" w:ascii="Arial" w:hAnsi="Arial"/>
        </w:rPr>
        <w:tab/>
        <w:t>As noted in the “Motion for Approval of Settlement,” filed by SoCalGas, the Comprehensive Settlement is supported by a broad spectrum of active parties, including the Indicated Producers.  (Motion of Southern California Gas Company and San Diego Gas &amp; Electric Company For Approval of Settlement, On Behalf of All Parties Listed Above (April 17, 2000).)  All interests are represented in creation and support of the Comprehensive Settlement, including utilities, core and noncore customers, the Office of Ratepayer Advocates, gas producers, electric generators, wholesale customers, gas marketers, competitive gas storage providers, and interstate pipelines.  (</w:t>
      </w:r>
      <w:r>
        <w:rPr>
          <w:rFonts w:cs="Arial" w:ascii="Arial" w:hAnsi="Arial"/>
          <w:i/>
          <w:iCs/>
        </w:rPr>
        <w:t>Id.</w:t>
      </w:r>
      <w:r>
        <w:rPr>
          <w:rFonts w:cs="Arial" w:ascii="Arial" w:hAnsi="Arial"/>
        </w:rPr>
        <w:t xml:space="preserve"> at pp. 2-3.)  </w:t>
      </w:r>
    </w:p>
    <w:p>
      <w:pPr>
        <w:pStyle w:val="Normal"/>
        <w:spacing w:lineRule="auto" w:line="480"/>
        <w:ind w:firstLine="720" w:end="0"/>
        <w:rPr/>
      </w:pPr>
      <w:r>
        <w:rPr>
          <w:rFonts w:cs="Arial" w:ascii="Arial" w:hAnsi="Arial"/>
        </w:rPr>
        <w:t xml:space="preserve">Moreover, The Indicated Producers represent a diversity of interests.  The Indicated Producers are an </w:t>
      </w:r>
      <w:r>
        <w:rPr>
          <w:rFonts w:cs="Arial" w:ascii="Arial" w:hAnsi="Arial"/>
          <w:i/>
        </w:rPr>
        <w:t>ad hoc</w:t>
      </w:r>
      <w:r>
        <w:rPr>
          <w:rFonts w:cs="Arial" w:ascii="Arial" w:hAnsi="Arial"/>
        </w:rPr>
        <w:t xml:space="preserve"> coalition whose members represent different interests and positions, from California natural gas production (Chevron and Occidental), Rocky Mountain production (Chevron), and Southwest production (Burlington Resources, Conoco, and Texaco), to the interests of large industrial/producer/cogeneration end-users (Chevron and Texaco), and finally to the marketing interests of these producers.  The Comprehensive Settlement stakeholders have widely divergent and even antithetical interests, and the members of The Indicated Producers have similarly widely divergent views including production, marketing, and consumption for enhanced oil recovery properties and industrial facilities.  These views were considered as members of the Indicated Producers determined where there was commonality in pursuit of interests in the proceeding.  Thus, the views presented in these proceedings cannot be characterized simply as the views of a single interest group.</w:t>
      </w:r>
    </w:p>
    <w:p>
      <w:pPr>
        <w:pStyle w:val="Heading1"/>
        <w:rPr/>
      </w:pPr>
      <w:bookmarkStart w:id="4" w:name="__RefHeading___Toc487877581"/>
      <w:r>
        <w:rPr/>
        <w:t>IV.</w:t>
        <w:tab/>
        <w:t>The Open Season Process Protects the Interests of Existing Core and Noncore Customers While Limiting the Risk of Market Concentration At Any Receipt Point.</w:t>
      </w:r>
      <w:bookmarkEnd w:id="4"/>
      <w:r>
        <w:rPr/>
        <w:t xml:space="preserve">  </w:t>
      </w:r>
    </w:p>
    <w:p>
      <w:pPr>
        <w:pStyle w:val="Normal"/>
        <w:rPr>
          <w:rFonts w:ascii="Arial" w:hAnsi="Arial" w:cs="Arial"/>
        </w:rPr>
      </w:pPr>
      <w:r>
        <w:rPr>
          <w:rFonts w:cs="Arial" w:ascii="Arial" w:hAnsi="Arial"/>
        </w:rPr>
      </w:r>
    </w:p>
    <w:p>
      <w:pPr>
        <w:pStyle w:val="Normal"/>
        <w:spacing w:lineRule="auto" w:line="480"/>
        <w:ind w:firstLine="720" w:end="0"/>
        <w:rPr/>
      </w:pPr>
      <w:r>
        <w:rPr>
          <w:rFonts w:cs="Arial" w:ascii="Arial" w:hAnsi="Arial"/>
        </w:rPr>
        <w:t>The Comprehensive Settlement establishes a system of firm, tradable intrastate backbone transmission rights on the SoCalGas system.  (CS §II.1.1.3.)  The unbundling of intrastate backbone transmission capacity presents an opportunity for a more efficient California natural gas market by permitting customers, suppliers, and marketers to hold capacity and to optimize its use, or to assign such rights to marketers as their agents, and optimize its use.  (</w:t>
      </w:r>
      <w:r>
        <w:rPr>
          <w:rFonts w:cs="Arial" w:ascii="Arial" w:hAnsi="Arial"/>
          <w:i/>
          <w:iCs/>
        </w:rPr>
        <w:t>See</w:t>
      </w:r>
      <w:r>
        <w:rPr>
          <w:rFonts w:cs="Arial" w:ascii="Arial" w:hAnsi="Arial"/>
        </w:rPr>
        <w:t xml:space="preserve"> Exhibit 6, Prepared Direct Testimony of Jeffrey Dasovich, at pp.3-4; p. 5.)  Along with these opportunities, however, comes a risk inherent in any market – the risk that an entity could obtain and exercise market power in the new market for transmission capacity.  The unbundling of capacity could also result in a reduction in number of buyers in the California market as a result of market concentration and consequently could reduce liquidity in the California market.  </w:t>
      </w:r>
    </w:p>
    <w:p>
      <w:pPr>
        <w:pStyle w:val="Normal"/>
        <w:spacing w:lineRule="auto" w:line="480"/>
        <w:ind w:firstLine="720" w:end="0"/>
        <w:rPr/>
      </w:pPr>
      <w:r>
        <w:rPr>
          <w:rFonts w:cs="Arial" w:ascii="Arial" w:hAnsi="Arial"/>
        </w:rPr>
        <w:t xml:space="preserve">The stakeholders involved in negotiating and drafting the Comprehensive Settlement appreciate the possibility of any one entity or a small handful of entities gaining market power, and expressly designed the Open Season process to minimize this risk.  </w:t>
      </w:r>
      <w:r>
        <w:rPr>
          <w:rFonts w:cs="Arial" w:ascii="Arial" w:hAnsi="Arial"/>
          <w:i/>
        </w:rPr>
        <w:t xml:space="preserve">“[T]o the extent that the greatest number of participants [do] not have access to transmission capacity or to the extent that there [is] no market [concentration] cap, there is an opportunity for [fewer buyers at the various receipt points].  We have designed the open season to allow the greatest number of participants.”  </w:t>
      </w:r>
      <w:r>
        <w:rPr>
          <w:rFonts w:cs="Arial" w:ascii="Arial" w:hAnsi="Arial"/>
        </w:rPr>
        <w:t xml:space="preserve">(Amoco Energy Trading Company/Zaiontz, Tr. Vol. 5, p. 519)  </w:t>
      </w:r>
    </w:p>
    <w:p>
      <w:pPr>
        <w:pStyle w:val="Normal"/>
        <w:spacing w:lineRule="auto" w:line="480"/>
        <w:ind w:firstLine="720" w:end="0"/>
        <w:rPr>
          <w:rFonts w:ascii="Arial" w:hAnsi="Arial" w:cs="Arial"/>
        </w:rPr>
      </w:pPr>
      <w:r>
        <w:rPr>
          <w:rFonts w:cs="Arial" w:ascii="Arial" w:hAnsi="Arial"/>
        </w:rPr>
        <w:t xml:space="preserve">The Comprehensive Settlement recognizes and addresses the risks inherent in unbundling the utility system through carefully thought-out features, while protecting the interests of existing core and noncore customers.  Specifically, the Comprehensive Settlement:  </w:t>
      </w:r>
    </w:p>
    <w:p>
      <w:pPr>
        <w:pStyle w:val="Normal"/>
        <w:numPr>
          <w:ilvl w:val="0"/>
          <w:numId w:val="4"/>
        </w:numPr>
        <w:rPr>
          <w:rFonts w:ascii="Arial" w:hAnsi="Arial" w:cs="Arial"/>
        </w:rPr>
      </w:pPr>
      <w:r>
        <w:rPr>
          <w:rFonts w:cs="Arial" w:ascii="Arial" w:hAnsi="Arial"/>
        </w:rPr>
        <w:t xml:space="preserve">Allocates directly to core customers a specified volume of receipt point-specific transmission capacity before making the capacity available to the market generally; </w:t>
      </w:r>
    </w:p>
    <w:p>
      <w:pPr>
        <w:pStyle w:val="Normal"/>
        <w:ind w:start="1080" w:end="0"/>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Establishes a three-round Open Season in which noncore customers or their suppliers must compete for available capacity, with proration rules when demand exceeds the availability of capacity;</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Reserves the first two rounds of the Open Season for existing customers in order to maximize existing customers’ opportunity to acquire capacity equal to the level of their historical demand;</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 xml:space="preserve">Reserves the first two, “customer-only” rounds of the Open Season for existing customers before making capacity available more broadly to the competitive market; </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 xml:space="preserve">Places a market concentration limit on ownership by any party of 40% at any receipt point in the primary market for capacity; </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Prevents capacity owners who desire to raise prices by withholding capacity from the market by permitting the utility to sell unutilized capacity in the as-available or interruptible market; and</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 xml:space="preserve">Provides opportunities for wholesale customers to acquire firm capacity prior to the Open Season, as well as during the Open Season.  </w:t>
      </w:r>
    </w:p>
    <w:p>
      <w:pPr>
        <w:pStyle w:val="Normal"/>
        <w:rPr>
          <w:rFonts w:ascii="Arial" w:hAnsi="Arial" w:cs="Arial"/>
        </w:rPr>
      </w:pPr>
      <w:r>
        <w:rPr>
          <w:rFonts w:cs="Arial" w:ascii="Arial" w:hAnsi="Arial"/>
        </w:rPr>
      </w:r>
    </w:p>
    <w:p>
      <w:pPr>
        <w:pStyle w:val="Normal"/>
        <w:spacing w:lineRule="auto" w:line="480"/>
        <w:rPr>
          <w:rFonts w:ascii="Arial" w:hAnsi="Arial" w:cs="Arial"/>
        </w:rPr>
      </w:pPr>
      <w:r>
        <w:rPr>
          <w:rFonts w:cs="Arial" w:ascii="Arial" w:hAnsi="Arial"/>
        </w:rPr>
        <w:t xml:space="preserve">Each of these features, which are described in greater detail below, minimizes the risk of market concentration in the primary market.  More importantly, these preventive measures reach beyond those in place under the PG&amp;E Gas Accord (discussed below in section IV.C.)  </w:t>
      </w:r>
    </w:p>
    <w:p>
      <w:pPr>
        <w:pStyle w:val="Heading1"/>
        <w:ind w:hanging="720" w:start="1440" w:end="0"/>
        <w:rPr/>
      </w:pPr>
      <w:bookmarkStart w:id="5" w:name="__RefHeading___Toc487877582"/>
      <w:r>
        <w:rPr/>
        <w:t xml:space="preserve">A.  </w:t>
        <w:tab/>
        <w:t>The Capacity Allocation Process Is Designed to Limit Market Concentration and Maximize Liquidity.</w:t>
      </w:r>
      <w:bookmarkEnd w:id="5"/>
      <w:r>
        <w:rPr/>
        <w:t xml:space="preserve">  </w:t>
      </w:r>
    </w:p>
    <w:p>
      <w:pPr>
        <w:pStyle w:val="Heading1"/>
        <w:rPr/>
      </w:pPr>
      <w:r>
        <w:rPr/>
      </w:r>
    </w:p>
    <w:p>
      <w:pPr>
        <w:pStyle w:val="Heading1"/>
        <w:rPr/>
      </w:pPr>
      <w:r>
        <w:rPr/>
        <w:tab/>
        <w:tab/>
      </w:r>
      <w:bookmarkStart w:id="6" w:name="__RefHeading___Toc487877583"/>
      <w:r>
        <w:rPr/>
        <w:t>1.</w:t>
        <w:tab/>
        <w:t>Pre-Open Season Allocations</w:t>
      </w:r>
      <w:bookmarkEnd w:id="6"/>
    </w:p>
    <w:p>
      <w:pPr>
        <w:pStyle w:val="Heading1"/>
        <w:rPr/>
      </w:pPr>
      <w:r>
        <w:rPr/>
      </w:r>
    </w:p>
    <w:p>
      <w:pPr>
        <w:pStyle w:val="Normal"/>
        <w:spacing w:lineRule="auto" w:line="480"/>
        <w:ind w:firstLine="720" w:end="0"/>
        <w:rPr>
          <w:rFonts w:ascii="Arial" w:hAnsi="Arial" w:cs="Arial"/>
        </w:rPr>
      </w:pPr>
      <w:r>
        <w:rPr>
          <w:rFonts w:cs="Arial" w:ascii="Arial" w:hAnsi="Arial"/>
        </w:rPr>
        <w:t>Prior to the Open Season, firm backbone transmission capacity rights on the SoCalGas system will be assigned to SoCalGas’ Gas Acquisition Department in order to meet the demand of core customers taking procurement services from them.  (CS §II.1.1.3.6.)  As well, firm backbone transmission capacity on the SoCalGas system will be offered to wholesale customers, Core Transport Agents (CTAs), and to existing California producers.  (CS §II.1.1.3.1.)  Remaining firm backbone transmission capacity not allocated in this pre-Open Season process will be allocated through the Open Season Process.  (CS §II.1.1.3.6.)</w:t>
      </w:r>
    </w:p>
    <w:p>
      <w:pPr>
        <w:pStyle w:val="Normal"/>
        <w:spacing w:lineRule="auto" w:line="480"/>
        <w:ind w:firstLine="720" w:end="0"/>
        <w:rPr>
          <w:rFonts w:ascii="Arial" w:hAnsi="Arial" w:cs="Arial"/>
        </w:rPr>
      </w:pPr>
      <w:r>
        <w:rPr>
          <w:rFonts w:cs="Arial" w:ascii="Arial" w:hAnsi="Arial"/>
        </w:rPr>
        <w:t>This initial allocation, along with further steps in the Open Season Process, described in section IV.A.3 below, provide the opportunity for many parties to participate in the unbundled intrastate transmission capacity market.  It thereby limits the amount of capacity which a single party might succeed in controlling through the Open Season process.</w:t>
      </w:r>
    </w:p>
    <w:p>
      <w:pPr>
        <w:pStyle w:val="Heading1"/>
        <w:rPr/>
      </w:pPr>
      <w:r>
        <w:rPr/>
        <w:tab/>
        <w:tab/>
      </w:r>
      <w:bookmarkStart w:id="7" w:name="__RefHeading___Toc487877584"/>
      <w:r>
        <w:rPr/>
        <w:t>2.</w:t>
        <w:tab/>
        <w:t>The Non-Core “Customer” Open Season</w:t>
      </w:r>
      <w:bookmarkEnd w:id="7"/>
    </w:p>
    <w:p>
      <w:pPr>
        <w:pStyle w:val="Normal"/>
        <w:rPr>
          <w:rFonts w:ascii="Arial" w:hAnsi="Arial" w:cs="Arial"/>
        </w:rPr>
      </w:pPr>
      <w:r>
        <w:rPr>
          <w:rFonts w:cs="Arial" w:ascii="Arial" w:hAnsi="Arial"/>
        </w:rPr>
      </w:r>
    </w:p>
    <w:p>
      <w:pPr>
        <w:pStyle w:val="Normal"/>
        <w:spacing w:lineRule="auto" w:line="480"/>
        <w:ind w:firstLine="720" w:end="0"/>
        <w:rPr/>
      </w:pPr>
      <w:r>
        <w:rPr>
          <w:rFonts w:cs="Arial" w:ascii="Arial" w:hAnsi="Arial"/>
        </w:rPr>
        <w:t xml:space="preserve">Capacity available after the pre-Open Season allocations becomes available to non-core customers and/or their suppliers in a three-stage Open Season.  (CS §II.1.1.3.6.)  In fact, end-use customers will have </w:t>
      </w:r>
      <w:r>
        <w:rPr>
          <w:rFonts w:cs="Arial" w:ascii="Arial" w:hAnsi="Arial"/>
          <w:i/>
          <w:iCs/>
        </w:rPr>
        <w:t>two</w:t>
      </w:r>
      <w:r>
        <w:rPr>
          <w:rFonts w:cs="Arial" w:ascii="Arial" w:hAnsi="Arial"/>
        </w:rPr>
        <w:t xml:space="preserve"> rounds in the Open Season to obtain firm capacity.  (Exhibit 14,Prepared Rebuttal of Latimer Lorenz, at p. 4).  The stages are established as described below.  </w:t>
      </w:r>
    </w:p>
    <w:p>
      <w:pPr>
        <w:pStyle w:val="Heading1"/>
        <w:rPr/>
      </w:pPr>
      <w:r>
        <w:rPr/>
        <w:tab/>
        <w:tab/>
        <w:tab/>
      </w:r>
      <w:bookmarkStart w:id="8" w:name="__RefHeading___Toc487877585"/>
      <w:r>
        <w:rPr/>
        <w:t>a.</w:t>
        <w:tab/>
        <w:t>“Customer” Stage One.</w:t>
      </w:r>
      <w:bookmarkEnd w:id="8"/>
    </w:p>
    <w:p>
      <w:pPr>
        <w:pStyle w:val="Normal"/>
        <w:rPr>
          <w:rFonts w:ascii="Arial" w:hAnsi="Arial" w:cs="Arial"/>
        </w:rPr>
      </w:pPr>
      <w:r>
        <w:rPr>
          <w:rFonts w:cs="Arial" w:ascii="Arial" w:hAnsi="Arial"/>
        </w:rPr>
      </w:r>
    </w:p>
    <w:p>
      <w:pPr>
        <w:pStyle w:val="BodyTextIndent2"/>
        <w:rPr/>
      </w:pPr>
      <w:r>
        <w:rPr/>
        <w:t>Fifty percent of capacity that is to be distributed in the Open Season will be made available at each receipt point in the first and second stages.  In the first stage, existing non-core (including wholesale) customers may reserve transmission rights only up to the amount of their historical load, and existing CTAs may reserve only up to the amount of their currently contracted-for load.  (CS §II.1.1.3.6.1.)  Agents or contracted marketers may act on behalf of non-core customers in bidding for or obtaining capacity.  (</w:t>
      </w:r>
      <w:r>
        <w:rPr>
          <w:i/>
          <w:iCs/>
        </w:rPr>
        <w:t>Id.</w:t>
      </w:r>
      <w:r>
        <w:rPr/>
        <w:t>)  Customers may assign their right to bid in the Open Season to third parties, such as marketers.  (</w:t>
      </w:r>
      <w:r>
        <w:rPr>
          <w:i/>
          <w:iCs/>
        </w:rPr>
        <w:t>Id.</w:t>
      </w:r>
      <w:r>
        <w:rPr/>
        <w:t>)  However, marketers are not otherwise eligible to participate on their own behalf in the first and second stages of the initial Open Season.  (</w:t>
      </w:r>
      <w:r>
        <w:rPr>
          <w:i/>
          <w:iCs/>
        </w:rPr>
        <w:t>Id.</w:t>
      </w:r>
      <w:r>
        <w:rPr/>
        <w:t>)</w:t>
      </w:r>
    </w:p>
    <w:p>
      <w:pPr>
        <w:pStyle w:val="BodyTextIndent2"/>
        <w:rPr/>
      </w:pPr>
      <w:r>
        <w:rPr/>
        <w:t>Customers (or contracted marketers or assignees) may bid for any term length up to the full remaining term of the Comprehensive Settlement.  (CS §§II.1.1.3.1 and II.1.1.3.6.5.)  In all stages of the initial Open Season, customers will choose to bid either a 100% reservation charge rate design at a postage stamp rate of $0.07191 per dth or a 50% reservation charge/50% volumetric charge rate design at $0.07591 per dth (with a special exception for capacity offered on a seasonal basis, yet another alternative rate design.  (</w:t>
      </w:r>
      <w:r>
        <w:rPr>
          <w:i/>
          <w:iCs/>
        </w:rPr>
        <w:t>See,</w:t>
      </w:r>
      <w:r>
        <w:rPr/>
        <w:t xml:space="preserve"> section IV.3, below.)  (CS §II.1.1.3.6.5.)  Neither rate design will be preferred over the other, but if more volume is bid than is available at a particular receipt point at a particular stage in the initial Open Season, capacity will be awarded to the customer which bid the longest term.  (</w:t>
      </w:r>
      <w:r>
        <w:rPr>
          <w:i/>
          <w:iCs/>
        </w:rPr>
        <w:t>Id.</w:t>
      </w:r>
      <w:r>
        <w:rPr/>
        <w:t>)  In stages one and two of the initial Open Season, bids for daily capacity for a term of one year or more will be given preference over bids for seasonal capacity.  (</w:t>
      </w:r>
      <w:r>
        <w:rPr>
          <w:i/>
          <w:iCs/>
        </w:rPr>
        <w:t>Id.</w:t>
      </w:r>
      <w:r>
        <w:rPr/>
        <w:t>)  If two or more customers bid for more capacity than is available at a particular receipt point at a particular stage and bid for identical term lengths, then capacity will be awarded to each proportionate to the amount bid at that receipt point and in that stage of the Open Season.  (</w:t>
      </w:r>
      <w:r>
        <w:rPr>
          <w:i/>
          <w:iCs/>
        </w:rPr>
        <w:t>Id.</w:t>
      </w:r>
      <w:r>
        <w:rPr/>
        <w:t>)</w:t>
      </w:r>
    </w:p>
    <w:p>
      <w:pPr>
        <w:pStyle w:val="Heading1"/>
        <w:rPr/>
      </w:pPr>
      <w:r>
        <w:rPr/>
        <w:tab/>
        <w:tab/>
        <w:tab/>
      </w:r>
      <w:bookmarkStart w:id="9" w:name="__RefHeading___Toc487877586"/>
      <w:r>
        <w:rPr/>
        <w:t>b.</w:t>
        <w:tab/>
        <w:t>“Customer” Stage Two.</w:t>
      </w:r>
      <w:bookmarkEnd w:id="9"/>
    </w:p>
    <w:p>
      <w:pPr>
        <w:pStyle w:val="Normal"/>
        <w:rPr>
          <w:rFonts w:ascii="Arial" w:hAnsi="Arial" w:cs="Arial"/>
        </w:rPr>
      </w:pPr>
      <w:r>
        <w:rPr>
          <w:rFonts w:cs="Arial" w:ascii="Arial" w:hAnsi="Arial"/>
        </w:rPr>
      </w:r>
    </w:p>
    <w:p>
      <w:pPr>
        <w:pStyle w:val="BodyTextIndent2"/>
        <w:rPr/>
      </w:pPr>
      <w:r>
        <w:rPr/>
        <w:t>Capacity not subscribed in stage one will be offered in Stage Two.  (CS §II.1.1.3.6.2.)  Only customers who were eligible to participate in the first stage may participate in the second stage.  (</w:t>
      </w:r>
      <w:r>
        <w:rPr>
          <w:i/>
          <w:iCs/>
        </w:rPr>
        <w:t>Id.</w:t>
      </w:r>
      <w:r>
        <w:rPr/>
        <w:t xml:space="preserve">)  The procedures for Stage Two will mirror stage one procedures.  (CS §II.1.1.3.1.)  </w:t>
      </w:r>
    </w:p>
    <w:p>
      <w:pPr>
        <w:pStyle w:val="Heading1"/>
        <w:rPr/>
      </w:pPr>
      <w:r>
        <w:rPr/>
        <w:tab/>
        <w:tab/>
        <w:tab/>
      </w:r>
      <w:bookmarkStart w:id="10" w:name="__RefHeading___Toc487877587"/>
      <w:r>
        <w:rPr/>
        <w:t>c.</w:t>
        <w:tab/>
        <w:t>All Market Participants Stage Three.</w:t>
      </w:r>
      <w:bookmarkEnd w:id="10"/>
    </w:p>
    <w:p>
      <w:pPr>
        <w:pStyle w:val="Normal"/>
        <w:rPr>
          <w:rFonts w:ascii="Arial" w:hAnsi="Arial" w:cs="Arial"/>
        </w:rPr>
      </w:pPr>
      <w:r>
        <w:rPr>
          <w:rFonts w:cs="Arial" w:ascii="Arial" w:hAnsi="Arial"/>
        </w:rPr>
      </w:r>
    </w:p>
    <w:p>
      <w:pPr>
        <w:pStyle w:val="BodyTextIndent2"/>
        <w:rPr/>
      </w:pPr>
      <w:r>
        <w:rPr/>
        <w:t xml:space="preserve">The capacity available in the third stage of the Open Season is all firm capacity not awarded through reservations or the first two stages, including </w:t>
      </w:r>
      <w:r>
        <w:rPr>
          <w:bCs/>
        </w:rPr>
        <w:t>the other 50% remainder reserved after pre-Open Season allocations</w:t>
      </w:r>
      <w:r>
        <w:rPr/>
        <w:t>.  (CS §§II.1.1.3.6.1 and II.1.1.3.6.3.)  All market participants are eligible to participate in Stage Three – any customer who was eligible to participate in Stages One and Two of the initial Open Season and any “creditworthy person,” as defined in section 1.2.3.2 of the Comprehensive Settlement, may participate in this final stage of the initial Open Season.  (CS §II.1.1.3.6.3.)  At least 20% of the capacity at each receipt point available during the third stage of the Open Season must be bid for a term of only one year, and that capacity will be subject to the one-year limitation through the entire term of the Comprehensive Settlement.  (</w:t>
      </w:r>
      <w:r>
        <w:rPr>
          <w:i/>
          <w:iCs/>
        </w:rPr>
        <w:t>Id.</w:t>
      </w:r>
      <w:r>
        <w:rPr/>
        <w:t xml:space="preserve">; </w:t>
      </w:r>
      <w:r>
        <w:rPr>
          <w:i/>
          <w:iCs/>
        </w:rPr>
        <w:t>also</w:t>
      </w:r>
      <w:r>
        <w:rPr/>
        <w:t xml:space="preserve">, </w:t>
      </w:r>
      <w:r>
        <w:rPr>
          <w:bCs/>
        </w:rPr>
        <w:t xml:space="preserve">CS </w:t>
      </w:r>
      <w:r>
        <w:rPr/>
        <w:t>§II.1.1.3.1.)  All remaining capacity may be bid for the full term of this Settlement.  (</w:t>
      </w:r>
      <w:r>
        <w:rPr>
          <w:i/>
          <w:iCs/>
        </w:rPr>
        <w:t>Id.</w:t>
      </w:r>
      <w:r>
        <w:rPr/>
        <w:t xml:space="preserve">)  Except for the limitation to historical demand, the rules pertaining to allocation of capacity in Stages One and Two apply to Stage Three.  (CS §§II.1.1.3.1, II.1.1.3.6.3, and II.1.1.3.6.5.)  </w:t>
      </w:r>
    </w:p>
    <w:p>
      <w:pPr>
        <w:pStyle w:val="Heading1"/>
        <w:ind w:hanging="720" w:start="2160" w:end="0"/>
        <w:rPr/>
      </w:pPr>
      <w:bookmarkStart w:id="11" w:name="__RefHeading___Toc487877588"/>
      <w:bookmarkEnd w:id="11"/>
      <w:r>
        <w:rPr/>
        <w:t>3.</w:t>
        <w:tab/>
        <w:t>The Open Season Serves the Public Interest by Increasing the Opportunity for Existing Transportation Customers to Obtain and Manage Capacity, Enhancing Liquidity and Reducing the Potential for Market Concentration.</w:t>
      </w:r>
    </w:p>
    <w:p>
      <w:pPr>
        <w:pStyle w:val="Normal"/>
        <w:rPr>
          <w:rFonts w:ascii="Arial" w:hAnsi="Arial" w:cs="Arial"/>
        </w:rPr>
      </w:pPr>
      <w:r>
        <w:rPr>
          <w:rFonts w:cs="Arial" w:ascii="Arial" w:hAnsi="Arial"/>
        </w:rPr>
      </w:r>
    </w:p>
    <w:p>
      <w:pPr>
        <w:pStyle w:val="BodyTextIndent2"/>
        <w:rPr>
          <w:b/>
        </w:rPr>
      </w:pPr>
      <w:r>
        <w:rPr/>
        <w:t>Market liquidity is the state in the market in which there are a large number of buyers and a large number of sellers, and all buyers and sellers have equal access to all information necessary to the purchase or sale of the commodity.  (Exhbit 10, Prepared Direct Testimony of Jean Marie Zaiontz, at p. 6:9-11.)  Specifically, market liquidity  can be measured by the difference between the cost of purchasing the commodity and the cost of selling the commodity; the greater the difference between the purchase and sale costs, the less “liquid” the market.  (</w:t>
      </w:r>
      <w:r>
        <w:rPr>
          <w:i/>
          <w:iCs/>
        </w:rPr>
        <w:t>Id</w:t>
      </w:r>
      <w:r>
        <w:rPr/>
        <w:t>., at p. 6:11-13.)</w:t>
      </w:r>
      <w:r>
        <w:rPr>
          <w:i/>
          <w:iCs/>
        </w:rPr>
        <w:t xml:space="preserve">  </w:t>
      </w:r>
      <w:r>
        <w:rPr/>
        <w:t>Conversely, the smaller the difference between the purchase and sale costs, the more “liquid” the market.  (</w:t>
      </w:r>
      <w:r>
        <w:rPr>
          <w:i/>
          <w:iCs/>
        </w:rPr>
        <w:t>Id.</w:t>
      </w:r>
      <w:r>
        <w:rPr/>
        <w:t>, at p. 6:13-14.)  Market liquidity is achieved by maximizing the number of buyers and sellers in the market.  (</w:t>
      </w:r>
      <w:r>
        <w:rPr>
          <w:i/>
          <w:iCs/>
        </w:rPr>
        <w:t>Id.</w:t>
      </w:r>
      <w:r>
        <w:rPr/>
        <w:t>, at p. 6:14-15.)  In a liquid market, prices will not be artificially high as a result of any particular participant’s behavior.  (</w:t>
      </w:r>
      <w:r>
        <w:rPr>
          <w:i/>
        </w:rPr>
        <w:t>Id.</w:t>
      </w:r>
      <w:r>
        <w:rPr>
          <w:iCs/>
        </w:rPr>
        <w:t>, at p. 6:15-16.)</w:t>
      </w:r>
      <w:r>
        <w:rPr/>
        <w:t xml:space="preserve">  As the number of sales and purchases increases, price distortion is less likely to occur, and accurate market prices will be reflected in the price charged to consumers.  </w:t>
      </w:r>
      <w:r>
        <w:rPr>
          <w:bCs/>
        </w:rPr>
        <w:t>(</w:t>
      </w:r>
      <w:r>
        <w:rPr>
          <w:bCs/>
          <w:i/>
          <w:iCs/>
        </w:rPr>
        <w:t>Id.</w:t>
      </w:r>
      <w:r>
        <w:rPr>
          <w:bCs/>
        </w:rPr>
        <w:t>, at p. 6:16-18.)</w:t>
      </w:r>
    </w:p>
    <w:p>
      <w:pPr>
        <w:pStyle w:val="BodyTextIndent2"/>
        <w:rPr/>
      </w:pPr>
      <w:r>
        <w:rPr/>
        <w:t>The Open Season is designed to maximize the opportunity for both customers and marketers to acquire capacity rights, and thus to maximize the number of participants.</w:t>
      </w:r>
      <w:r>
        <w:rPr>
          <w:bCs/>
        </w:rPr>
        <w:t>(</w:t>
      </w:r>
      <w:r>
        <w:rPr>
          <w:bCs/>
          <w:i/>
          <w:iCs/>
        </w:rPr>
        <w:t>See</w:t>
      </w:r>
      <w:r>
        <w:rPr>
          <w:bCs/>
        </w:rPr>
        <w:t>, Prepared Rebuttal Testimony of Tom Beach, at p. 9:16-23.)</w:t>
      </w:r>
      <w:r>
        <w:rPr/>
        <w:t xml:space="preserve">  The Open Season is divided into three stages so that no market participant is excluded.  (CS §II.1.1.3.6.3; Exhbit 10, Prepared Direct Testimony of Zaiontz, at p. 6:21-24; Exhbit 6, Prepared Direct Testimony of Dasovich, at p. 6:17-19.)  The Open Season divides capacity into several segments so that purchasers of smaller amounts of capacity have a reasonable chance of reserving capacity in a market that may include speculative buyers.  (CS §II.1.1.3.6.3; Exibit 10, Prepared Direct Testimony of Zaiontz, at p. 6:21-24.)</w:t>
      </w:r>
    </w:p>
    <w:p>
      <w:pPr>
        <w:pStyle w:val="BodyTextIndent2"/>
        <w:rPr>
          <w:b/>
        </w:rPr>
      </w:pPr>
      <w:r>
        <w:rPr/>
        <w:t>The prospect of a customer acquiring capacity is enhanced by the “customer first” stages of the open season.  As described above, in the first two stages of the Open Season, current SoCalGas customers have an opportunity to acquire a portion of capacity to meet their demand without competing in the initial stage against large customers speculating in large blocks of capacity in excess of historical requirements or marketers.  (CS §II.1.1.3.6.1.)  Customers can request capacity sufficient to meet their load, and, to the extent that they do not assign their rights to aggregators or marketers, have a feasible opportunity of reserving capacity if they choose.  (Exhibit 10, Prepared Direct Testimony of Zaiontz, at p. 6:26-7:3.)</w:t>
      </w:r>
    </w:p>
    <w:p>
      <w:pPr>
        <w:pStyle w:val="BodyTextIndent2"/>
        <w:rPr/>
      </w:pPr>
      <w:r>
        <w:rPr/>
        <w:t>The purpose of structuring the Open Season this way is to maximize the number of customers that participate.  (</w:t>
      </w:r>
      <w:r>
        <w:rPr>
          <w:i/>
          <w:iCs/>
        </w:rPr>
        <w:t>See,</w:t>
      </w:r>
      <w:r>
        <w:rPr/>
        <w:t xml:space="preserve"> Exhbit 6, Prepared Direct Testimony of Dasovich, at p. 8:13-16.)  Greater numbers of buyers of firm capacity enhance the liquidity balance.  (Exhibit 10, Prepared Direct Testimony of Zaiontz, at p. 7:6)  Without this improved liquidity envisioned under the Comprehensive Settlement, the economic rents associated with firm receipt points could go exclusively to a few “big players” in the market who were able to obtain capacity, rather than being shared equitably amongst all market participants</w:t>
      </w:r>
      <w:r>
        <w:rPr>
          <w:i/>
        </w:rPr>
        <w:t>.</w:t>
      </w:r>
      <w:r>
        <w:rPr>
          <w:iCs/>
        </w:rPr>
        <w:t xml:space="preserve">  (</w:t>
      </w:r>
      <w:r>
        <w:rPr>
          <w:i/>
        </w:rPr>
        <w:t>Id.</w:t>
      </w:r>
      <w:r>
        <w:rPr>
          <w:iCs/>
        </w:rPr>
        <w:t>, at p. 7:7-9.)</w:t>
      </w:r>
      <w:r>
        <w:rPr>
          <w:i/>
        </w:rPr>
        <w:t xml:space="preserve">  “[T]he open season was designed so that the maximum number of players would have an equal opportunity to space.  And therefore the opportunity for</w:t>
      </w:r>
      <w:r>
        <w:rPr/>
        <w:t xml:space="preserve"> </w:t>
      </w:r>
      <w:r>
        <w:rPr>
          <w:i/>
          <w:iCs/>
        </w:rPr>
        <w:t xml:space="preserve">any one entity (to dominate that through a higher payment of dollars is minimized.”) </w:t>
      </w:r>
      <w:r>
        <w:rPr/>
        <w:t xml:space="preserve"> (Amoco Energy Trading Company/Zaiontz, Tr. vol. 5, p. 522)  </w:t>
      </w:r>
    </w:p>
    <w:p>
      <w:pPr>
        <w:pStyle w:val="BodyTextIndent3"/>
        <w:ind w:firstLine="720" w:end="0"/>
        <w:rPr/>
      </w:pPr>
      <w:r>
        <w:rPr/>
        <w:t xml:space="preserve">Other features of the Open Season should also increase participation by customers and thus increase liquidity:  </w:t>
      </w:r>
    </w:p>
    <w:p>
      <w:pPr>
        <w:pStyle w:val="Normal"/>
        <w:numPr>
          <w:ilvl w:val="0"/>
          <w:numId w:val="2"/>
        </w:numPr>
        <w:rPr>
          <w:rFonts w:ascii="Arial" w:hAnsi="Arial" w:cs="Arial"/>
        </w:rPr>
      </w:pPr>
      <w:r>
        <w:rPr>
          <w:rFonts w:cs="Arial" w:ascii="Arial" w:hAnsi="Arial"/>
          <w:b/>
        </w:rPr>
        <w:t>Rate Design Flexibility.</w:t>
      </w:r>
      <w:r>
        <w:rPr>
          <w:rFonts w:cs="Arial" w:ascii="Arial" w:hAnsi="Arial"/>
        </w:rPr>
        <w:t xml:space="preserve">  Customers may choose between a rate design based solely on a reservation charge of $0.07191 per dth (subject to a standard annual escalation) or a rate design with a 50% reservation charge and a 50% volumetric charge, for a total rate of $0.07591 per dth.  (CS §I.1.1.3.2; Exhbit 4 Prepared Direct Testimony of Mark Pocta, at p. 9-10.)  Customers may even use both rate designs for separate amounts of capacity at a single receipt point.  (CS §II.1.1.3.6.5.)  Additionally, customers on the SoCalGas system may choose a rate design based on seasonal capacity, that is, based on 120% of $0.07191 per dth, with a 100% reservation charge rate design; a 50/50 rate design is not offered for seasonal capacity.  (CS §II.1.1.3.6.1.)  Customers can avoid paying the demand charge altogether by purchasing capacity at the citygate.  ( Exhibit 18, Prepared Rebuttal Testimony of Beach, at p. 8:27-9:5.)  This supply of options was designed to increase customer participation by giving customers a range of services from which to choose and best tailor their supply portfolios.  </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b/>
        </w:rPr>
        <w:t>CTA Flexibility.</w:t>
      </w:r>
      <w:r>
        <w:rPr>
          <w:rFonts w:cs="Arial" w:ascii="Arial" w:hAnsi="Arial"/>
        </w:rPr>
        <w:t xml:space="preserve">  The Comprehensive Settlement provides that CTAs also may request capacity.  (CS §§II.1.1.3.5.2 and [II.1.1.3.5.4.3] (p. 15).)  Under this settlement, CTAs will have more flexibility in managing their portfolios, in that they will have more flexibility to buy and sell transmission and storage when these services are unbundled.  (</w:t>
      </w:r>
      <w:r>
        <w:rPr>
          <w:rFonts w:cs="Arial" w:ascii="Arial" w:hAnsi="Arial"/>
          <w:i/>
          <w:iCs/>
        </w:rPr>
        <w:t>Id.</w:t>
      </w:r>
      <w:r>
        <w:rPr>
          <w:rFonts w:cs="Arial" w:ascii="Arial" w:hAnsi="Arial"/>
        </w:rPr>
        <w:t xml:space="preserve">)  CTAs can therefore maneuver to provide the lowest cost portfolio, to the benefit of core consumers.  </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b/>
        </w:rPr>
        <w:t xml:space="preserve">Flexibility for FTR Holders.  </w:t>
      </w:r>
      <w:r>
        <w:rPr>
          <w:rFonts w:cs="Arial" w:ascii="Arial" w:hAnsi="Arial"/>
        </w:rPr>
        <w:t xml:space="preserve">The Comprehensive Settlement provides holders of firm capacity rights sufficient flexibility to tailor portfolios or sell their firm rights.  (CS §II.1.1.)  Some options that might be considered include </w:t>
      </w:r>
      <w:r>
        <w:rPr>
          <w:rFonts w:cs="Arial" w:ascii="Arial" w:hAnsi="Arial"/>
          <w:i/>
        </w:rPr>
        <w:t>“selling [capacity] either at the border, selling to … marketers, selling directly to end users,”</w:t>
      </w:r>
      <w:r>
        <w:rPr>
          <w:rFonts w:cs="Arial" w:ascii="Arial" w:hAnsi="Arial"/>
        </w:rPr>
        <w:t xml:space="preserve"> and selling at the citygate market.  (Amoco Energy Trading Company/Zaiontz, Tr. vol. 5, p. 516)</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b/>
        </w:rPr>
        <w:t xml:space="preserve">Maximizing the Number of Successful Bidders.  </w:t>
      </w:r>
      <w:r>
        <w:rPr>
          <w:rFonts w:cs="Arial" w:ascii="Arial" w:hAnsi="Arial"/>
        </w:rPr>
        <w:t xml:space="preserve">The Open Season ensures that no </w:t>
      </w:r>
      <w:r>
        <w:rPr>
          <w:rFonts w:cs="Arial" w:ascii="Arial" w:hAnsi="Arial"/>
          <w:i/>
        </w:rPr>
        <w:t>single</w:t>
      </w:r>
      <w:r>
        <w:rPr>
          <w:rFonts w:cs="Arial" w:ascii="Arial" w:hAnsi="Arial"/>
        </w:rPr>
        <w:t xml:space="preserve"> bidder succeeds to all capacity simply because of its ability to game the Open Season bidding process.  Instead, as many bidders that bid for equal term lengths will succeed to capacity in proportion to the amount originally bid.  (CS §II.1.1.3.6.5.)  Again, this will maximize the number of market participants and enhance market liquidity.  </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b/>
        </w:rPr>
        <w:t xml:space="preserve">One-Year Term Limit on a Block of Capacity.  </w:t>
      </w:r>
      <w:r>
        <w:rPr>
          <w:rFonts w:cs="Arial" w:ascii="Arial" w:hAnsi="Arial"/>
        </w:rPr>
        <w:t xml:space="preserve">The Comprehensive Settlement sets aside a block of capacity in the initial Open Season that will be available solely for a term of one year.  (CS §§II.1.1.3.6.3 and II.1.1.3.6.4.)  By making this reservation, the settlement once again limits the ability of a single market participant to gain access to concentrated blocks of capacity by bidding for longer terms.  </w:t>
      </w:r>
      <w:r>
        <w:rPr>
          <w:rFonts w:cs="Arial" w:ascii="Arial" w:hAnsi="Arial"/>
          <w:bCs/>
          <w:i/>
          <w:iCs/>
        </w:rPr>
        <w:t xml:space="preserve"> “SoCalGas can sell (and has an incentive to sell) capacity that is not contracted for through the Open Season on a short-term firm basis.  </w:t>
      </w:r>
      <w:r>
        <w:rPr>
          <w:rFonts w:cs="Arial" w:ascii="Arial" w:hAnsi="Arial"/>
          <w:bCs/>
          <w:i/>
          <w:iCs/>
          <w:u w:val="single"/>
        </w:rPr>
        <w:t>Yes, the 20% of capacity reserved for one-year deals remains in subsequent Open Seasons</w:t>
      </w:r>
      <w:r>
        <w:rPr>
          <w:rFonts w:cs="Arial" w:ascii="Arial" w:hAnsi="Arial"/>
          <w:bCs/>
          <w:i/>
          <w:iCs/>
        </w:rPr>
        <w:t xml:space="preserve">.”  </w:t>
      </w:r>
      <w:r>
        <w:rPr>
          <w:rFonts w:cs="Arial" w:ascii="Arial" w:hAnsi="Arial"/>
          <w:bCs/>
        </w:rPr>
        <w:t>(Exhibit 19, Responses to the Comprehensive Settlement Questions/Requests of ALJ Andrea Biren, Part 1 of 2 (May 31, 2000 – REVISED), R.1.1.3.6.4 (emphasis added).)</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b/>
        </w:rPr>
        <w:t xml:space="preserve">Immediate Implementation of and Liquidity in the Secondary Market.  </w:t>
      </w:r>
      <w:r>
        <w:rPr>
          <w:rFonts w:cs="Arial" w:ascii="Arial" w:hAnsi="Arial"/>
        </w:rPr>
        <w:t xml:space="preserve">The Comprehensive Settlement also provides for a secondary market as early as the conclusion of the initial Open Season.  (CS §II.1.2, and Amoco Energy Trading Company/Zaiontz, Tr. vol. 5, p. 524:4-526:6.)  Participants that reserved firm capacity in the Open Season may assign their rights to capacity in the secondary market, and buyers in the secondary market do not face the 40 percent maximum capacity limitation at each receipt point, as noted below.  (CS §§ II.1.2.3 and II.1.1.3.9.)  Greater numbers of transactions further enhance market liquidity, and the number of sales and purchases of capacity in the secondary market are without limit.  </w:t>
      </w:r>
    </w:p>
    <w:p>
      <w:pPr>
        <w:pStyle w:val="Pleading"/>
        <w:numPr>
          <w:ilvl w:val="0"/>
          <w:numId w:val="0"/>
        </w:numPr>
        <w:ind w:hanging="0" w:start="0"/>
        <w:rPr>
          <w:rFonts w:ascii="Arial" w:hAnsi="Arial" w:cs="Arial"/>
        </w:rPr>
      </w:pPr>
      <w:r>
        <w:rPr>
          <w:rFonts w:cs="Arial"/>
        </w:rPr>
      </w:r>
    </w:p>
    <w:p>
      <w:pPr>
        <w:pStyle w:val="Normal"/>
        <w:numPr>
          <w:ilvl w:val="0"/>
          <w:numId w:val="2"/>
        </w:numPr>
        <w:rPr>
          <w:rFonts w:ascii="Arial" w:hAnsi="Arial" w:cs="Arial"/>
        </w:rPr>
      </w:pPr>
      <w:r>
        <w:rPr>
          <w:rFonts w:cs="Arial" w:ascii="Arial" w:hAnsi="Arial"/>
          <w:b/>
        </w:rPr>
        <w:t xml:space="preserve">Incentives and Mandates to Sell Excess Capacity in the Secondary Market.  </w:t>
      </w:r>
      <w:r>
        <w:rPr>
          <w:rFonts w:cs="Arial" w:ascii="Arial" w:hAnsi="Arial"/>
        </w:rPr>
        <w:t xml:space="preserve">The Comprehensive Settlement protects against entities obtaining and hoarding capacity either in the Open Season or in the secondary market.  SoCalGas will be permitted to sell any unused capacity either capacity that was not subscribed in the Open Seasons or capacity that was subscribed in the Open Season, but is not being used (nominated) on any given day as “as-available” capacity.  (CS §II.1.1.3.7.)  Moreover, SoCalGas will have an incentive to market such capacity in the secondary market </w:t>
      </w:r>
      <w:r>
        <w:rPr>
          <w:rFonts w:cs="Arial" w:ascii="Arial" w:hAnsi="Arial"/>
          <w:i/>
          <w:iCs/>
        </w:rPr>
        <w:t>“because it is 100% at risk for the recovery of backbone transmission costs.”</w:t>
      </w:r>
      <w:r>
        <w:rPr>
          <w:rFonts w:cs="Arial" w:ascii="Arial" w:hAnsi="Arial"/>
        </w:rPr>
        <w:t xml:space="preserve">  (Exhibit 18, Prepared Rebuttal Testimony of Beach, at p. 9:25-29; </w:t>
      </w:r>
      <w:r>
        <w:rPr>
          <w:rFonts w:cs="Arial" w:ascii="Arial" w:hAnsi="Arial"/>
          <w:i/>
          <w:iCs/>
        </w:rPr>
        <w:t xml:space="preserve">see also, </w:t>
      </w:r>
      <w:r>
        <w:rPr>
          <w:rFonts w:cs="Arial" w:ascii="Arial" w:hAnsi="Arial"/>
        </w:rPr>
        <w:t xml:space="preserve">CS §II.1.3.)    Therefore, if an entity were to purchase capacity in excess of its needs, it would not be able to withhold the capacity in order to raise market prices.  </w:t>
      </w:r>
      <w:r>
        <w:rPr>
          <w:rFonts w:cs="Arial" w:ascii="Arial" w:hAnsi="Arial"/>
          <w:bCs/>
        </w:rPr>
        <w:t xml:space="preserve">Instead, </w:t>
      </w:r>
      <w:r>
        <w:rPr>
          <w:rFonts w:cs="Arial" w:ascii="Arial" w:hAnsi="Arial"/>
        </w:rPr>
        <w:t xml:space="preserve">the entity would be encouraged to sell the capacity in the secondary market because if the entity refused to do so, perhaps in order to drive up market prices, the capacity would still be offered to the market on an as-available or interruptible basis.  (CS §II.1.1.3.7 and Appendix B, at p. 1.)  This mitigates the ability of an individual holder of capacity to exercise undue market power.  The Comprehensive Settlement provides even further incentives for that entity to market excess, unused capacity:  even though it paid a reservation charge for firm transmission rights, it would not recover the proceeds from the sale of the capacity on an interruptible basis.  </w:t>
      </w:r>
      <w:r>
        <w:rPr>
          <w:rFonts w:cs="Arial" w:ascii="Arial" w:hAnsi="Arial"/>
          <w:i/>
        </w:rPr>
        <w:t>“[T]he firm transport capacity holder has an opportunity to release its own capacity and to broker that,”</w:t>
      </w:r>
      <w:r>
        <w:rPr>
          <w:rFonts w:cs="Arial" w:ascii="Arial" w:hAnsi="Arial"/>
        </w:rPr>
        <w:t xml:space="preserve"> and they chose not to do so.  (Amoco Energy Trading Company/Zaiontz, Tr. vol. 5, p. 526)  </w:t>
      </w:r>
    </w:p>
    <w:p>
      <w:pPr>
        <w:pStyle w:val="Normal"/>
        <w:rPr>
          <w:rFonts w:ascii="Arial" w:hAnsi="Arial" w:cs="Arial"/>
        </w:rPr>
      </w:pPr>
      <w:r>
        <w:rPr>
          <w:rFonts w:cs="Arial" w:ascii="Arial" w:hAnsi="Arial"/>
        </w:rPr>
      </w:r>
    </w:p>
    <w:p>
      <w:pPr>
        <w:pStyle w:val="BodyTextIndent3"/>
        <w:ind w:firstLine="720" w:end="0"/>
        <w:rPr/>
      </w:pPr>
      <w:r>
        <w:rPr/>
        <w:t xml:space="preserve">Each of these features takes a step toward inviting both customer and marketer participation in the Open Season.  These features should work together to maximize participation and thus enhance liquidity.  </w:t>
      </w:r>
    </w:p>
    <w:p>
      <w:pPr>
        <w:pStyle w:val="Normal"/>
        <w:rPr>
          <w:rFonts w:ascii="Arial" w:hAnsi="Arial" w:cs="Arial"/>
        </w:rPr>
      </w:pPr>
      <w:r>
        <w:rPr>
          <w:rFonts w:cs="Arial" w:ascii="Arial" w:hAnsi="Arial"/>
        </w:rPr>
      </w:r>
    </w:p>
    <w:p>
      <w:pPr>
        <w:pStyle w:val="Heading1"/>
        <w:ind w:hanging="720" w:start="1440" w:end="0"/>
        <w:rPr/>
      </w:pPr>
      <w:bookmarkStart w:id="12" w:name="__RefHeading___Toc487877589"/>
      <w:r>
        <w:rPr/>
        <w:t>B.</w:t>
        <w:tab/>
        <w:t>The Comprehensive Settlement Expressly Limits Market Concentration in the Primary Market.</w:t>
      </w:r>
      <w:bookmarkEnd w:id="12"/>
      <w:r>
        <w:rPr/>
        <w:t xml:space="preserve">  </w:t>
      </w:r>
    </w:p>
    <w:p>
      <w:pPr>
        <w:pStyle w:val="Normal"/>
        <w:rPr>
          <w:rFonts w:ascii="Arial" w:hAnsi="Arial" w:cs="Arial"/>
        </w:rPr>
      </w:pPr>
      <w:r>
        <w:rPr>
          <w:rFonts w:cs="Arial" w:ascii="Arial" w:hAnsi="Arial"/>
        </w:rPr>
      </w:r>
    </w:p>
    <w:p>
      <w:pPr>
        <w:pStyle w:val="BodyTextIndent2"/>
        <w:rPr/>
      </w:pPr>
      <w:r>
        <w:rPr/>
        <w:t>Maximizing the number of buyers and sellers in the market at any given time enhances market liquidity.  (Exhibit 10, Prepared Direct Testimony of Zaiontz, at p. 9:11-12.)  Excessive market concentration in the holding of transmission capacity would impair that goal by minimizing the number of “buyers” of gas at the California border.  (</w:t>
      </w:r>
      <w:r>
        <w:rPr>
          <w:i/>
          <w:iCs/>
        </w:rPr>
        <w:t>Id.</w:t>
      </w:r>
      <w:r>
        <w:rPr/>
        <w:t>, at p. 9:12-13.)  The Comprehensive Settlement expressly limits concentration by placing volume ceilings on capacity awarded to any party at any receipt point to 40% of the total open season volumes.  (CS §II.1.1.3.9.)  In addition, since the Open Season volumes are total capacity less Core, Retail, and CTA needs (CS §II.1.1.3.6.), the actual limitation is less than 40% of total receipt point capacity.</w:t>
      </w:r>
    </w:p>
    <w:p>
      <w:pPr>
        <w:pStyle w:val="BodyTextIndent2"/>
        <w:rPr/>
      </w:pPr>
      <w:r>
        <w:rPr/>
        <w:t>The express 40% market concentration limit at each receipt point directly limits the ability of any market participant to gain market power control of capacity.  (</w:t>
      </w:r>
      <w:r>
        <w:rPr>
          <w:i/>
          <w:iCs/>
        </w:rPr>
        <w:t xml:space="preserve">See, </w:t>
      </w:r>
      <w:r>
        <w:rPr/>
        <w:t>CS §II.1.1.3.9.)  Even if an existing customer bids an amount equal to its full historical load, and even if its historical load exceeds 40% of a receipt point’s capability, it cannot succeed to more than 40% of any single receipt point’s capability at each stage of the initial Open Season.  (</w:t>
      </w:r>
      <w:r>
        <w:rPr>
          <w:i/>
          <w:iCs/>
        </w:rPr>
        <w:t>Id.</w:t>
      </w:r>
      <w:r>
        <w:rPr/>
        <w:t>)  At the end of the initial Open Season, no market participant will possess more than 40% of any given receipt point’s capability, even if all allowed capacity is bid by that participant.  (</w:t>
      </w:r>
      <w:r>
        <w:rPr>
          <w:i/>
          <w:iCs/>
        </w:rPr>
        <w:t>Id.</w:t>
      </w:r>
      <w:r>
        <w:rPr/>
        <w:t>)  “The concept of applying the market concentration limit only to the open-season makes sense in that the open-season is intended to set a ‘level playing field’ and then let the secondary market operate.”  (Exhibit 20, “Responses to the Comprehensive Settlement Questions/Requests of ALJ Andrea Biren, Part 2 of 2 (June 5, 2000) R.1.1.3.9, at p. 14.)  Therefore, before the secondary market opens up, no market participant (with the exclusion of SoCalGas the merchant) will have gained any significant market power over capacity on the SoCalGas intrastate backbone system.  (</w:t>
      </w:r>
      <w:r>
        <w:rPr>
          <w:i/>
          <w:iCs/>
        </w:rPr>
        <w:t>See, Id.</w:t>
      </w:r>
      <w:r>
        <w:rPr/>
        <w:t xml:space="preserve">)  </w:t>
      </w:r>
    </w:p>
    <w:p>
      <w:pPr>
        <w:pStyle w:val="BodyTextIndent2"/>
        <w:rPr/>
      </w:pPr>
      <w:r>
        <w:rPr/>
        <w:t xml:space="preserve">The Comprehensive Settlement thus takes an additional step beyond the PG&amp;E Gas Accord in mitigating against the possibility of market concentration by imposing a 40% market concentration cap in the initial Open Season.  There is no such mitigating measure in the PG&amp;E Gas Accord.  (TURN/SCGC/Aglet/Yap, Tr. vol. 2, pp. 216:7-14; </w:t>
      </w:r>
      <w:r>
        <w:rPr>
          <w:i/>
          <w:iCs/>
        </w:rPr>
        <w:t xml:space="preserve">see also, </w:t>
      </w:r>
      <w:r>
        <w:rPr/>
        <w:t xml:space="preserve">The Gas Accord Settlement Agreement (August 21, 1996), §II.E.5.)     Opponents of the Comprehensive Settlement cannot cite market concentration controls in the PG&amp;E Gas Accord that are equivalent to or exceed those in the Comprehensive Settlement.  Nor can they cite any specific instance of market concentration or market power abuses on the PG&amp;E system after the PG&amp;E Gas Accord was approved.  “I don’t have any specific evidence that there has been any anticompetitive behavior on the PG&amp;E system.”  (TURN/SCGC/Aglet/Yap, Tr. vol. 2, pp. 21626-27; </w:t>
      </w:r>
      <w:r>
        <w:rPr>
          <w:i/>
          <w:iCs/>
        </w:rPr>
        <w:t>see also</w:t>
      </w:r>
      <w:r>
        <w:rPr/>
        <w:t xml:space="preserve">, Exhibit 18, Prepared Rebuttal Testimony of Tom Beach, §II.C, “The Benefits of the Gas Accord’s City-Gate Market Have Been Substantial for Electric Generators.”)  If the built-in mechanisms in the Comprehensive Settlement that protect against market concentration far exceed the complete absence of any such protections in the PG&amp;E Gas Accord, then the risk of realization of market concentration on the SoCalGas system under the CS should not exceed that on the PG&amp;E system under the Gas Accord.  In fact, the risk on the SoCalGas system is minimized.  </w:t>
      </w:r>
    </w:p>
    <w:p>
      <w:pPr>
        <w:pStyle w:val="Normal"/>
        <w:spacing w:lineRule="auto" w:line="480"/>
        <w:rPr/>
      </w:pPr>
      <w:r>
        <w:rPr>
          <w:rFonts w:cs="Arial" w:ascii="Arial" w:hAnsi="Arial"/>
        </w:rPr>
        <w:tab/>
        <w:t xml:space="preserve">The concentration limit applies only in the primary market since tracking secondary market trades would be complicated and administratively infeasible.  (CS §II.1.1.3.9.)  The Comprehensive Settlement drafters appreciate the possibility of market power and expressly designed the Open Season process to minimize this risk.  Nonetheless, the Commission should remain cognizant of the risk of market concentration in the secondary market and certainly would not be foreclosed from responding to any such complaints raised by market participants.  Under the Comprehensive Settlement, both the Commission and the built-in preventive mechanisms of the Open Season can mitigate the risk of market concentration through their respective powers and means.  (See , Exhbit 10, Prepared Direct Testimony of Jean Marie Zaiontz, at p. 10:1-5.)  </w:t>
      </w:r>
      <w:r>
        <w:rPr>
          <w:rFonts w:cs="Arial" w:ascii="Arial" w:hAnsi="Arial"/>
          <w:i/>
        </w:rPr>
        <w:t>“As any market is restructuring and as parties have an opportunity to gain access to firm transmission, the Commission and the market participants will be looking towards who owns that firm transmission capacity so that there is not a dominance in a particular area so that the market is not distorted.”</w:t>
      </w:r>
      <w:r>
        <w:rPr>
          <w:rFonts w:cs="Arial" w:ascii="Arial" w:hAnsi="Arial"/>
        </w:rPr>
        <w:t xml:space="preserve">  (Amoco Energy Trading Company/Zaiontz, Tr. vol. 5, pp. 517-18)                                                                                                                </w:t>
      </w:r>
    </w:p>
    <w:p>
      <w:pPr>
        <w:pStyle w:val="BodyText"/>
        <w:spacing w:lineRule="auto" w:line="240"/>
        <w:ind w:hanging="720" w:start="1440" w:end="0"/>
        <w:rPr/>
      </w:pPr>
      <w:r>
        <w:rPr>
          <w:bCs/>
        </w:rPr>
        <w:t>C.</w:t>
        <w:tab/>
        <w:t>The Comprehensive Settlement Represents a Great Improvement Over the PG&amp;E Gas Accord Approved by the Commission In Terms of Broadening Customer Options and Protections Against Market Concentration</w:t>
      </w:r>
      <w:r>
        <w:rPr>
          <w:smallCaps/>
        </w:rPr>
        <w:t xml:space="preserve">.  </w:t>
      </w:r>
    </w:p>
    <w:p>
      <w:pPr>
        <w:pStyle w:val="Normal"/>
        <w:rPr>
          <w:rFonts w:ascii="Arial" w:hAnsi="Arial" w:cs="Arial"/>
          <w:smallCaps/>
        </w:rPr>
      </w:pPr>
      <w:r>
        <w:rPr>
          <w:rFonts w:cs="Arial" w:ascii="Arial" w:hAnsi="Arial"/>
          <w:smallCaps/>
        </w:rPr>
      </w:r>
    </w:p>
    <w:p>
      <w:pPr>
        <w:pStyle w:val="Normal"/>
        <w:spacing w:lineRule="auto" w:line="480"/>
        <w:ind w:firstLine="720" w:end="0"/>
        <w:rPr>
          <w:rFonts w:ascii="Arial" w:hAnsi="Arial" w:cs="Arial"/>
        </w:rPr>
      </w:pPr>
      <w:r>
        <w:rPr>
          <w:rFonts w:cs="Arial" w:ascii="Arial" w:hAnsi="Arial"/>
        </w:rPr>
        <w:t xml:space="preserve">As compared to the Gas Accord Comprehensive Settlement the CS has features that provide more flexibility and options to customers and that provide effective safeguards against the potential for market concentration of intrastate pipeline capacity.  Testifying for the Southern California Generation Coalition, Ms. Yap conceded that the Comprehensive Settlement has safeguards against market concentration that exceed those in the Gas Accord.  </w:t>
      </w:r>
    </w:p>
    <w:p>
      <w:pPr>
        <w:pStyle w:val="BlockText"/>
        <w:rPr>
          <w:rFonts w:cs="Arial"/>
        </w:rPr>
      </w:pPr>
      <w:r>
        <w:rPr>
          <w:rFonts w:cs="Arial"/>
        </w:rPr>
        <w:t>It certainly is better to have more limitations and protections in terms of limitations on market concentration.  And I note that – it is my recollection that the Gas Accord did not have that.  The comprehensive settlement does have some increased level, although it is not clear it is sufficient, but it is increased.  So in that respect it [the CS] would be relatively better [than the Gas Accord].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(TURN/SCGC/Aglet/Yap, Tr. vol. 2, pp. 227:19-228:12.)  </w:t>
      </w:r>
    </w:p>
    <w:p>
      <w:pPr>
        <w:pStyle w:val="Normal"/>
        <w:rPr>
          <w:rFonts w:ascii="Arial" w:hAnsi="Arial" w:cs="Arial"/>
        </w:rPr>
      </w:pPr>
      <w:r>
        <w:rPr>
          <w:rFonts w:cs="Arial" w:ascii="Arial" w:hAnsi="Arial"/>
        </w:rPr>
      </w:r>
    </w:p>
    <w:p>
      <w:pPr>
        <w:pStyle w:val="Normal"/>
        <w:spacing w:lineRule="auto" w:line="480"/>
        <w:rPr>
          <w:rFonts w:ascii="Arial" w:hAnsi="Arial" w:cs="Arial"/>
        </w:rPr>
      </w:pPr>
      <w:r>
        <w:rPr>
          <w:rFonts w:cs="Arial" w:ascii="Arial" w:hAnsi="Arial"/>
        </w:rPr>
        <w:tab/>
        <w:t xml:space="preserve">Ms. Yap also conceded that the two-stage Open Season process in the Comprehensive Settlement is more desirable to customers, including electric generator customers, in large part due to the exclusion of marketers from the “customer-first” Stages One and Two of the initial Open Season.  </w:t>
      </w:r>
    </w:p>
    <w:p>
      <w:pPr>
        <w:pStyle w:val="Normal"/>
        <w:ind w:hanging="720" w:start="1440" w:end="0"/>
        <w:rPr/>
      </w:pPr>
      <w:r>
        <w:rPr>
          <w:rFonts w:cs="Arial" w:ascii="Arial" w:hAnsi="Arial"/>
        </w:rPr>
        <w:t>Q:</w:t>
        <w:tab/>
      </w:r>
      <w:r>
        <w:rPr>
          <w:rFonts w:cs="Arial" w:ascii="Arial" w:hAnsi="Arial"/>
          <w:i/>
          <w:iCs/>
        </w:rPr>
        <w:t xml:space="preserve">… [I]f you are a customer, would you prefer to see the PG&amp;E style open season which had a fully open open season to all marketers and customers simultaneously, or as in the comprehensive settlement, a customer first open season, albeit 50 percent limited, in which electric generators will be able to attempt to acquire capacity before marketers are given a shot at the capacity?  Which would be preferable from your client’s standpoint?  </w:t>
      </w:r>
    </w:p>
    <w:p>
      <w:pPr>
        <w:pStyle w:val="Normal"/>
        <w:ind w:firstLine="720" w:end="0"/>
        <w:rPr>
          <w:rFonts w:ascii="Arial" w:hAnsi="Arial" w:cs="Arial"/>
          <w:i/>
          <w:i/>
          <w:iCs/>
        </w:rPr>
      </w:pPr>
      <w:r>
        <w:rPr>
          <w:rFonts w:cs="Arial" w:ascii="Arial" w:hAnsi="Arial"/>
          <w:i/>
          <w:iCs/>
        </w:rPr>
      </w:r>
    </w:p>
    <w:p>
      <w:pPr>
        <w:pStyle w:val="Normal"/>
        <w:ind w:firstLine="720" w:end="0"/>
        <w:rPr/>
      </w:pPr>
      <w:r>
        <w:rPr>
          <w:rFonts w:cs="Arial" w:ascii="Arial" w:hAnsi="Arial"/>
        </w:rPr>
        <w:t>A:</w:t>
        <w:tab/>
      </w:r>
      <w:r>
        <w:rPr>
          <w:rFonts w:cs="Arial" w:ascii="Arial" w:hAnsi="Arial"/>
          <w:i/>
          <w:iCs/>
        </w:rPr>
        <w:t>Certainly the two-step process is preferable.</w:t>
      </w:r>
    </w:p>
    <w:p>
      <w:pPr>
        <w:pStyle w:val="Normal"/>
        <w:ind w:firstLine="720" w:end="0"/>
        <w:rPr>
          <w:rFonts w:ascii="Arial" w:hAnsi="Arial" w:cs="Arial"/>
          <w:i/>
          <w:i/>
          <w:iCs/>
        </w:rPr>
      </w:pPr>
      <w:r>
        <w:rPr>
          <w:rFonts w:cs="Arial" w:ascii="Arial" w:hAnsi="Arial"/>
          <w:i/>
          <w:iCs/>
        </w:rPr>
      </w:r>
    </w:p>
    <w:p>
      <w:pPr>
        <w:pStyle w:val="Normal"/>
        <w:ind w:firstLine="720" w:end="0"/>
        <w:rPr/>
      </w:pPr>
      <w:r>
        <w:rPr>
          <w:rFonts w:cs="Arial" w:ascii="Arial" w:hAnsi="Arial"/>
        </w:rPr>
        <w:t>Q:</w:t>
        <w:tab/>
      </w:r>
      <w:r>
        <w:rPr>
          <w:rFonts w:cs="Arial" w:ascii="Arial" w:hAnsi="Arial"/>
          <w:i/>
          <w:iCs/>
        </w:rPr>
        <w:t>The two-step meaning?</w:t>
      </w:r>
    </w:p>
    <w:p>
      <w:pPr>
        <w:pStyle w:val="Normal"/>
        <w:ind w:firstLine="720" w:end="0"/>
        <w:rPr>
          <w:rFonts w:ascii="Arial" w:hAnsi="Arial" w:cs="Arial"/>
          <w:i/>
          <w:i/>
          <w:iCs/>
        </w:rPr>
      </w:pPr>
      <w:r>
        <w:rPr>
          <w:rFonts w:cs="Arial" w:ascii="Arial" w:hAnsi="Arial"/>
          <w:i/>
          <w:iCs/>
        </w:rPr>
      </w:r>
    </w:p>
    <w:p>
      <w:pPr>
        <w:pStyle w:val="Normal"/>
        <w:ind w:firstLine="720" w:end="0"/>
        <w:rPr/>
      </w:pPr>
      <w:r>
        <w:rPr>
          <w:rFonts w:cs="Arial" w:ascii="Arial" w:hAnsi="Arial"/>
        </w:rPr>
        <w:t>A:</w:t>
        <w:tab/>
      </w:r>
      <w:r>
        <w:rPr>
          <w:rFonts w:cs="Arial" w:ascii="Arial" w:hAnsi="Arial"/>
          <w:i/>
          <w:iCs/>
        </w:rPr>
        <w:t xml:space="preserve">The comprehensive settlement.  </w:t>
      </w:r>
    </w:p>
    <w:p>
      <w:pPr>
        <w:pStyle w:val="Pleading"/>
        <w:numPr>
          <w:ilvl w:val="0"/>
          <w:numId w:val="0"/>
        </w:numPr>
        <w:ind w:hanging="0" w:start="0"/>
        <w:rPr>
          <w:rFonts w:ascii="Arial" w:hAnsi="Arial" w:cs="Arial"/>
          <w:i/>
          <w:i/>
          <w:iCs/>
        </w:rPr>
      </w:pPr>
      <w:r>
        <w:rPr>
          <w:rFonts w:cs="Arial"/>
          <w:i/>
          <w:iCs/>
        </w:rPr>
      </w:r>
    </w:p>
    <w:p>
      <w:pPr>
        <w:pStyle w:val="Normal"/>
        <w:spacing w:lineRule="auto" w:line="480"/>
        <w:rPr>
          <w:rFonts w:ascii="Arial" w:hAnsi="Arial" w:cs="Arial"/>
        </w:rPr>
      </w:pPr>
      <w:r>
        <w:rPr>
          <w:rFonts w:cs="Arial" w:ascii="Arial" w:hAnsi="Arial"/>
        </w:rPr>
        <w:t>(TURN/SCGC/Aglet/Yap Tr., vol. 2, pp. 227-29.)  The Comprehensive Settlement is superior to the PG&amp;E Gas Accord in these respects.</w:t>
      </w:r>
    </w:p>
    <w:p>
      <w:pPr>
        <w:pStyle w:val="Heading1"/>
        <w:ind w:hanging="720" w:start="720" w:end="0"/>
        <w:rPr/>
      </w:pPr>
      <w:bookmarkStart w:id="13" w:name="__RefHeading___Toc487877590"/>
      <w:r>
        <w:rPr/>
        <w:t>V.</w:t>
        <w:tab/>
        <w:t>THE COMPREHENSIVE SETTLEMENT BENEFITS CALIFORNIA PRODUCERS, CONSISTENT WITH THE CALIFORNIA NATURAL GAS POLICY ACT.</w:t>
      </w:r>
      <w:bookmarkEnd w:id="13"/>
      <w:r>
        <w:rPr/>
        <w:t xml:space="preserve">  </w:t>
      </w:r>
    </w:p>
    <w:p>
      <w:pPr>
        <w:pStyle w:val="Heading1"/>
        <w:rPr/>
      </w:pPr>
      <w:r>
        <w:rPr/>
      </w:r>
    </w:p>
    <w:p>
      <w:pPr>
        <w:pStyle w:val="Normal"/>
        <w:spacing w:lineRule="auto" w:line="480"/>
        <w:ind w:firstLine="720" w:end="0"/>
        <w:rPr>
          <w:rFonts w:ascii="Arial" w:hAnsi="Arial" w:cs="Arial"/>
        </w:rPr>
      </w:pPr>
      <w:r>
        <w:rPr>
          <w:rFonts w:cs="Arial" w:ascii="Arial" w:hAnsi="Arial"/>
        </w:rPr>
        <w:t xml:space="preserve">The Comprehensive Settlement not only benefits the public because it fulfils the goals of promoting California gas production, but it also protects the existing interests of California gas producers by securing their access agreements with SoCalGas and establishing a flexible mechanism under which California producers can increase their allocative efficiency.  </w:t>
      </w:r>
    </w:p>
    <w:p>
      <w:pPr>
        <w:pStyle w:val="Normal"/>
        <w:spacing w:lineRule="auto" w:line="480"/>
        <w:ind w:firstLine="720" w:end="0"/>
        <w:rPr/>
      </w:pPr>
      <w:r>
        <w:rPr>
          <w:rFonts w:cs="Arial" w:ascii="Arial" w:hAnsi="Arial"/>
        </w:rPr>
        <w:t xml:space="preserve">By ratifying the California Gas Policy Act (“CGPA”), Pub. Util. Code §§785 </w:t>
      </w:r>
      <w:r>
        <w:rPr>
          <w:rFonts w:cs="Arial" w:ascii="Arial" w:hAnsi="Arial"/>
          <w:i/>
        </w:rPr>
        <w:t>et seq</w:t>
      </w:r>
      <w:r>
        <w:rPr>
          <w:rFonts w:cs="Arial" w:ascii="Arial" w:hAnsi="Arial"/>
        </w:rPr>
        <w:t xml:space="preserve">., the California Legislature intended to encourage natural gas production in California.  Section 785 declares that that CPUC shall “encourage, </w:t>
      </w:r>
      <w:r>
        <w:rPr>
          <w:rFonts w:cs="Arial" w:ascii="Arial" w:hAnsi="Arial"/>
          <w:i/>
        </w:rPr>
        <w:t>as a first priority</w:t>
      </w:r>
      <w:r>
        <w:rPr>
          <w:rFonts w:cs="Arial" w:ascii="Arial" w:hAnsi="Arial"/>
        </w:rPr>
        <w:t>, the increased production of gas in this state.” (Emphasis added)  In effecting this goal, the CGPA proscribes utilities, and also indirectly the Commission, from disadvantaging California producers through the rates, terms, or conditions of their gas transportation services.  (CGPA §785.7.)  The nondiscrimination clause of section 785.7 states that “[n]o gas corporation shall charge, directly or indirectly, a higher rate for the transportation of gas produced in this state than for the transportation of gas from any other source.”  (</w:t>
      </w:r>
      <w:r>
        <w:rPr>
          <w:rFonts w:cs="Arial" w:ascii="Arial" w:hAnsi="Arial"/>
          <w:i/>
          <w:iCs/>
        </w:rPr>
        <w:t>Id.</w:t>
      </w:r>
      <w:r>
        <w:rPr>
          <w:rFonts w:cs="Arial" w:ascii="Arial" w:hAnsi="Arial"/>
        </w:rPr>
        <w:t xml:space="preserve">)  </w:t>
      </w:r>
    </w:p>
    <w:p>
      <w:pPr>
        <w:pStyle w:val="BodyTextIndent2"/>
        <w:rPr/>
      </w:pPr>
      <w:r>
        <w:rPr/>
        <w:t>The Comprehensive Settlement is consistent with the CGPA in two notable respects.  First, the Settlement expressly secures existing arrangements under which California producers access the SoCalGas intrastate transmission system.  (CS §II.1.1.3.6 and Appendix B.)  Second, the general framework for transmission unbundling under the Settlement also protects the ability of California producers to access the SoCalGas system.  (</w:t>
      </w:r>
      <w:r>
        <w:rPr>
          <w:i/>
          <w:iCs/>
        </w:rPr>
        <w:t>See,</w:t>
      </w:r>
      <w:r>
        <w:rPr/>
        <w:t xml:space="preserve"> Appendix B, at p. 3.)  </w:t>
      </w:r>
    </w:p>
    <w:p>
      <w:pPr>
        <w:pStyle w:val="Normal"/>
        <w:ind w:firstLine="720" w:end="0"/>
        <w:rPr>
          <w:rFonts w:ascii="Arial" w:hAnsi="Arial" w:cs="Arial"/>
        </w:rPr>
      </w:pPr>
      <w:r>
        <w:rPr>
          <w:rFonts w:cs="Arial" w:ascii="Arial" w:hAnsi="Arial"/>
        </w:rPr>
      </w:r>
    </w:p>
    <w:p>
      <w:pPr>
        <w:pStyle w:val="Heading1"/>
        <w:ind w:hanging="720" w:start="1440" w:end="0"/>
        <w:rPr/>
      </w:pPr>
      <w:bookmarkStart w:id="14" w:name="__RefHeading___Toc487877591"/>
      <w:bookmarkEnd w:id="14"/>
      <w:r>
        <w:rPr/>
        <w:t>A.</w:t>
        <w:tab/>
        <w:t>The Comprehensive Settlement Secures the Rights of California Producers to Access the SoCalGas System and Hence the Delivery of California-Produced Gas to End-Users.</w:t>
      </w:r>
    </w:p>
    <w:p>
      <w:pPr>
        <w:pStyle w:val="Normal"/>
        <w:ind w:firstLine="720" w:end="0"/>
        <w:rPr>
          <w:rFonts w:ascii="Arial" w:hAnsi="Arial" w:cs="Arial"/>
        </w:rPr>
      </w:pPr>
      <w:r>
        <w:rPr>
          <w:rFonts w:cs="Arial" w:ascii="Arial" w:hAnsi="Arial"/>
        </w:rPr>
      </w:r>
    </w:p>
    <w:p>
      <w:pPr>
        <w:pStyle w:val="BodyTextIndent2"/>
        <w:rPr/>
      </w:pPr>
      <w:r>
        <w:rPr/>
        <w:t>The Comprehensive Settlement continues to honor existing receipt point access agreements between California gas producers and SoCalGas for the delivery of gas into the SoCalGas system.  (CS §I.1.9.)  It provides as follows:</w:t>
      </w:r>
    </w:p>
    <w:p>
      <w:pPr>
        <w:pStyle w:val="Normal"/>
        <w:ind w:start="1440" w:end="0"/>
        <w:rPr/>
      </w:pPr>
      <w:r>
        <w:rPr>
          <w:rFonts w:cs="Arial" w:ascii="Arial" w:hAnsi="Arial"/>
          <w:i/>
        </w:rPr>
        <w:t>This Settlement Agreement does not by its own terms alter, modify, terminate or abrogate any contract for utility service by SoCalGas or SDG&amp;E, or California Producer Gas Access Agreement, entered into as of April 17, 2000, and that has been approved by the Commission, except as specifically set forth in this Settlement Agreement…  California Producer Gas Access Agreements under which historic deliveries have been made over North Coastal and Line 85 receipt points shall not be modified in any way during the term of this Settlement Agreement without the written consent of all parties to each such agreement.</w:t>
      </w:r>
      <w:r>
        <w:rPr>
          <w:rFonts w:cs="Arial" w:ascii="Arial" w:hAnsi="Arial"/>
        </w:rPr>
        <w:t xml:space="preserve">  </w:t>
      </w:r>
    </w:p>
    <w:p>
      <w:pPr>
        <w:pStyle w:val="Normal"/>
        <w:rPr>
          <w:rFonts w:ascii="Arial" w:hAnsi="Arial" w:cs="Arial"/>
        </w:rPr>
      </w:pPr>
      <w:r>
        <w:rPr>
          <w:rFonts w:cs="Arial" w:ascii="Arial" w:hAnsi="Arial"/>
        </w:rPr>
      </w:r>
    </w:p>
    <w:p>
      <w:pPr>
        <w:pStyle w:val="Normal"/>
        <w:rPr/>
      </w:pPr>
      <w:r>
        <w:rPr>
          <w:rFonts w:cs="Arial" w:ascii="Arial" w:hAnsi="Arial"/>
        </w:rPr>
        <w:t>(</w:t>
      </w:r>
      <w:r>
        <w:rPr>
          <w:rFonts w:cs="Arial" w:ascii="Arial" w:hAnsi="Arial"/>
          <w:i/>
          <w:iCs/>
        </w:rPr>
        <w:t>Id.</w:t>
      </w:r>
      <w:r>
        <w:rPr>
          <w:rFonts w:cs="Arial" w:ascii="Arial" w:hAnsi="Arial"/>
        </w:rPr>
        <w:t xml:space="preserve">)    </w:t>
      </w:r>
    </w:p>
    <w:p>
      <w:pPr>
        <w:pStyle w:val="Normal"/>
        <w:ind w:firstLine="720" w:end="0"/>
        <w:rPr>
          <w:rFonts w:ascii="Arial" w:hAnsi="Arial" w:cs="Arial"/>
        </w:rPr>
      </w:pPr>
      <w:r>
        <w:rPr>
          <w:rFonts w:cs="Arial" w:ascii="Arial" w:hAnsi="Arial"/>
        </w:rPr>
      </w:r>
    </w:p>
    <w:p>
      <w:pPr>
        <w:pStyle w:val="Normal"/>
        <w:spacing w:lineRule="auto" w:line="480"/>
        <w:ind w:firstLine="720" w:end="0"/>
        <w:rPr>
          <w:rFonts w:ascii="Arial" w:hAnsi="Arial" w:cs="Arial"/>
          <w:b/>
          <w:bCs/>
        </w:rPr>
      </w:pPr>
      <w:r>
        <w:rPr>
          <w:rFonts w:cs="Arial" w:ascii="Arial" w:hAnsi="Arial"/>
        </w:rPr>
        <w:t xml:space="preserve">Maintaining their arrangements is critical to the fulfillment of the CGPA.  As compared with other gas sources, such as shippers from interstate pipelines, California producers in the SoCalGas service territory have fewer means to deliver gas to the market.  Their options include delivering gas to SoCalGas access points or through proprietary lines for delivery to other users.  In his prepared direct testimony, Latimer Lorenz testified that California producers are among those who feed supply points on the SoCalGas system to serve load.  </w:t>
      </w:r>
      <w:r>
        <w:rPr>
          <w:rFonts w:cs="Arial" w:ascii="Arial" w:hAnsi="Arial"/>
          <w:i/>
        </w:rPr>
        <w:t>“The Backbone Transmission system … includes those transmission facilities (including all compressor stations) whose primary purpose is receiving gas from supply points and transporting it to major load centers on the local transmission system or to underground storage facilities.”</w:t>
      </w:r>
      <w:r>
        <w:rPr>
          <w:rFonts w:cs="Arial" w:ascii="Arial" w:hAnsi="Arial"/>
        </w:rPr>
        <w:t xml:space="preserve">  (Exhbit 2, Prepared Direct Testimony of Lorenz, at p. 9)  Without receipt point access rights that are protected on a primary basis, California producers cannot deliver their gas to end-users unless they have direct connections.  </w:t>
      </w:r>
    </w:p>
    <w:p>
      <w:pPr>
        <w:pStyle w:val="Normal"/>
        <w:ind w:firstLine="720" w:end="0"/>
        <w:rPr>
          <w:rFonts w:ascii="Arial" w:hAnsi="Arial" w:cs="Arial"/>
          <w:b/>
          <w:bCs/>
        </w:rPr>
      </w:pPr>
      <w:r>
        <w:rPr>
          <w:rFonts w:cs="Arial" w:ascii="Arial" w:hAnsi="Arial"/>
          <w:b/>
          <w:bCs/>
        </w:rPr>
      </w:r>
    </w:p>
    <w:p>
      <w:pPr>
        <w:pStyle w:val="Heading1"/>
        <w:rPr/>
      </w:pPr>
      <w:bookmarkStart w:id="15" w:name="__RefHeading___Toc487877592"/>
      <w:r>
        <w:rPr/>
        <w:t>B.</w:t>
        <w:tab/>
        <w:t>The Unbundling of Intrastate Transmission Capacity Under the Comprehensive Settlement Benefits California Production.</w:t>
      </w:r>
      <w:bookmarkEnd w:id="15"/>
      <w:r>
        <w:rPr/>
        <w:t xml:space="preserve">  </w:t>
      </w:r>
    </w:p>
    <w:p>
      <w:pPr>
        <w:pStyle w:val="Normal"/>
        <w:ind w:firstLine="720" w:end="0"/>
        <w:rPr>
          <w:rFonts w:ascii="Arial" w:hAnsi="Arial" w:cs="Arial"/>
        </w:rPr>
      </w:pPr>
      <w:r>
        <w:rPr>
          <w:rFonts w:cs="Arial" w:ascii="Arial" w:hAnsi="Arial"/>
        </w:rPr>
      </w:r>
    </w:p>
    <w:p>
      <w:pPr>
        <w:pStyle w:val="Normal"/>
        <w:spacing w:lineRule="auto" w:line="480"/>
        <w:ind w:firstLine="720" w:end="0"/>
        <w:rPr>
          <w:rFonts w:ascii="Arial" w:hAnsi="Arial" w:cs="Arial"/>
        </w:rPr>
      </w:pPr>
      <w:r>
        <w:rPr>
          <w:rFonts w:cs="Arial" w:ascii="Arial" w:hAnsi="Arial"/>
        </w:rPr>
        <w:t xml:space="preserve">The Comprehensive Settlement establishes a general framework for the unbundling of transmission.  (CS § I.1.1.3.)  This general framework facilitates the goals of capacity allocation, cost allocation and rate design.  (D.99-07-015, at pp. 13-14.)  It also protects the ability of California producers to access the SoCalGas system in four specific ways.  </w:t>
      </w:r>
    </w:p>
    <w:p>
      <w:pPr>
        <w:pStyle w:val="Normal"/>
        <w:spacing w:lineRule="auto" w:line="480"/>
        <w:ind w:firstLine="720" w:end="0"/>
        <w:rPr/>
      </w:pPr>
      <w:r>
        <w:rPr>
          <w:rFonts w:cs="Arial" w:ascii="Arial" w:hAnsi="Arial"/>
        </w:rPr>
        <w:t>First, the Comprehensive Settlement assures the continued ability of California producers to deliver gas at historical levels into the SoCalGas system.  (CS Appendix B, at p. 3.)  The settlement makes available 150 MMcf/d of firm capacity for California producers on SoCalGas’ Line 85, and 120 MMcf/d on the North Coastal system, which covers existing year-round access agreement volume commitments.  (</w:t>
      </w:r>
      <w:r>
        <w:rPr>
          <w:rFonts w:cs="Arial" w:ascii="Arial" w:hAnsi="Arial"/>
          <w:i/>
          <w:iCs/>
        </w:rPr>
        <w:t>Id.</w:t>
      </w:r>
      <w:r>
        <w:rPr>
          <w:rFonts w:cs="Arial" w:ascii="Arial" w:hAnsi="Arial"/>
        </w:rPr>
        <w:t xml:space="preserve"> at pp. 1 and 3.)  SoCalGas on Line 85 will offer seasonal firm capacity in the winter months, when 180 MMcf/d of capacity (30 MMcf/d incremental) will be available.  (Exhibit 11, Prepared Direct Testimony of Paul C. McKelvey, at p. 3:20-21.)</w:t>
      </w:r>
      <w:r>
        <w:rPr>
          <w:rFonts w:cs="Arial" w:ascii="Arial" w:hAnsi="Arial"/>
          <w:b/>
          <w:bCs/>
        </w:rPr>
        <w:t xml:space="preserve">  </w:t>
      </w:r>
      <w:r>
        <w:rPr>
          <w:rFonts w:cs="Arial" w:ascii="Arial" w:hAnsi="Arial"/>
        </w:rPr>
        <w:t>The sum of volumes in the year-round commitments and the seasonal commitments together protect total access agreement commitments on Line 85.  (</w:t>
      </w:r>
      <w:r>
        <w:rPr>
          <w:rFonts w:cs="Arial" w:ascii="Arial" w:hAnsi="Arial"/>
          <w:i/>
          <w:iCs/>
        </w:rPr>
        <w:t>Id.</w:t>
      </w:r>
      <w:r>
        <w:rPr>
          <w:rFonts w:cs="Arial" w:ascii="Arial" w:hAnsi="Arial"/>
        </w:rPr>
        <w:t>, at p. 3:21-22.)  Importantly, SoCalGas has committed that it is “</w:t>
      </w:r>
      <w:r>
        <w:rPr>
          <w:rFonts w:cs="Arial" w:ascii="Arial" w:hAnsi="Arial"/>
          <w:i/>
        </w:rPr>
        <w:t>obliged for the term of this Settlement Agreement to use all reasonable efforts to maintain the availability of the amount of firm backbone capacity at each receipt point</w:t>
      </w:r>
      <w:r>
        <w:rPr>
          <w:rFonts w:cs="Arial" w:ascii="Arial" w:hAnsi="Arial"/>
        </w:rPr>
        <w:t>,” including Line 85.  (CS §II.1.1.3.3.)  Moreover, “</w:t>
      </w:r>
      <w:r>
        <w:rPr>
          <w:rFonts w:cs="Arial" w:ascii="Arial" w:hAnsi="Arial"/>
          <w:i/>
        </w:rPr>
        <w:t>SoCalGas is not allowed any additional cost recovery to meet this commitment except pursuant to whatever [Performance Based Ratemaking] indexing or attrition mechanisms and mechanisms for catastrophic event costs are in place during the term of this Settlement Agreement.</w:t>
      </w:r>
      <w:r>
        <w:rPr>
          <w:rFonts w:cs="Arial" w:ascii="Arial" w:hAnsi="Arial"/>
        </w:rPr>
        <w:t>”  (</w:t>
      </w:r>
      <w:r>
        <w:rPr>
          <w:rFonts w:cs="Arial" w:ascii="Arial" w:hAnsi="Arial"/>
          <w:i/>
        </w:rPr>
        <w:t>Id.</w:t>
      </w:r>
      <w:r>
        <w:rPr>
          <w:rFonts w:cs="Arial" w:ascii="Arial" w:hAnsi="Arial"/>
          <w:iCs/>
        </w:rPr>
        <w:t>)</w:t>
      </w:r>
      <w:r>
        <w:rPr>
          <w:rFonts w:cs="Arial" w:ascii="Arial" w:hAnsi="Arial"/>
        </w:rPr>
        <w:t xml:space="preserve">  These provisions assure California producers that during the term of the Settlement, SoCalGas will maintain its system and its capacity allocation processes in a manner that protects producers’ ability to deliver their gas into the system for use by customers.  (</w:t>
      </w:r>
      <w:r>
        <w:rPr>
          <w:rFonts w:cs="Arial" w:ascii="Arial" w:hAnsi="Arial"/>
          <w:i/>
          <w:iCs/>
        </w:rPr>
        <w:t xml:space="preserve">See, </w:t>
      </w:r>
      <w:r>
        <w:rPr>
          <w:rFonts w:cs="Arial" w:ascii="Arial" w:hAnsi="Arial"/>
        </w:rPr>
        <w:t>CS §§I.1.9 and II.1.1.3.3.)</w:t>
      </w:r>
    </w:p>
    <w:p>
      <w:pPr>
        <w:pStyle w:val="Normal"/>
        <w:spacing w:lineRule="auto" w:line="480"/>
        <w:ind w:firstLine="720" w:end="0"/>
        <w:rPr/>
      </w:pPr>
      <w:r>
        <w:rPr>
          <w:rFonts w:cs="Arial" w:ascii="Arial" w:hAnsi="Arial"/>
        </w:rPr>
        <w:t xml:space="preserve">Second, the Comprehensive Settlement provides important rights to existing California producers in the course of the transmission open season.  The settlement gives parties to existing California Producer Access Agreements connected to the North Coastal and Line 85 receipt points the opportunity to elect, prior to the initial open season, firm backbone capacity at the receipt points at which they historically have delivered their production under their access agreements.  (CS §II.1.1.3.6 and Appendix B.)  Those who have access agreements have the opportunity to secure firm backbone capacity </w:t>
      </w:r>
      <w:r>
        <w:rPr>
          <w:rFonts w:cs="Arial" w:ascii="Arial" w:hAnsi="Arial"/>
          <w:i/>
        </w:rPr>
        <w:t>before</w:t>
      </w:r>
      <w:r>
        <w:rPr>
          <w:rFonts w:cs="Arial" w:ascii="Arial" w:hAnsi="Arial"/>
        </w:rPr>
        <w:t xml:space="preserve"> the initial open season and realize the full benefit intended under their access agreements.  </w:t>
      </w:r>
    </w:p>
    <w:p>
      <w:pPr>
        <w:pStyle w:val="BodyTextIndent2"/>
        <w:rPr/>
      </w:pPr>
      <w:r>
        <w:rPr/>
        <w:t>Third, existing California producers will have the opportunity to obtain rights to firm access through the settlement term by contracting for the full term of the settlement.   (</w:t>
      </w:r>
      <w:r>
        <w:rPr>
          <w:i/>
          <w:iCs/>
        </w:rPr>
        <w:t>See,</w:t>
      </w:r>
      <w:r>
        <w:rPr/>
        <w:t xml:space="preserve"> CS §I.1.9; </w:t>
      </w:r>
      <w:r>
        <w:rPr>
          <w:i/>
          <w:iCs/>
        </w:rPr>
        <w:t>see also,</w:t>
      </w:r>
      <w:r>
        <w:rPr/>
        <w:t xml:space="preserve"> Appendix B, at p. 3.)  Holders of firm capacity on Line 85 and North Coastal will be allowed to use this capacity to meet both existing and future production requirements.   To the extent that producer requirements change throughout the contract period, producers can use the secondary market to resell contracted firm capacity rights to the extent that production falls below historical levels.  (CS §II.1.2.3.1.)  Should production rise above historic levels, producers will have to attempt to acquire incremental firm receipt rights in the secondary market, or if such rights are not available, flow on an interruptible basis or negotiate other arrangements with SoCalGas, just like any other customer.  (CS Appendix B, at p. 3.)</w:t>
      </w:r>
    </w:p>
    <w:p>
      <w:pPr>
        <w:pStyle w:val="BodyTextIndent2"/>
        <w:rPr/>
      </w:pPr>
      <w:r>
        <w:rPr/>
        <w:t>Fourth, the Settlement contemplates the development of a citygate market.  In the event no end-use customer on SoCalGas' system wishes to obtain primary receipt point capacity to North Coastal or Line 85 production receipt points, California producers who hold firm capacity rights can sell their supplies into a city gate market.  (Exhibit 11, Prepared Direct Testimony of Paul C. McKelvey, at p. 4:19-22.)  In addition, those producers who cannot justify accepting the risk of contracting for firm capacity due to potential declines in levels of production can flow their gas on interruptible transportation to the citygate for resale to various market segments to the extent that interruptible capacity is available.  (</w:t>
      </w:r>
      <w:r>
        <w:rPr>
          <w:i/>
          <w:iCs/>
        </w:rPr>
        <w:t>Id.</w:t>
      </w:r>
      <w:r>
        <w:rPr/>
        <w:t xml:space="preserve">, at p. 4:22-25.)  The citygate will thus provide more marketing options to ensure the flow of California gas production.  </w:t>
      </w:r>
    </w:p>
    <w:p>
      <w:pPr>
        <w:pStyle w:val="Heading1"/>
        <w:spacing w:lineRule="auto" w:line="480"/>
        <w:rPr/>
      </w:pPr>
      <w:bookmarkStart w:id="16" w:name="__RefHeading___Toc487877593"/>
      <w:bookmarkEnd w:id="16"/>
      <w:r>
        <w:rPr/>
        <w:t>VI.</w:t>
        <w:tab/>
        <w:t>CONCLUSION</w:t>
      </w:r>
    </w:p>
    <w:p>
      <w:pPr>
        <w:pStyle w:val="Normal"/>
        <w:spacing w:lineRule="auto" w:line="480"/>
        <w:rPr>
          <w:rFonts w:ascii="Arial" w:hAnsi="Arial" w:cs="Arial"/>
        </w:rPr>
      </w:pPr>
      <w:r>
        <w:rPr>
          <w:rFonts w:cs="Arial" w:ascii="Arial" w:hAnsi="Arial"/>
        </w:rPr>
        <w:tab/>
        <w:t xml:space="preserve">For the foregoing reasons, the Indicated Producers respectfully urge the Commission to approve the Comprehensive Gas OII Settlement Agreement without change.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Pleading"/>
        <w:numPr>
          <w:ilvl w:val="0"/>
          <w:numId w:val="0"/>
        </w:numPr>
        <w:ind w:hanging="0" w:start="0"/>
        <w:rPr>
          <w:rFonts w:cs="Arial"/>
        </w:rPr>
      </w:pPr>
      <w:r>
        <w:rPr>
          <w:rFonts w:cs="Arial"/>
        </w:rPr>
        <w:t>Submitted by:</w:t>
      </w:r>
    </w:p>
    <w:p>
      <w:pPr>
        <w:pStyle w:val="Pleading"/>
        <w:numPr>
          <w:ilvl w:val="0"/>
          <w:numId w:val="0"/>
        </w:numPr>
        <w:ind w:hanging="0" w:start="720" w:end="0"/>
        <w:rPr>
          <w:rFonts w:cs="Arial"/>
        </w:rPr>
      </w:pPr>
      <w:r>
        <w:rPr>
          <w:rFonts w:cs="Arial"/>
        </w:rPr>
      </w:r>
    </w:p>
    <w:p>
      <w:pPr>
        <w:pStyle w:val="Pleading"/>
        <w:numPr>
          <w:ilvl w:val="0"/>
          <w:numId w:val="0"/>
        </w:numPr>
        <w:ind w:hanging="0" w:start="720" w:end="0"/>
        <w:rPr>
          <w:rFonts w:cs="Arial"/>
        </w:rPr>
      </w:pPr>
      <w:r>
        <w:rPr>
          <w:rFonts w:cs="Arial"/>
        </w:rPr>
      </w:r>
    </w:p>
    <w:p>
      <w:pPr>
        <w:pStyle w:val="Pleading"/>
        <w:numPr>
          <w:ilvl w:val="0"/>
          <w:numId w:val="0"/>
        </w:numPr>
        <w:ind w:hanging="0" w:start="720" w:end="0"/>
        <w:rPr/>
      </w:pPr>
      <w:r>
        <w:rPr>
          <w:rFonts w:cs="Arial"/>
        </w:rPr>
        <w:tab/>
        <w:tab/>
        <w:tab/>
        <w:tab/>
        <w:tab/>
      </w:r>
      <w:r>
        <w:rPr>
          <w:rFonts w:cs="Arial"/>
          <w:b/>
        </w:rPr>
        <w:t>Alcantar &amp; Elsesser, LLP</w:t>
      </w:r>
    </w:p>
    <w:p>
      <w:pPr>
        <w:pStyle w:val="Pleading"/>
        <w:numPr>
          <w:ilvl w:val="0"/>
          <w:numId w:val="0"/>
        </w:numPr>
        <w:ind w:hanging="0" w:start="720" w:end="0"/>
        <w:jc w:val="end"/>
        <w:rPr>
          <w:rFonts w:cs="Arial"/>
          <w:b/>
        </w:rPr>
      </w:pPr>
      <w:r>
        <w:rPr>
          <w:rFonts w:cs="Arial"/>
          <w:b/>
        </w:rPr>
      </w:r>
    </w:p>
    <w:p>
      <w:pPr>
        <w:pStyle w:val="Pleading"/>
        <w:numPr>
          <w:ilvl w:val="0"/>
          <w:numId w:val="0"/>
        </w:numPr>
        <w:ind w:hanging="0" w:start="720" w:end="0"/>
        <w:jc w:val="end"/>
        <w:rPr>
          <w:rFonts w:cs="Arial"/>
        </w:rPr>
      </w:pPr>
      <w:r>
        <w:rPr>
          <w:rFonts w:cs="Arial"/>
        </w:rPr>
      </w:r>
    </w:p>
    <w:p>
      <w:pPr>
        <w:pStyle w:val="Pleading"/>
        <w:numPr>
          <w:ilvl w:val="0"/>
          <w:numId w:val="0"/>
        </w:numPr>
        <w:ind w:firstLine="720" w:start="3600" w:end="0"/>
        <w:rPr>
          <w:rFonts w:cs="Arial"/>
        </w:rPr>
      </w:pPr>
      <w:r>
        <w:rPr>
          <w:rFonts w:cs="Arial"/>
        </w:rPr>
        <w:t>________________________________</w:t>
      </w:r>
    </w:p>
    <w:p>
      <w:pPr>
        <w:pStyle w:val="Pleading"/>
        <w:numPr>
          <w:ilvl w:val="0"/>
          <w:numId w:val="0"/>
        </w:numPr>
        <w:ind w:firstLine="720" w:start="3600" w:end="0"/>
        <w:rPr>
          <w:rFonts w:cs="Arial"/>
        </w:rPr>
      </w:pPr>
      <w:r>
        <w:rPr>
          <w:rFonts w:cs="Arial"/>
        </w:rPr>
        <w:t xml:space="preserve">Evelyn Kahl Elsesser </w:t>
      </w:r>
    </w:p>
    <w:p>
      <w:pPr>
        <w:pStyle w:val="Pleading"/>
        <w:numPr>
          <w:ilvl w:val="0"/>
          <w:numId w:val="0"/>
        </w:numPr>
        <w:ind w:firstLine="720" w:start="3600" w:end="0"/>
        <w:rPr>
          <w:rFonts w:cs="Arial"/>
        </w:rPr>
      </w:pPr>
      <w:r>
        <w:rPr>
          <w:rFonts w:cs="Arial"/>
        </w:rPr>
        <w:t>Christine H. Jun</w:t>
      </w:r>
    </w:p>
    <w:p>
      <w:pPr>
        <w:pStyle w:val="Pleading"/>
        <w:numPr>
          <w:ilvl w:val="0"/>
          <w:numId w:val="0"/>
        </w:numPr>
        <w:ind w:firstLine="720" w:start="3600" w:end="0"/>
        <w:rPr>
          <w:rFonts w:cs="Arial"/>
        </w:rPr>
      </w:pPr>
      <w:r>
        <w:rPr>
          <w:rFonts w:cs="Arial"/>
        </w:rPr>
        <w:t>Attorneys for Indicated Producers</w:t>
      </w:r>
    </w:p>
    <w:p>
      <w:pPr>
        <w:pStyle w:val="Pleading"/>
        <w:numPr>
          <w:ilvl w:val="0"/>
          <w:numId w:val="0"/>
        </w:numPr>
        <w:ind w:firstLine="720" w:start="3600" w:end="0"/>
        <w:rPr>
          <w:rFonts w:cs="Arial"/>
        </w:rPr>
      </w:pPr>
      <w:r>
        <w:rPr>
          <w:rFonts w:cs="Arial"/>
        </w:rPr>
      </w:r>
    </w:p>
    <w:p>
      <w:pPr>
        <w:pStyle w:val="Normal"/>
        <w:ind w:firstLine="720" w:start="3600" w:end="0"/>
        <w:rPr>
          <w:rFonts w:ascii="Arial" w:hAnsi="Arial" w:cs="Arial"/>
        </w:rPr>
      </w:pPr>
      <w:r>
        <w:rPr>
          <w:rFonts w:cs="Arial" w:ascii="Arial" w:hAnsi="Arial"/>
        </w:rPr>
        <w:t>One Embarcadero Center Suite 2420</w:t>
      </w:r>
    </w:p>
    <w:p>
      <w:pPr>
        <w:pStyle w:val="Normal"/>
        <w:ind w:firstLine="720" w:start="3600" w:end="0"/>
        <w:rPr>
          <w:rFonts w:ascii="Arial" w:hAnsi="Arial" w:cs="Arial"/>
        </w:rPr>
      </w:pPr>
      <w:r>
        <w:rPr>
          <w:rFonts w:cs="Arial" w:ascii="Arial" w:hAnsi="Arial"/>
        </w:rPr>
        <w:t>San Francisco California  94111</w:t>
      </w:r>
    </w:p>
    <w:p>
      <w:pPr>
        <w:pStyle w:val="Normal"/>
        <w:ind w:firstLine="720" w:start="3600" w:end="0"/>
        <w:rPr>
          <w:rFonts w:ascii="Arial" w:hAnsi="Arial" w:cs="Arial"/>
        </w:rPr>
      </w:pPr>
      <w:r>
        <w:rPr>
          <w:rFonts w:cs="Arial" w:ascii="Arial" w:hAnsi="Arial"/>
        </w:rPr>
        <w:t>415.421.4143 – office</w:t>
      </w:r>
    </w:p>
    <w:p>
      <w:pPr>
        <w:pStyle w:val="Normal"/>
        <w:ind w:firstLine="720" w:start="3600" w:end="0"/>
        <w:rPr>
          <w:rFonts w:ascii="Arial" w:hAnsi="Arial" w:cs="Arial"/>
        </w:rPr>
      </w:pPr>
      <w:r>
        <w:rPr>
          <w:rFonts w:cs="Arial" w:ascii="Arial" w:hAnsi="Arial"/>
        </w:rPr>
        <w:t>415.989.1263 – fax</w:t>
      </w:r>
    </w:p>
    <w:p>
      <w:pPr>
        <w:pStyle w:val="Pleading"/>
        <w:numPr>
          <w:ilvl w:val="0"/>
          <w:numId w:val="0"/>
        </w:numPr>
        <w:ind w:firstLine="720" w:start="3600" w:end="0"/>
        <w:rPr>
          <w:rFonts w:cs="Arial"/>
        </w:rPr>
      </w:pPr>
      <w:hyperlink r:id="rId9">
        <w:r>
          <w:rPr>
            <w:rStyle w:val="Hyperlink"/>
            <w:rFonts w:cs="Arial"/>
          </w:rPr>
          <w:t>eke@aelaw.com</w:t>
        </w:r>
      </w:hyperlink>
    </w:p>
    <w:p>
      <w:pPr>
        <w:pStyle w:val="Pleading"/>
        <w:numPr>
          <w:ilvl w:val="0"/>
          <w:numId w:val="0"/>
        </w:numPr>
        <w:ind w:firstLine="720" w:start="3600" w:end="0"/>
        <w:rPr>
          <w:rFonts w:cs="Arial"/>
        </w:rPr>
      </w:pPr>
      <w:hyperlink r:id="rId10">
        <w:r>
          <w:rPr>
            <w:rStyle w:val="Hyperlink"/>
            <w:rFonts w:cs="Arial"/>
          </w:rPr>
          <w:t>chj@aelaw.com</w:t>
        </w:r>
      </w:hyperlink>
    </w:p>
    <w:p>
      <w:pPr>
        <w:pStyle w:val="Pleading"/>
        <w:numPr>
          <w:ilvl w:val="0"/>
          <w:numId w:val="0"/>
        </w:numPr>
        <w:ind w:firstLine="720" w:start="3600" w:end="0"/>
        <w:rPr>
          <w:rFonts w:cs="Arial"/>
        </w:rPr>
      </w:pPr>
      <w:r>
        <w:rPr>
          <w:rFonts w:cs="Arial"/>
        </w:rPr>
      </w:r>
    </w:p>
    <w:p>
      <w:pPr>
        <w:pStyle w:val="Pleading"/>
        <w:numPr>
          <w:ilvl w:val="0"/>
          <w:numId w:val="0"/>
        </w:numPr>
        <w:ind w:firstLine="720" w:start="3600" w:end="0"/>
        <w:rPr>
          <w:rFonts w:cs="Arial"/>
        </w:rPr>
      </w:pPr>
      <w:r>
        <w:rPr>
          <w:rFonts w:cs="Arial"/>
        </w:rPr>
      </w:r>
    </w:p>
    <w:p>
      <w:pPr>
        <w:pStyle w:val="Normal"/>
        <w:rPr>
          <w:rFonts w:ascii="Arial" w:hAnsi="Arial" w:cs="Arial"/>
        </w:rPr>
      </w:pPr>
      <w:r>
        <w:rPr>
          <w:rFonts w:cs="Arial" w:ascii="Arial" w:hAnsi="Arial"/>
        </w:rPr>
        <w:t>July 10, 2000</w:t>
      </w:r>
    </w:p>
    <w:p>
      <w:pPr>
        <w:sectPr>
          <w:headerReference w:type="default" r:id="rId11"/>
          <w:headerReference w:type="first" r:id="rId12"/>
          <w:footerReference w:type="default" r:id="rId13"/>
          <w:footerReference w:type="first" r:id="rId14"/>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r>
    </w:p>
    <w:sectPr>
      <w:headerReference w:type="default" r:id="rId15"/>
      <w:headerReference w:type="first" r:id="rId16"/>
      <w:footerReference w:type="default" r:id="rId17"/>
      <w:footerReference w:type="first" r:id="rId18"/>
      <w:footnotePr>
        <w:numFmt w:val="decimal"/>
      </w:footnotePr>
      <w:type w:val="nextPage"/>
      <w:pgSz w:w="12240" w:h="15840"/>
      <w:pgMar w:left="1800" w:right="180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jc w:val="center"/>
                            <w:rPr>
                              <w:rStyle w:val="PageNumber"/>
                              <w:rFonts w:ascii="Arial" w:hAnsi="Arial" w:cs="Arial"/>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jc w:val="center"/>
                      <w:rPr>
                        <w:rStyle w:val="PageNumber"/>
                        <w:rFonts w:ascii="Arial" w:hAnsi="Arial" w:cs="Arial"/>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jc w:val="center"/>
                            <w:rPr>
                              <w:rStyle w:val="PageNumber"/>
                              <w:rFonts w:ascii="Arial" w:hAnsi="Arial" w:cs="Arial"/>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jc w:val="center"/>
                      <w:rPr>
                        <w:rStyle w:val="PageNumber"/>
                        <w:rFonts w:ascii="Arial" w:hAnsi="Arial" w:cs="Arial"/>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5943600" cy="350520"/>
              <wp:effectExtent l="0" t="0" r="0" b="0"/>
              <wp:wrapSquare wrapText="bothSides"/>
              <wp:docPr id="3" name="Frame3"/>
              <a:graphic xmlns:a="http://schemas.openxmlformats.org/drawingml/2006/main">
                <a:graphicData uri="http://schemas.microsoft.com/office/word/2010/wordprocessingShape">
                  <wps:wsp>
                    <wps:cNvSpPr txBox="1"/>
                    <wps:spPr>
                      <a:xfrm>
                        <a:off x="0" y="0"/>
                        <a:ext cx="5943600" cy="350520"/>
                      </a:xfrm>
                      <a:prstGeom prst="rect"/>
                      <a:solidFill>
                        <a:srgbClr val="FFFFFF">
                          <a:alpha val="0"/>
                        </a:srgbClr>
                      </a:solidFill>
                    </wps:spPr>
                    <wps:txbx>
                      <w:txbxContent>
                        <w:p>
                          <w:pPr>
                            <w:pStyle w:val="Footer"/>
                            <w:jc w:val="center"/>
                            <w:rPr>
                              <w:rStyle w:val="PageNumber"/>
                              <w:rFonts w:ascii="Arial" w:hAnsi="Arial" w:cs="Arial"/>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rPr>
                              <w:rStyle w:val="PageNumber"/>
                              <w:rFonts w:ascii="Arial" w:hAnsi="Arial" w:cs="Arial"/>
                            </w:rPr>
                          </w:pPr>
                          <w:r>
                            <w:rPr/>
                          </w:r>
                        </w:p>
                      </w:txbxContent>
                    </wps:txbx>
                    <wps:bodyPr anchor="t" lIns="0" tIns="0" rIns="0" bIns="0">
                      <a:noAutofit/>
                    </wps:bodyPr>
                  </wps:wsp>
                </a:graphicData>
              </a:graphic>
            </wp:anchor>
          </w:drawing>
        </mc:Choice>
        <mc:Fallback>
          <w:pict>
            <v:rect fillcolor="#FFFFFF" style="position:absolute;rotation:-0;width:468pt;height:27.6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Fonts w:ascii="Arial" w:hAnsi="Arial" w:cs="Arial"/>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rPr>
                        <w:rStyle w:val="PageNumber"/>
                        <w:rFonts w:ascii="Arial" w:hAnsi="Arial" w:cs="Arial"/>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14605"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Fonts w:ascii="Arial" w:hAnsi="Arial" w:cs="Arial"/>
                            </w:rPr>
                          </w:pPr>
                          <w:r>
                            <w:rPr>
                              <w:rFonts w:cs="Arial"/>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Fonts w:ascii="Arial" w:hAnsi="Arial" w:cs="Arial"/>
                      </w:rPr>
                    </w:pPr>
                    <w:r>
                      <w:rPr>
                        <w:rFonts w:cs="Arial"/>
                      </w:rPr>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r>
      <w:r>
        <w:rPr>
          <w:rFonts w:cs="Arial" w:ascii="Arial" w:hAnsi="Arial"/>
        </w:rPr>
        <w:t xml:space="preserve">The Indicated Producers are an </w:t>
      </w:r>
      <w:r>
        <w:rPr>
          <w:rFonts w:cs="Arial" w:ascii="Arial" w:hAnsi="Arial"/>
          <w:i/>
        </w:rPr>
        <w:t xml:space="preserve">ad hoc </w:t>
      </w:r>
      <w:r>
        <w:rPr>
          <w:rFonts w:cs="Arial" w:ascii="Arial" w:hAnsi="Arial"/>
        </w:rPr>
        <w:t xml:space="preserve">coalition comprised of Amoco Energy Trading Company, Burlington Resources Inc., Chevron U.S.A. Inc., Conoco Inc., Occidental Energy Marketing Incorporated, and Texaco Natural Gas Inc.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0" w:hanging="0"/>
      </w:pPr>
      <w:rPr>
        <w:smallCaps w:val="false"/>
        <w:caps w:val="false"/>
        <w:outline w:val="false"/>
        <w:dstrike w:val="false"/>
        <w:strike w:val="false"/>
        <w:vertAlign w:val="baseline"/>
        <w:position w:val="0"/>
        <w:sz w:val="24"/>
        <w:sz w:val="24"/>
        <w:i w:val="false"/>
        <w:shadow w:val="false"/>
        <w:b/>
        <w:vanish w:val="false"/>
        <w:rFonts w:ascii="Arial" w:hAnsi="Arial" w:cs="Arial"/>
      </w:rPr>
    </w:lvl>
    <w:lvl w:ilvl="1">
      <w:start w:val="1"/>
      <w:pStyle w:val="Heading2"/>
      <w:numFmt w:val="upperLetter"/>
      <w:lvlText w:val="%2."/>
      <w:lvlJc w:val="start"/>
      <w:pPr>
        <w:tabs>
          <w:tab w:val="num" w:pos="1080"/>
        </w:tabs>
        <w:ind w:start="720" w:hanging="0"/>
      </w:pPr>
      <w:rPr/>
    </w:lvl>
    <w:lvl w:ilvl="2">
      <w:start w:val="1"/>
      <w:pStyle w:val="Heading3"/>
      <w:numFmt w:val="decimal"/>
      <w:lvlText w:val="%3."/>
      <w:lvlJc w:val="start"/>
      <w:pPr>
        <w:tabs>
          <w:tab w:val="num" w:pos="1800"/>
        </w:tabs>
        <w:ind w:start="1440" w:hanging="0"/>
      </w:pPr>
      <w:rPr/>
    </w:lvl>
    <w:lvl w:ilvl="3">
      <w:start w:val="1"/>
      <w:pStyle w:val="Heading4"/>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504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480"/>
        </w:tabs>
        <w:ind w:start="5760" w:hanging="0"/>
      </w:pPr>
      <w:r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upperRoman"/>
      <w:lvlText w:val="%1."/>
      <w:lvlJc w:val="start"/>
      <w:pPr>
        <w:tabs>
          <w:tab w:val="num" w:pos="720"/>
        </w:tabs>
        <w:ind w:start="0" w:hanging="0"/>
      </w:pPr>
      <w:rPr>
        <w:smallCaps w:val="false"/>
        <w:caps w:val="false"/>
        <w:outline w:val="false"/>
        <w:dstrike w:val="false"/>
        <w:strike w:val="false"/>
        <w:vertAlign w:val="baseline"/>
        <w:position w:val="0"/>
        <w:sz w:val="24"/>
        <w:sz w:val="24"/>
        <w:i w:val="false"/>
        <w:shadow w:val="false"/>
        <w:b/>
        <w:vanish w:val="false"/>
        <w:rFonts w:ascii="Arial" w:hAnsi="Arial" w:cs="Arial"/>
      </w:rPr>
    </w:lvl>
    <w:lvl w:ilvl="1">
      <w:start w:val="1"/>
      <w:numFmt w:val="upperLetter"/>
      <w:lvlText w:val="%2."/>
      <w:lvlJc w:val="start"/>
      <w:pPr>
        <w:tabs>
          <w:tab w:val="num" w:pos="1080"/>
        </w:tabs>
        <w:ind w:start="720" w:hanging="0"/>
      </w:pPr>
      <w:rPr/>
    </w:lvl>
    <w:lvl w:ilvl="2">
      <w:start w:val="1"/>
      <w:numFmt w:val="decimal"/>
      <w:lvlText w:val="%3."/>
      <w:lvlJc w:val="start"/>
      <w:pPr>
        <w:tabs>
          <w:tab w:val="num" w:pos="1800"/>
        </w:tabs>
        <w:ind w:start="1440" w:hanging="0"/>
      </w:pPr>
      <w:rPr/>
    </w:lvl>
    <w:lvl w:ilvl="3">
      <w:start w:val="1"/>
      <w:numFmt w:val="lowerLetter"/>
      <w:lvlText w:val="%4"/>
      <w:lvlJc w:val="start"/>
      <w:pPr>
        <w:tabs>
          <w:tab w:val="num" w:pos="2520"/>
        </w:tabs>
        <w:ind w:start="2160" w:hanging="0"/>
      </w:pPr>
      <w:rPr/>
    </w:lvl>
    <w:lvl w:ilvl="4">
      <w:start w:val="1"/>
      <w:numFmt w:val="decimal"/>
      <w:lvlText w:val="%5"/>
      <w:lvlJc w:val="start"/>
      <w:pPr>
        <w:tabs>
          <w:tab w:val="num" w:pos="3240"/>
        </w:tabs>
        <w:ind w:start="2880" w:hanging="0"/>
      </w:pPr>
      <w:rPr/>
    </w:lvl>
    <w:lvl w:ilvl="5">
      <w:start w:val="1"/>
      <w:numFmt w:val="lowerLetter"/>
      <w:lvlText w:val="%6"/>
      <w:lvlJc w:val="start"/>
      <w:pPr>
        <w:tabs>
          <w:tab w:val="num" w:pos="3960"/>
        </w:tabs>
        <w:ind w:start="3600" w:hanging="0"/>
      </w:pPr>
      <w:rPr/>
    </w:lvl>
    <w:lvl w:ilvl="6">
      <w:start w:val="1"/>
      <w:numFmt w:val="lowerRoman"/>
      <w:lvlText w:val="%7"/>
      <w:lvlJc w:val="start"/>
      <w:pPr>
        <w:tabs>
          <w:tab w:val="num" w:pos="504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480"/>
        </w:tabs>
        <w:ind w:start="5760" w:hanging="0"/>
      </w:pPr>
      <w:rPr/>
    </w:lvl>
  </w:abstractNum>
  <w:abstractNum w:abstractNumId="4">
    <w:lvl w:ilvl="0">
      <w:start w:val="1"/>
      <w:numFmt w:val="bullet"/>
      <w:lvlText w:val=""/>
      <w:lvlJc w:val="start"/>
      <w:pPr>
        <w:tabs>
          <w:tab w:val="num" w:pos="1440"/>
        </w:tabs>
        <w:ind w:start="144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outlineLvl w:val="0"/>
    </w:pPr>
    <w:rPr>
      <w:rFonts w:ascii="Arial" w:hAnsi="Arial" w:cs="Arial"/>
      <w:b/>
      <w:bCs/>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style>
  <w:style w:type="character" w:styleId="WW8Num13z0">
    <w:name w:val="WW8Num13z0"/>
    <w:qFormat/>
    <w:rPr>
      <w:rFonts w:ascii="Arial" w:hAnsi="Arial" w:cs="Arial"/>
      <w:b/>
      <w:i w:val="false"/>
      <w:caps w:val="false"/>
      <w:smallCaps w:val="false"/>
      <w:strike w:val="false"/>
      <w:dstrike w:val="false"/>
      <w:outline w:val="false"/>
      <w:shadow w:val="false"/>
      <w:vanish w:val="false"/>
      <w:position w:val="0"/>
      <w:sz w:val="24"/>
      <w:sz w:val="24"/>
      <w:vertAlign w:val="baseline"/>
    </w:rPr>
  </w:style>
  <w:style w:type="character" w:styleId="WW8Num13z1">
    <w:name w:val="WW8Num13z1"/>
    <w:qFormat/>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cs="Arial"/>
      <w:b/>
      <w:szCs w:val="20"/>
    </w:rPr>
  </w:style>
  <w:style w:type="paragraph" w:styleId="BodyText">
    <w:name w:val="Body Text"/>
    <w:basedOn w:val="Normal"/>
    <w:pPr>
      <w:spacing w:lineRule="auto" w:line="480"/>
    </w:pPr>
    <w:rPr>
      <w:rFonts w:ascii="Arial" w:hAnsi="Arial" w:cs="Arial"/>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Subtitle">
    <w:name w:val="Subtitle"/>
    <w:basedOn w:val="Normal"/>
    <w:next w:val="BodyText"/>
    <w:qFormat/>
    <w:pPr>
      <w:jc w:val="center"/>
    </w:pPr>
    <w:rPr>
      <w:rFonts w:ascii="Arial" w:hAnsi="Arial" w:cs="Arial"/>
      <w:b/>
      <w:szCs w:val="20"/>
    </w:rPr>
  </w:style>
  <w:style w:type="paragraph" w:styleId="Pleading">
    <w:name w:val="Pleading"/>
    <w:basedOn w:val="Normal"/>
    <w:qFormat/>
    <w:pPr>
      <w:numPr>
        <w:ilvl w:val="0"/>
        <w:numId w:val="3"/>
      </w:numPr>
    </w:pPr>
    <w:rPr>
      <w:rFonts w:ascii="Arial" w:hAnsi="Arial" w:cs="Arial"/>
    </w:rPr>
  </w:style>
  <w:style w:type="paragraph" w:styleId="BodyTextIndent">
    <w:name w:val="Body Text Indent"/>
    <w:basedOn w:val="Normal"/>
    <w:pPr>
      <w:ind w:hanging="720" w:start="1440" w:end="0"/>
    </w:pPr>
    <w:rPr>
      <w:rFonts w:ascii="Arial" w:hAnsi="Arial" w:cs="Arial"/>
      <w:b/>
      <w:bCs/>
    </w:rPr>
  </w:style>
  <w:style w:type="paragraph" w:styleId="BodyTextIndent2">
    <w:name w:val="Body Text Indent 2"/>
    <w:basedOn w:val="Normal"/>
    <w:qFormat/>
    <w:pPr>
      <w:spacing w:lineRule="auto" w:line="480"/>
      <w:ind w:firstLine="720" w:start="0" w:end="0"/>
    </w:pPr>
    <w:rPr>
      <w:rFonts w:ascii="Arial" w:hAnsi="Arial" w:cs="Arial"/>
    </w:rPr>
  </w:style>
  <w:style w:type="paragraph" w:styleId="BodyTextIndent3">
    <w:name w:val="Body Text Indent 3"/>
    <w:basedOn w:val="Normal"/>
    <w:qFormat/>
    <w:pPr>
      <w:spacing w:lineRule="auto" w:line="480"/>
      <w:ind w:firstLine="360" w:start="0" w:end="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jc w:val="both"/>
    </w:pPr>
    <w:rPr>
      <w:rFonts w:ascii="Arial" w:hAnsi="Arial" w:cs="Arial"/>
      <w:i/>
      <w:iCs/>
    </w:rPr>
  </w:style>
  <w:style w:type="paragraph" w:styleId="TOC2">
    <w:name w:val="toc 2"/>
    <w:basedOn w:val="Normal"/>
    <w:next w:val="Normal"/>
    <w:pPr>
      <w:ind w:hanging="0" w:start="240" w:end="0"/>
    </w:pPr>
    <w:rPr/>
  </w:style>
  <w:style w:type="paragraph" w:styleId="TOC1">
    <w:name w:val="toc 1"/>
    <w:basedOn w:val="Normal"/>
    <w:next w:val="Normal"/>
    <w:pPr/>
    <w:rPr/>
  </w:style>
  <w:style w:type="paragraph" w:styleId="TOC3">
    <w:name w:val="toc 3"/>
    <w:basedOn w:val="Normal"/>
    <w:next w:val="Normal"/>
    <w:pPr>
      <w:ind w:hanging="0" w:start="480" w:end="0"/>
    </w:pPr>
    <w:rPr>
      <w:lang w:val="en-CA" w:eastAsia="en-CA"/>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ableofAuthorities">
    <w:name w:val="Table of Authorities"/>
    <w:basedOn w:val="Normal"/>
    <w:next w:val="Normal"/>
    <w:qFormat/>
    <w:pPr>
      <w:ind w:hanging="240" w:start="240" w:end="0"/>
    </w:pPr>
    <w:rPr/>
  </w:style>
  <w:style w:type="paragraph" w:styleId="TOAHeading">
    <w:name w:val="TOA Heading"/>
    <w:basedOn w:val="Normal"/>
    <w:next w:val="Normal"/>
    <w:qFormat/>
    <w:pPr>
      <w:spacing w:before="120" w:after="0"/>
    </w:pPr>
    <w:rPr>
      <w:rFonts w:ascii="Arial" w:hAnsi="Arial" w:cs="Arial"/>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ke@aelaw.com" TargetMode="External"/><Relationship Id="rId3" Type="http://schemas.openxmlformats.org/officeDocument/2006/relationships/hyperlink" Target="mailto:chj@aelaw.com" TargetMode="External"/><Relationship Id="rId4" Type="http://schemas.openxmlformats.org/officeDocument/2006/relationships/footer" Target="footer1.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mailto:eke@aelaw.com" TargetMode="External"/><Relationship Id="rId10" Type="http://schemas.openxmlformats.org/officeDocument/2006/relationships/hyperlink" Target="mailto:chj@aelaw.com" TargetMode="Externa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2000-07-10T11:01:00Z</dcterms:created>
  <dc:creator>Valued Sony Customer</dc:creator>
  <dc:description/>
  <dc:language>en-CA</dc:language>
  <cp:lastModifiedBy>Alcantar &amp; Elsesser LLP</cp:lastModifiedBy>
  <cp:lastPrinted>2000-07-10T16:06:00Z</cp:lastPrinted>
  <dcterms:modified xsi:type="dcterms:W3CDTF">2000-07-10T20:37:00Z</dcterms:modified>
  <cp:revision>19</cp:revision>
  <dc:subject/>
  <dc:title>lkjh</dc:title>
</cp:coreProperties>
</file>