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100662670" r:id="rId2"/>
              </w:object>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September 05, 2000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Jim Sadtler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Indianapolis Power &amp; Light Company</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25 Monument Circle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PO Box 1595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Indianapolis, </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IN</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46206-1595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(317) 630-5787</w:t>
      </w:r>
      <w:r>
        <w:rPr>
          <w:sz w:val="18"/>
          <w:rFonts w:cs="Arial" w:ascii="Arial" w:hAnsi="Arial"/>
        </w:rPr>
        <w:fldChar w:fldCharType="end"/>
      </w:r>
    </w:p>
    <w:p>
      <w:pPr>
        <w:pStyle w:val="Heading1"/>
        <w:ind w:hanging="0" w:start="0"/>
        <w:rPr/>
      </w:pPr>
      <w:r>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spacing w:before="120" w:after="0"/>
        <w:jc w:val="both"/>
        <w:rPr/>
      </w:pPr>
      <w:r>
        <w:rPr>
          <w:rFonts w:cs="Arial" w:ascii="Arial" w:hAnsi="Arial"/>
          <w:sz w:val="18"/>
        </w:rPr>
        <w:t xml:space="preserve">This letter ("Confirmation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September 5, 2000</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Indianapolis Power &amp; Light Company</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 xml:space="preserve"> Firm energy</w:t>
      </w:r>
      <w:r>
        <w:rPr>
          <w:sz w:val="18"/>
          <w:rFonts w:cs="Arial" w:ascii="Arial" w:hAnsi="Arial"/>
        </w:rPr>
        <w:fldChar w:fldCharType="end"/>
      </w:r>
      <w:r>
        <w:rPr/>
        <w:t xml:space="preserve"> under the terms and conditions that follow:</w:t>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pacing w:before="360" w:after="0"/>
              <w:jc w:val="both"/>
              <w:rPr>
                <w:rFonts w:ascii="Arial" w:hAnsi="Arial" w:cs="Arial"/>
                <w:b/>
                <w:bCs/>
                <w:sz w:val="18"/>
              </w:rPr>
            </w:pPr>
            <w:r>
              <w:rPr>
                <w:rFonts w:cs="Arial" w:ascii="Arial" w:hAnsi="Arial"/>
                <w:b/>
                <w:bCs/>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pacing w:before="360" w:after="0"/>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Indianapolis Power &amp; Light Company</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pacing w:before="120" w:after="0"/>
              <w:jc w:val="both"/>
              <w:rPr>
                <w:rFonts w:ascii="Arial" w:hAnsi="Arial" w:cs="Arial"/>
                <w:b/>
                <w:bCs/>
                <w:sz w:val="18"/>
              </w:rPr>
            </w:pPr>
            <w:r>
              <w:rPr>
                <w:rFonts w:cs="Arial" w:ascii="Arial" w:hAnsi="Arial"/>
                <w:b/>
                <w:bCs/>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pacing w:before="120" w:after="0"/>
              <w:jc w:val="both"/>
              <w:rPr>
                <w:rFonts w:ascii="Arial" w:hAnsi="Arial" w:cs="Arial"/>
                <w:sz w:val="18"/>
              </w:rPr>
            </w:pPr>
            <w:r>
              <w:rPr>
                <w:rFonts w:cs="Arial" w:ascii="Arial" w:hAnsi="Arial"/>
                <w:sz w:val="18"/>
              </w:rPr>
              <w:t>EPMI</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pacing w:before="120" w:after="0"/>
              <w:jc w:val="both"/>
              <w:rPr>
                <w:rFonts w:ascii="Arial" w:hAnsi="Arial" w:cs="Arial"/>
                <w:b/>
                <w:bCs/>
                <w:sz w:val="18"/>
              </w:rPr>
            </w:pPr>
            <w:r>
              <w:rPr>
                <w:rFonts w:cs="Arial" w:ascii="Arial" w:hAnsi="Arial"/>
                <w:b/>
                <w:bCs/>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pacing w:before="120" w:after="0"/>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Sunday, October 1, 2000 through Sunday, December 31, 2000. </w:t>
              <w:t xml:space="preserve">Hour Ending (HE) 0100 through HE 2400 (24 Hours each day); </w:t>
              <w:t xml:space="preserve">Central Prevailing Time. </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pacing w:before="120" w:after="0"/>
              <w:jc w:val="both"/>
              <w:rPr>
                <w:rFonts w:ascii="Arial" w:hAnsi="Arial" w:cs="Arial"/>
                <w:b/>
                <w:bCs/>
                <w:sz w:val="18"/>
              </w:rPr>
            </w:pPr>
            <w:r>
              <w:rPr>
                <w:rFonts w:cs="Arial" w:ascii="Arial" w:hAnsi="Arial"/>
                <w:b/>
                <w:bCs/>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pacing w:before="120" w:after="0"/>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$21.50/MWh.</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pacing w:before="120" w:after="0"/>
              <w:jc w:val="both"/>
              <w:rPr>
                <w:rFonts w:ascii="Arial" w:hAnsi="Arial" w:cs="Arial"/>
                <w:b/>
                <w:bCs/>
                <w:sz w:val="18"/>
              </w:rPr>
            </w:pPr>
            <w:r>
              <w:rPr>
                <w:rFonts w:cs="Arial" w:ascii="Arial" w:hAnsi="Arial"/>
                <w:b/>
                <w:bCs/>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pacing w:before="120" w:after="0"/>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(110,450 MWh</w:t>
            </w:r>
            <w:r>
              <w:rPr>
                <w:sz w:val="18"/>
                <w:rFonts w:cs="Arial" w:ascii="Arial" w:hAnsi="Arial"/>
              </w:rPr>
              <w:fldChar w:fldCharType="end"/>
            </w:r>
            <w:r>
              <w:rPr>
                <w:rFonts w:eastAsia="Arial" w:cs="Arial" w:ascii="Arial" w:hAnsi="Arial"/>
                <w:sz w:val="18"/>
              </w:rPr>
              <w:t xml:space="preserve"> </w:t>
            </w:r>
            <w:r>
              <w:rPr>
                <w:rFonts w:cs="Arial" w:ascii="Arial" w:hAnsi="Arial"/>
                <w:sz w:val="18"/>
              </w:rPr>
              <w:t>Total)</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pacing w:before="120" w:after="0"/>
              <w:jc w:val="both"/>
              <w:rPr>
                <w:rFonts w:ascii="Arial" w:hAnsi="Arial" w:cs="Arial"/>
                <w:b/>
                <w:bCs/>
                <w:sz w:val="18"/>
              </w:rPr>
            </w:pPr>
            <w:r>
              <w:rPr>
                <w:rFonts w:cs="Arial" w:ascii="Arial" w:hAnsi="Arial"/>
                <w:b/>
                <w:bCs/>
                <w:sz w:val="18"/>
              </w:rPr>
              <w:t>Delivery</w:t>
              <w:br/>
              <w:t>Point(s):</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pacing w:before="360" w:after="0"/>
              <w:jc w:val="both"/>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or Into AEP System</w:t>
            </w:r>
            <w:r>
              <w:rPr>
                <w:sz w:val="18"/>
                <w:rFonts w:cs="Arial" w:ascii="Arial" w:hAnsi="Arial"/>
              </w:rPr>
              <w:fldChar w:fldCharType="end"/>
            </w:r>
            <w:r>
              <w:rPr>
                <w:rFonts w:cs="Arial" w:ascii="Arial" w:hAnsi="Arial"/>
                <w:sz w:val="18"/>
              </w:rPr>
              <w:t>, at Buyer’s election as further discussed in "Special Conditions"</w:t>
            </w:r>
          </w:p>
        </w:tc>
      </w:tr>
      <w:tr>
        <w:trPr/>
        <w:tc>
          <w:tcPr>
            <w:tcW w:w="1548" w:type="dxa"/>
            <w:tcBorders/>
          </w:tcPr>
          <w:p>
            <w:pPr>
              <w:pStyle w:val="Normal"/>
              <w:spacing w:before="120" w:after="0"/>
              <w:jc w:val="both"/>
              <w:rPr>
                <w:rFonts w:ascii="Arial" w:hAnsi="Arial" w:cs="Arial"/>
                <w:b/>
                <w:bCs/>
                <w:sz w:val="18"/>
              </w:rPr>
            </w:pPr>
            <w:r>
              <w:rPr>
                <w:rFonts w:cs="Arial" w:ascii="Arial" w:hAnsi="Arial"/>
                <w:b/>
                <w:bCs/>
                <w:sz w:val="18"/>
              </w:rPr>
              <w:t>Scheduling:</w:t>
            </w:r>
          </w:p>
        </w:tc>
        <w:tc>
          <w:tcPr>
            <w:tcW w:w="8028" w:type="dxa"/>
            <w:tcBorders/>
          </w:tcPr>
          <w:p>
            <w:pPr>
              <w:pStyle w:val="Normal"/>
              <w:spacing w:before="120" w:after="0"/>
              <w:jc w:val="both"/>
              <w:rPr>
                <w:rFonts w:ascii="Arial" w:hAnsi="Arial" w:cs="Arial"/>
                <w:sz w:val="18"/>
              </w:rPr>
            </w:pPr>
            <w:r>
              <w:rPr>
                <w:rFonts w:cs="Arial" w:ascii="Arial" w:hAnsi="Arial"/>
                <w:sz w:val="18"/>
              </w:rPr>
              <w:t>EPMI Real Time Operations:  1-800-349-5527</w:t>
            </w:r>
          </w:p>
          <w:p>
            <w:pPr>
              <w:pStyle w:val="Normal"/>
              <w:spacing w:before="120" w:after="0"/>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 xml:space="preserve">Daily pre-schedule by 11:00 a.m. CPT on the business day prior to delivery.  </w:t>
            </w:r>
            <w:r>
              <w:rPr>
                <w:sz w:val="18"/>
                <w:rFonts w:cs="Arial" w:ascii="Arial" w:hAnsi="Arial"/>
              </w:rPr>
              <w:fldChar w:fldCharType="end"/>
            </w:r>
          </w:p>
        </w:tc>
      </w:tr>
      <w:tr>
        <w:trPr/>
        <w:tc>
          <w:tcPr>
            <w:tcW w:w="1548" w:type="dxa"/>
            <w:tcBorders/>
          </w:tcPr>
          <w:p>
            <w:pPr>
              <w:pStyle w:val="Normal"/>
              <w:spacing w:before="120" w:after="0"/>
              <w:jc w:val="both"/>
              <w:rPr>
                <w:rFonts w:ascii="Arial" w:hAnsi="Arial" w:cs="Arial"/>
                <w:b/>
                <w:bCs/>
                <w:sz w:val="18"/>
              </w:rPr>
            </w:pPr>
            <w:r>
              <w:rPr>
                <w:rFonts w:cs="Arial" w:ascii="Arial" w:hAnsi="Arial"/>
                <w:b/>
                <w:bCs/>
                <w:sz w:val="18"/>
              </w:rPr>
              <w:t>Special Conditions:</w:t>
            </w:r>
          </w:p>
        </w:tc>
        <w:tc>
          <w:tcPr>
            <w:tcW w:w="8028" w:type="dxa"/>
            <w:tcBorders/>
          </w:tcPr>
          <w:p>
            <w:pPr>
              <w:pStyle w:val="Normal"/>
              <w:spacing w:before="360" w:after="0"/>
              <w:jc w:val="both"/>
              <w:rPr>
                <w:rFonts w:ascii="Arial" w:hAnsi="Arial" w:cs="Arial"/>
                <w:sz w:val="18"/>
              </w:rPr>
            </w:pPr>
            <w:r>
              <w:rPr>
                <w:rFonts w:cs="Arial" w:ascii="Arial" w:hAnsi="Arial"/>
                <w:sz w:val="18"/>
              </w:rPr>
              <w:t>EPMI has the daily right to designate that the firm energy be scheduled and delivered by Seller as either an "Into Cinergy" delivery point product or as an "Into AEP" delivery point product; and provided further, that with respect to each 24 hour schedule, EPMI shall the right to designate different delivery points for the on peak hours and the off peak hours (e.g. on peak hours to be delivered to Into Cinergy and off peak hours to be delivered to Into AEP.  In order to exercise this daily designation right, EPMI must notify Seller on or before 11:00 a.m. CPT on the business day prior to delivery.  If EPMI fails to timely notify Seller of its election, then the last prior designation by EPMI of delivery points shall be the controlling designation until such time as EPMI properly designates other delivery points in accordance with the terms of this transaction.</w:t>
            </w:r>
          </w:p>
        </w:tc>
      </w:tr>
    </w:tbl>
    <w:p>
      <w:pPr>
        <w:pStyle w:val="Normal"/>
        <w:spacing w:before="240" w:after="0"/>
        <w:jc w:val="both"/>
        <w:rPr/>
      </w:pPr>
      <w:r>
        <w:rPr>
          <w:rFonts w:cs="Arial" w:ascii="Arial" w:hAnsi="Arial"/>
          <w:b/>
          <w:bCs/>
          <w:sz w:val="18"/>
          <w:u w:val="single"/>
        </w:rPr>
        <w:t>Firm Energy</w:t>
      </w:r>
      <w:r>
        <w:rPr>
          <w:rFonts w:cs="Arial" w:ascii="Arial" w:hAnsi="Arial"/>
          <w:sz w:val="18"/>
        </w:rPr>
        <w:t>.  Notwithstanding anything in the Agreement (as defined below) to the contrary, this transaction is “Firm” with liquidated damages which means that the only instance in which either party shall be relieved of its obligation to sell and deliver or purchase and deliver without liability is if such party’s performance is prevented by Force Majeure (as herein defined).  Seller shall be responsible for any costs or charges imposed on or associated with the delivery of the Quantity, including transmission losses and loss charges, relating to the transmission of the Quantity, up to the Delivery Point.  Buyer shall be responsible for any costs or charges imposed on or associated with the Quantity, including transmission losses and loss charges relating to the transmission of the Quantity, at and from the Delivery Point. Seller shall arrange and be responsible for transmission service to the Delivery Point and shall schedule or arrange for scheduling services with its transmission providers to deliver the Firm energy to the Delivery Point.  Buyer shall arrange and be responsible for transmission service at and from the Delivery Point and shall schedule or arrange for scheduling services with its transmission providers to receive the Firm energy at the Delivery Point.  Under no circumstances shall Buyer be obligated to provide, or otherwise be responsible for any payments to Seller with respect to, S02 Allowances attributable to this transaction</w:t>
      </w:r>
    </w:p>
    <w:p>
      <w:pPr>
        <w:pStyle w:val="BodyTextIndent2"/>
        <w:spacing w:before="120" w:after="0"/>
        <w:ind w:hanging="0" w:end="0"/>
        <w:jc w:val="both"/>
        <w:rPr/>
      </w:pPr>
      <w:r>
        <w:rPr>
          <w:rFonts w:cs="Arial" w:ascii="Arial" w:hAnsi="Arial"/>
          <w:b/>
          <w:bCs/>
          <w:color w:val="000000"/>
          <w:sz w:val="18"/>
          <w:u w:val="single"/>
        </w:rPr>
        <w:t>Failure to Deliver or Receive Energy</w:t>
      </w:r>
      <w:r>
        <w:rPr>
          <w:rFonts w:cs="Arial" w:ascii="Arial" w:hAnsi="Arial"/>
          <w:color w:val="000000"/>
          <w:sz w:val="18"/>
        </w:rPr>
        <w:t xml:space="preserve">.  Notwithstanding anything in the Agreement to the contrary, the parties agree that the following provisions shall control in the event of a party's failure to schedule or deliver or receive energy. </w:t>
      </w:r>
    </w:p>
    <w:p>
      <w:pPr>
        <w:pStyle w:val="BodyTextIndent2"/>
        <w:spacing w:before="120" w:after="0"/>
        <w:ind w:hanging="0" w:start="720" w:end="0"/>
        <w:jc w:val="both"/>
        <w:rPr/>
      </w:pPr>
      <w:r>
        <w:rPr>
          <w:rFonts w:cs="Arial" w:ascii="Arial" w:hAnsi="Arial"/>
          <w:color w:val="000000"/>
          <w:sz w:val="18"/>
        </w:rPr>
        <w:t xml:space="preserve">(a) </w:t>
      </w:r>
      <w:r>
        <w:rPr>
          <w:rFonts w:cs="Arial" w:ascii="Arial" w:hAnsi="Arial"/>
          <w:color w:val="000000"/>
          <w:sz w:val="18"/>
          <w:u w:val="single"/>
        </w:rPr>
        <w:t>Seller Failure</w:t>
      </w:r>
      <w:r>
        <w:rPr>
          <w:rFonts w:cs="Arial" w:ascii="Arial" w:hAnsi="Arial"/>
          <w:color w:val="000000"/>
          <w:sz w:val="18"/>
        </w:rPr>
        <w:t>.  If Seller fails to schedule and/or deliver all or part of the Contract Quantity it is required to schedule and deliver pursuant to this Transaction, and such failure is not excused by Force Majeure or Buyer’s failure to perform, then Seller shall pay Buyer within five (5) business days of invoice receipt an amount for each unit of such deficiency equal to the positive difference, if any, obtained by subtracting the Contract Price from the Replacement Price; provided, however, if Seller's system is experiencing a system emergency such that Seller is not able to produce or transmit from its system all of the energy required to be delivered to Buyer under this transaction (a "Seller System Emergency"), then upon not less than one hours prior notice to Buyer, Seller shall have the right to curtail deliveries to Buyer until such time as the Seller System Emergency ceases to exist. In the event Seller properly calls a Seller System Emergency, then Seller shall be obligated to pay Buyer an amount equal to $3,225 ($64.50 per MW) for each hour that Seller delivers less than the Quantity to Buyer; provided, however, if Seller calls a Seller System Emergency, then the minimum number of hours for which Seller shall be obligated to pay the liquidated damage amount shall be three (3) hours (for a minimum of $9,675 for each Seller System Emergency).  The invoice for amounts under this section shall include a written statement explaining in reasonable detail the calculation of such amount.</w:t>
      </w:r>
    </w:p>
    <w:p>
      <w:pPr>
        <w:pStyle w:val="BodyTextIndent3"/>
        <w:spacing w:before="120" w:after="0"/>
        <w:ind w:hanging="0" w:end="0"/>
        <w:rPr>
          <w:rFonts w:ascii="Arial" w:hAnsi="Arial" w:cs="Arial"/>
          <w:color w:val="000000"/>
          <w:sz w:val="18"/>
        </w:rPr>
      </w:pPr>
      <w:r>
        <w:rPr>
          <w:rFonts w:cs="Arial" w:ascii="Arial" w:hAnsi="Arial"/>
          <w:color w:val="000000"/>
          <w:sz w:val="18"/>
        </w:rPr>
        <w:t>“</w:t>
      </w:r>
      <w:r>
        <w:rPr>
          <w:rFonts w:cs="Arial" w:ascii="Arial" w:hAnsi="Arial"/>
          <w:color w:val="000000"/>
          <w:sz w:val="18"/>
        </w:rPr>
        <w:t>Replacement Price” means the price at which Buyer, acting in a commercially reasonable manner, purchases for delivery at the Delivery Point a replacement for the portion of the Contract Quantity specified in the Transaction but not scheduled and/or delivered by Seller, plus (i) costs reasonably incurred by Buyer in purchasing such substitute product and (ii) additional transmission charges, if any, reasonably incurred by Buyer to the Delivery Point, or absent a purchase, the market price at the Delivery Point for the Contract Quantity not scheduled and/or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a replacement product to the extent Buyer shall have entered into one or more arrangements in a commercially reasonable manner whereby Buyer repurchases its obligation to sell and deliver such product to another party at the Delivery Point.</w:t>
      </w:r>
    </w:p>
    <w:p>
      <w:pPr>
        <w:pStyle w:val="Normal"/>
        <w:spacing w:before="120" w:after="0"/>
        <w:ind w:start="720" w:end="0"/>
        <w:jc w:val="both"/>
        <w:rPr/>
      </w:pPr>
      <w:r>
        <w:rPr>
          <w:rFonts w:cs="Arial" w:ascii="Arial" w:hAnsi="Arial"/>
          <w:sz w:val="18"/>
        </w:rPr>
        <w:t xml:space="preserve">(b) </w:t>
      </w:r>
      <w:r>
        <w:rPr>
          <w:rFonts w:cs="Arial" w:ascii="Arial" w:hAnsi="Arial"/>
          <w:sz w:val="18"/>
          <w:u w:val="single"/>
        </w:rPr>
        <w:t>Buyer Failure</w:t>
      </w:r>
      <w:r>
        <w:rPr>
          <w:rFonts w:cs="Arial" w:ascii="Arial" w:hAnsi="Arial"/>
          <w:sz w:val="18"/>
        </w:rPr>
        <w:t>.  If Buyer fails to schedule and/or receive all or part of the Contract Quantity it is required to schedule or receive pursuant to this Transaction and such failure is not excused by Force Majeure or Seller’s failure to perform, then Buyer shall pay Seller within five (5) business days of invoice receipt an amount for each unit of such deficiency equal to the positive difference, if any, obtained by subtracting the Sales Price from the Contract Price. The invoice for such amount shall include a written statement explaining in reasonable detail the calculation of such amount.</w:t>
      </w:r>
    </w:p>
    <w:p>
      <w:pPr>
        <w:pStyle w:val="Normal"/>
        <w:spacing w:before="120" w:after="0"/>
        <w:ind w:start="720" w:end="0"/>
        <w:jc w:val="both"/>
        <w:rPr/>
      </w:pPr>
      <w:r>
        <w:rPr>
          <w:rFonts w:cs="Arial" w:ascii="Arial" w:hAnsi="Arial"/>
          <w:sz w:val="18"/>
        </w:rPr>
        <w:t>“</w:t>
      </w:r>
      <w:r>
        <w:rPr>
          <w:rFonts w:cs="Arial" w:ascii="Arial" w:hAnsi="Arial"/>
          <w:sz w:val="18"/>
        </w:rPr>
        <w:t xml:space="preserve">Sales Price” means the price at which Seller, acting in a commercially reasonable manner, resells any portion of the Contract Quantity not received by Buyer, deducting from such proceeds any (i) amounts reasonably incurred by Seller in reselling such power and (ii) additional transmission charges, if any, reasonably incurred by Seller in delivering such product to the third party purchasers, or absent a sale, assuming a sale could have been made in a commercially reasonable manner,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Contract Quantity to the extent Seller shall have entered into one or more arrangements in a commercially reasonable manner whereby Seller repurchases its obligation to purchase and receive such product from another party at the Delivery Point.  </w:t>
      </w:r>
    </w:p>
    <w:p>
      <w:pPr>
        <w:pStyle w:val="BodyTextIndent"/>
        <w:spacing w:before="120" w:after="0"/>
        <w:ind w:start="0" w:end="0"/>
        <w:rPr/>
      </w:pPr>
      <w:r>
        <w:rPr>
          <w:rFonts w:cs="Arial" w:ascii="Arial" w:hAnsi="Arial"/>
          <w:b/>
          <w:bCs/>
          <w:sz w:val="18"/>
          <w:u w:val="single"/>
        </w:rPr>
        <w:t>Force Majeure</w:t>
      </w:r>
      <w:r>
        <w:rPr>
          <w:rFonts w:cs="Arial" w:ascii="Arial" w:hAnsi="Arial"/>
          <w:sz w:val="18"/>
        </w:rPr>
        <w:t xml:space="preserve">. Notwithstanding anything in the Agreement to the contrary, the parties agree that the following provisions shall govern this transaction:  “Force Majeure” means an event or circumstance which prevents one Party from performing its obligations under the Transaction, which event or circumstance was not anticipated as of the date the transaction was agreed to, which is not within the reasonable control of, or the result of the negligence of, the party claiming the force majeure (the “Claiming Party”), and which, by the exercise of due diligence, the Claiming Party is unable to overcome or avoid or cause to be avoided.  Force Majeure shall not be based on (i) the loss of Buyer’s markets; (ii) Buyer’s inability economically to use or resell the Contract Quantity purchased hereunder; (iii) the loss or failure of Seller’s supply; or (iv) Seller’s ability to sell the Contract Quantity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w:t>
      </w:r>
    </w:p>
    <w:p>
      <w:pPr>
        <w:pStyle w:val="BodyTextIndent"/>
        <w:spacing w:before="120" w:after="0"/>
        <w:ind w:start="0" w:end="0"/>
        <w:rPr/>
      </w:pPr>
      <w:r>
        <w:rPr>
          <w:rFonts w:cs="Arial" w:ascii="Arial" w:hAnsi="Arial"/>
          <w:b/>
          <w:sz w:val="18"/>
          <w:u w:val="single"/>
        </w:rPr>
        <w:t>Taxes</w:t>
      </w:r>
      <w:r>
        <w:rPr>
          <w:rFonts w:cs="Arial" w:ascii="Arial" w:hAnsi="Arial"/>
          <w:sz w:val="18"/>
        </w:rPr>
        <w:t>.  The Contract Price shall include full reimbursement for, and Seller is liable for and shall pay, or cause to be paid, or reimburse Buyer if Buyer has paid, all taxes applicable to this transaction arising prior to the Delivery Point. The Contract Price does not include reimbursement for, and Buyer is liable for and shall pay, cause to be paid, or reimburse Seller if Seller has paid, all taxes applicable to this transaction arising at and from the Delivery Point</w:t>
      </w:r>
    </w:p>
    <w:p>
      <w:pPr>
        <w:pStyle w:val="Normal"/>
        <w:spacing w:before="120" w:after="0"/>
        <w:jc w:val="both"/>
        <w:rPr/>
      </w:pPr>
      <w:r>
        <w:rPr>
          <w:rFonts w:cs="Arial" w:ascii="Arial" w:hAnsi="Arial"/>
          <w:b/>
          <w:sz w:val="18"/>
          <w:u w:val="single"/>
        </w:rPr>
        <w:t>Arbitration</w:t>
      </w:r>
      <w:r>
        <w:rPr>
          <w:rFonts w:cs="Arial" w:ascii="Arial" w:hAnsi="Arial"/>
          <w:bCs/>
          <w:sz w:val="18"/>
        </w:rPr>
        <w:t>.</w:t>
      </w:r>
      <w:r>
        <w:rPr>
          <w:rFonts w:cs="Arial" w:ascii="Arial" w:hAnsi="Arial"/>
          <w:sz w:val="18"/>
        </w:rPr>
        <w:t xml:space="preserve">  Any claim, counterclaim, demand, cause of action, dispute, and controversy arising out of or relating to this transaction or the relationship established by this transaction,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spacing w:before="120" w:after="0"/>
        <w:ind w:hanging="0" w:start="0"/>
        <w:jc w:val="both"/>
        <w:rPr/>
      </w:pPr>
      <w:r>
        <w:rPr>
          <w:rFonts w:cs="Arial" w:ascii="Arial" w:hAnsi="Arial"/>
          <w:b/>
          <w:sz w:val="18"/>
          <w:u w:val="single"/>
        </w:rPr>
        <w:t>Governing Law</w:t>
      </w:r>
      <w:r>
        <w:rPr>
          <w:rFonts w:cs="Arial" w:ascii="Arial" w:hAnsi="Arial"/>
          <w:bCs/>
          <w:sz w:val="18"/>
        </w:rPr>
        <w:t xml:space="preserve">. </w:t>
      </w:r>
      <w:r>
        <w:rPr>
          <w:rFonts w:cs="Arial" w:ascii="Arial" w:hAnsi="Arial"/>
          <w:sz w:val="18"/>
        </w:rPr>
        <w:t xml:space="preserve"> THIS AGREEMENT AND THE RIGHTS AND DUTIES OF THE PARTIES HEREUNDER SHALL BE GOVERNED BY AND CONSTRUED, ENFORCED AND PERFORMED IN ACCORDANCE WITH THE LAWS OF THE STATE OF NEW YORK, WITHOUT REGARD TO PRINCIPLES OF CONFLICTS OF LAW.</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spacing w:before="120" w:after="0"/>
        <w:jc w:val="both"/>
        <w:rPr/>
      </w:pPr>
      <w:r>
        <w:rPr>
          <w:rFonts w:cs="Arial" w:ascii="Arial" w:hAnsi="Arial"/>
          <w:b/>
          <w:bCs/>
          <w:sz w:val="18"/>
          <w:u w:val="single"/>
        </w:rPr>
        <w:t>Confidentiality</w:t>
      </w:r>
      <w:r>
        <w:rPr>
          <w:rFonts w:cs="Arial" w:ascii="Arial" w:hAnsi="Arial"/>
          <w:sz w:val="18"/>
          <w:u w:val="single"/>
        </w:rPr>
        <w:t>.</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spacing w:before="120" w:after="0"/>
        <w:jc w:val="both"/>
        <w:rPr/>
      </w:pPr>
      <w:r>
        <w:rPr>
          <w:rFonts w:cs="Arial" w:ascii="Arial" w:hAnsi="Arial"/>
          <w:b/>
          <w:bCs/>
          <w:sz w:val="18"/>
          <w:u w:val="single"/>
        </w:rPr>
        <w:t>Governing Agreement</w:t>
      </w:r>
      <w:r>
        <w:rPr>
          <w:rFonts w:cs="Arial" w:ascii="Arial" w:hAnsi="Arial"/>
          <w:sz w:val="18"/>
        </w:rPr>
        <w:t xml:space="preserve">.  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Interchange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Indianapolis Power &amp; Light Company</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August 1, 1995</w:t>
      </w:r>
      <w:r>
        <w:rPr>
          <w:sz w:val="18"/>
          <w:rFonts w:cs="Arial" w:ascii="Arial" w:hAnsi="Arial"/>
        </w:rPr>
        <w:fldChar w:fldCharType="end"/>
      </w:r>
      <w:r>
        <w:rPr>
          <w:rFonts w:cs="Arial" w:ascii="Arial" w:hAnsi="Arial"/>
          <w:sz w:val="18"/>
        </w:rPr>
        <w:t xml:space="preserve"> (the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tabs>
          <w:tab w:val="left" w:pos="720" w:leader="none"/>
          <w:tab w:val="left" w:pos="1440" w:leader="none"/>
          <w:tab w:val="left" w:pos="2160" w:leader="none"/>
          <w:tab w:val="left" w:pos="5040" w:leader="none"/>
          <w:tab w:val="left" w:pos="5760" w:leader="none"/>
          <w:tab w:val="left" w:pos="6480" w:leader="none"/>
        </w:tabs>
        <w:spacing w:before="120" w:after="0"/>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September 5, 2000</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t>. Your response should reflect the appropriate party in your organization who has the authority to enter into this transaction. If you have any questions please call (713) 853-1886.</w:t>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spacing w:before="360" w:after="0"/>
              <w:rPr>
                <w:rFonts w:ascii="Arial" w:hAnsi="Arial" w:cs="Arial"/>
                <w:b/>
                <w:bCs/>
                <w:smallCaps/>
                <w:sz w:val="20"/>
              </w:rPr>
            </w:pPr>
            <w:r>
              <w:rPr>
                <w:rFonts w:cs="Arial" w:ascii="Arial" w:hAnsi="Arial"/>
                <w:b/>
                <w:bCs/>
                <w:smallCaps/>
                <w:sz w:val="20"/>
              </w:rPr>
              <w:fldChar w:fldCharType="begin"/>
            </w:r>
            <w:r>
              <w:rPr>
                <w:smallCaps/>
                <w:sz w:val="20"/>
                <w:b/>
                <w:bCs/>
                <w:rFonts w:cs="Arial" w:ascii="Arial" w:hAnsi="Arial"/>
              </w:rPr>
              <w:instrText xml:space="preserve"> MERGEFIELD CounterpartyName </w:instrText>
            </w:r>
            <w:r>
              <w:rPr>
                <w:smallCaps/>
                <w:sz w:val="20"/>
                <w:b/>
                <w:bCs/>
                <w:rFonts w:cs="Arial" w:ascii="Arial" w:hAnsi="Arial"/>
              </w:rPr>
              <w:fldChar w:fldCharType="separate"/>
            </w:r>
            <w:r>
              <w:rPr>
                <w:smallCaps/>
                <w:sz w:val="20"/>
                <w:b/>
                <w:bCs/>
                <w:rFonts w:cs="Arial" w:ascii="Arial" w:hAnsi="Arial"/>
              </w:rPr>
              <w:t>Indianapolis Power &amp; Light Company</w:t>
            </w:r>
            <w:r>
              <w:rPr>
                <w:smallCaps/>
                <w:sz w:val="20"/>
                <w:b/>
                <w:bCs/>
                <w:rFonts w:cs="Arial" w:ascii="Arial" w:hAnsi="Arial"/>
              </w:rPr>
              <w:fldChar w:fldCharType="end"/>
            </w:r>
          </w:p>
        </w:tc>
        <w:tc>
          <w:tcPr>
            <w:tcW w:w="4518" w:type="dxa"/>
            <w:tcBorders/>
          </w:tcPr>
          <w:p>
            <w:pPr>
              <w:pStyle w:val="Normal"/>
              <w:keepNext w:val="true"/>
              <w:spacing w:before="360" w:after="0"/>
              <w:rPr>
                <w:rFonts w:ascii="Arial" w:hAnsi="Arial" w:cs="Arial"/>
                <w:b/>
                <w:bCs/>
                <w:smallCaps/>
                <w:sz w:val="20"/>
              </w:rPr>
            </w:pPr>
            <w:r>
              <w:rPr>
                <w:rFonts w:cs="Arial" w:ascii="Arial" w:hAnsi="Arial"/>
                <w:b/>
                <w:bCs/>
                <w:smallCaps/>
                <w:sz w:val="20"/>
              </w:rPr>
              <w:fldChar w:fldCharType="begin"/>
            </w:r>
            <w:r>
              <w:rPr>
                <w:smallCaps/>
                <w:sz w:val="20"/>
                <w:b/>
                <w:bCs/>
                <w:rFonts w:cs="Arial" w:ascii="Arial" w:hAnsi="Arial"/>
              </w:rPr>
              <w:instrText xml:space="preserve"> MERGEFIELD EnronEntityName </w:instrText>
            </w:r>
            <w:r>
              <w:rPr>
                <w:smallCaps/>
                <w:sz w:val="20"/>
                <w:b/>
                <w:bCs/>
                <w:rFonts w:cs="Arial" w:ascii="Arial" w:hAnsi="Arial"/>
              </w:rPr>
              <w:fldChar w:fldCharType="separate"/>
            </w:r>
            <w:r>
              <w:rPr>
                <w:smallCaps/>
                <w:sz w:val="20"/>
                <w:b/>
                <w:bCs/>
                <w:rFonts w:cs="Arial" w:ascii="Arial" w:hAnsi="Arial"/>
              </w:rPr>
              <w:t>Enron Power Marketing, Inc.</w:t>
            </w:r>
            <w:r>
              <w:rPr>
                <w:smallCaps/>
                <w:sz w:val="20"/>
                <w:b/>
                <w:bCs/>
                <w:rFonts w:cs="Arial" w:ascii="Arial" w:hAnsi="Arial"/>
              </w:rPr>
              <w:fldChar w:fldCharType="end"/>
            </w:r>
          </w:p>
        </w:tc>
      </w:tr>
    </w:tbl>
    <w:p>
      <w:pPr>
        <w:pStyle w:val="Normal"/>
        <w:keepNext w:val="true"/>
        <w:tabs>
          <w:tab w:val="clear" w:pos="720"/>
          <w:tab w:val="left" w:pos="4320" w:leader="none"/>
          <w:tab w:val="left" w:pos="4950" w:leader="none"/>
          <w:tab w:val="left" w:pos="9540" w:leader="none"/>
        </w:tabs>
        <w:spacing w:before="480" w:after="0"/>
        <w:rPr>
          <w:rFonts w:ascii="Arial" w:hAnsi="Arial" w:cs="Arial"/>
          <w:sz w:val="18"/>
        </w:rPr>
      </w:pPr>
      <w:r>
        <w:rPr>
          <w:rFonts w:cs="Arial" w:ascii="Arial" w:hAnsi="Arial"/>
          <w:sz w:val="18"/>
        </w:rPr>
        <w:t xml:space="preserve">By:  </w:t>
      </w:r>
      <w:r>
        <w:rPr>
          <w:rFonts w:cs="Arial" w:ascii="Arial" w:hAnsi="Arial"/>
          <w:sz w:val="18"/>
          <w:u w:val="single"/>
        </w:rPr>
        <w:tab/>
      </w:r>
      <w:r>
        <w:rPr>
          <w:rFonts w:cs="Arial" w:ascii="Arial" w:hAnsi="Arial"/>
          <w:sz w:val="18"/>
        </w:rPr>
        <w:tab/>
        <w:t xml:space="preserve">By:  </w:t>
      </w:r>
      <w:r>
        <w:rPr>
          <w:rFonts w:cs="Arial" w:ascii="Arial" w:hAnsi="Arial"/>
          <w:sz w:val="18"/>
          <w:u w:val="single"/>
        </w:rPr>
        <w:fldChar w:fldCharType="begin"/>
      </w:r>
      <w:r>
        <w:rPr>
          <w:sz w:val="18"/>
          <w:u w:val="single"/>
          <w:rFonts w:cs="Arial" w:ascii="Arial" w:hAnsi="Arial"/>
        </w:rPr>
        <w:instrText xml:space="preserve"> MERGEFIELD SignatureGoesHere </w:instrText>
      </w:r>
      <w:r>
        <w:rPr>
          <w:sz w:val="18"/>
          <w:u w:val="single"/>
          <w:rFonts w:cs="Arial" w:ascii="Arial" w:hAnsi="Arial"/>
        </w:rPr>
        <w:fldChar w:fldCharType="separate"/>
      </w:r>
      <w:r>
        <w:rPr>
          <w:sz w:val="18"/>
          <w:u w:val="single"/>
          <w:rFonts w:cs="Arial" w:ascii="Arial" w:hAnsi="Arial"/>
        </w:rPr>
        <w:t>«SignatureGoesHere»</w:t>
      </w:r>
      <w:r>
        <w:rPr>
          <w:sz w:val="18"/>
          <w:u w:val="single"/>
          <w:rFonts w:cs="Arial" w:ascii="Arial" w:hAnsi="Arial"/>
        </w:rPr>
        <w:fldChar w:fldCharType="end"/>
      </w:r>
      <w:r>
        <w:rPr>
          <w:rFonts w:cs="Arial" w:ascii="Arial" w:hAnsi="Arial"/>
          <w:sz w:val="18"/>
          <w:u w:val="single"/>
        </w:rPr>
        <w:tab/>
      </w:r>
    </w:p>
    <w:p>
      <w:pPr>
        <w:pStyle w:val="Normal"/>
        <w:keepNext w:val="true"/>
        <w:tabs>
          <w:tab w:val="clear" w:pos="720"/>
          <w:tab w:val="left" w:pos="4320" w:leader="none"/>
          <w:tab w:val="left" w:pos="4950" w:leader="none"/>
          <w:tab w:val="left" w:pos="5040" w:leader="none"/>
          <w:tab w:val="left" w:pos="9540" w:leader="none"/>
        </w:tabs>
        <w:spacing w:before="240" w:after="0"/>
        <w:jc w:val="both"/>
        <w:rPr>
          <w:rFonts w:ascii="Arial" w:hAnsi="Arial" w:cs="Arial"/>
          <w:sz w:val="18"/>
        </w:rPr>
      </w:pPr>
      <w:r>
        <w:rPr>
          <w:rFonts w:cs="Arial" w:ascii="Arial" w:hAnsi="Arial"/>
          <w:sz w:val="18"/>
        </w:rPr>
        <w:t xml:space="preserve">Name:  </w:t>
      </w:r>
      <w:r>
        <w:rPr>
          <w:rFonts w:cs="Arial" w:ascii="Arial" w:hAnsi="Arial"/>
          <w:sz w:val="18"/>
          <w:u w:val="single"/>
        </w:rPr>
        <w:tab/>
      </w:r>
      <w:r>
        <w:rPr>
          <w:rFonts w:cs="Arial" w:ascii="Arial" w:hAnsi="Arial"/>
          <w:sz w:val="18"/>
        </w:rPr>
        <w:tab/>
        <w:t xml:space="preserve">Name:   </w:t>
      </w:r>
      <w:r>
        <w:rPr>
          <w:rFonts w:cs="Arial" w:ascii="Arial" w:hAnsi="Arial"/>
          <w:sz w:val="18"/>
          <w:u w:val="single"/>
        </w:rPr>
        <w:fldChar w:fldCharType="begin"/>
      </w:r>
      <w:r>
        <w:rPr>
          <w:sz w:val="18"/>
          <w:u w:val="single"/>
          <w:rFonts w:cs="Arial" w:ascii="Arial" w:hAnsi="Arial"/>
        </w:rPr>
        <w:instrText xml:space="preserve"> MERGEFIELD Signature </w:instrText>
      </w:r>
      <w:r>
        <w:rPr>
          <w:sz w:val="18"/>
          <w:u w:val="single"/>
          <w:rFonts w:cs="Arial" w:ascii="Arial" w:hAnsi="Arial"/>
        </w:rPr>
        <w:fldChar w:fldCharType="separate"/>
      </w:r>
      <w:r>
        <w:rPr>
          <w:sz w:val="18"/>
          <w:u w:val="single"/>
          <w:rFonts w:cs="Arial" w:ascii="Arial" w:hAnsi="Arial"/>
        </w:rPr>
        <w:t>John Zufferli</w:t>
      </w:r>
      <w:r>
        <w:rPr>
          <w:sz w:val="18"/>
          <w:u w:val="single"/>
          <w:rFonts w:cs="Arial" w:ascii="Arial" w:hAnsi="Arial"/>
        </w:rPr>
        <w:fldChar w:fldCharType="end"/>
      </w:r>
      <w:r>
        <w:rPr>
          <w:rFonts w:cs="Arial" w:ascii="Arial" w:hAnsi="Arial"/>
          <w:sz w:val="18"/>
          <w:u w:val="single"/>
        </w:rPr>
        <w:tab/>
      </w:r>
    </w:p>
    <w:p>
      <w:pPr>
        <w:pStyle w:val="Normal"/>
        <w:tabs>
          <w:tab w:val="clear" w:pos="720"/>
          <w:tab w:val="left" w:pos="4320" w:leader="none"/>
          <w:tab w:val="left" w:pos="4950" w:leader="none"/>
          <w:tab w:val="left" w:pos="5040" w:leader="none"/>
          <w:tab w:val="left" w:pos="9540" w:leader="none"/>
        </w:tabs>
        <w:spacing w:before="240" w:after="0"/>
        <w:jc w:val="both"/>
        <w:rPr>
          <w:rFonts w:ascii="Arial" w:hAnsi="Arial" w:cs="Arial"/>
          <w:sz w:val="18"/>
        </w:rPr>
      </w:pPr>
      <w:r>
        <w:rPr>
          <w:rFonts w:cs="Arial" w:ascii="Arial" w:hAnsi="Arial"/>
          <w:sz w:val="18"/>
        </w:rPr>
        <w:t xml:space="preserve">Title:  </w:t>
      </w:r>
      <w:r>
        <w:rPr>
          <w:rFonts w:cs="Arial" w:ascii="Arial" w:hAnsi="Arial"/>
          <w:sz w:val="18"/>
          <w:u w:val="single"/>
        </w:rPr>
        <w:tab/>
      </w:r>
      <w:r>
        <w:rPr>
          <w:rFonts w:cs="Arial" w:ascii="Arial" w:hAnsi="Arial"/>
          <w:sz w:val="18"/>
        </w:rPr>
        <w:tab/>
        <w:t xml:space="preserve">Title:  </w:t>
      </w:r>
      <w:r>
        <w:rPr>
          <w:rFonts w:cs="Arial" w:ascii="Arial" w:hAnsi="Arial"/>
          <w:sz w:val="18"/>
          <w:u w:val="single"/>
        </w:rPr>
        <w:fldChar w:fldCharType="begin"/>
      </w:r>
      <w:r>
        <w:rPr>
          <w:sz w:val="18"/>
          <w:u w:val="single"/>
          <w:rFonts w:cs="Arial" w:ascii="Arial" w:hAnsi="Arial"/>
        </w:rPr>
        <w:instrText xml:space="preserve"> MERGEFIELD SignatureTitle </w:instrText>
      </w:r>
      <w:r>
        <w:rPr>
          <w:sz w:val="18"/>
          <w:u w:val="single"/>
          <w:rFonts w:cs="Arial" w:ascii="Arial" w:hAnsi="Arial"/>
        </w:rPr>
        <w:fldChar w:fldCharType="separate"/>
      </w:r>
      <w:r>
        <w:rPr>
          <w:sz w:val="18"/>
          <w:u w:val="single"/>
          <w:rFonts w:cs="Arial" w:ascii="Arial" w:hAnsi="Arial"/>
        </w:rPr>
        <w:t>Director, Trading</w:t>
      </w:r>
      <w:r>
        <w:rPr>
          <w:sz w:val="18"/>
          <w:u w:val="single"/>
          <w:rFonts w:cs="Arial" w:ascii="Arial" w:hAnsi="Arial"/>
        </w:rPr>
        <w:fldChar w:fldCharType="end"/>
      </w:r>
      <w:r>
        <w:rPr>
          <w:rFonts w:cs="Arial" w:ascii="Arial" w:hAnsi="Arial"/>
          <w:sz w:val="18"/>
          <w:u w:val="single"/>
        </w:rPr>
        <w:tab/>
      </w:r>
    </w:p>
    <w:p>
      <w:pPr>
        <w:pStyle w:val="Normal"/>
        <w:tabs>
          <w:tab w:val="left" w:pos="720" w:leader="none"/>
          <w:tab w:val="left" w:pos="1440" w:leader="none"/>
          <w:tab w:val="left" w:pos="2160" w:leader="none"/>
          <w:tab w:val="left" w:pos="4320" w:leader="none"/>
          <w:tab w:val="left" w:pos="4950" w:leader="none"/>
          <w:tab w:val="left" w:pos="5040" w:leader="none"/>
          <w:tab w:val="left" w:pos="5760" w:leader="none"/>
          <w:tab w:val="left" w:pos="6480" w:leader="none"/>
          <w:tab w:val="left" w:pos="954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r>
      <w:rPr>
        <w:rFonts w:cs="Arial" w:ascii="Arial" w:hAnsi="Arial"/>
        <w:sz w:val="26"/>
      </w:rPr>
      <w:t xml:space="preserve">                                                                                                        </w:t>
    </w:r>
  </w:p>
  <w:p>
    <w:pPr>
      <w:pStyle w:val="Header"/>
      <w:tabs>
        <w:tab w:val="center" w:pos="4320" w:leader="none"/>
        <w:tab w:val="left" w:pos="7380" w:leader="none"/>
        <w:tab w:val="right" w:pos="8640" w:leader="none"/>
      </w:tabs>
      <w:ind w:start="6840" w:end="0"/>
      <w:rPr>
        <w:rFonts w:ascii="Arial" w:hAnsi="Arial" w:cs="Arial"/>
      </w:rPr>
    </w:pPr>
    <w:r>
      <w:rPr>
        <w:rFonts w:eastAsia="Arial" w:cs="Arial" w:ascii="Arial" w:hAnsi="Arial"/>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spacing w:before="0" w:after="360"/>
      <w:rPr/>
    </w:pPr>
    <w:r>
      <w:rPr>
        <w:rFonts w:cs="Arial" w:ascii="Arial" w:hAnsi="Arial"/>
      </w:rPr>
      <w:tab/>
      <w:t xml:space="preserve">                                                                                                                           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405992.1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5040" w:leader="none"/>
        <w:tab w:val="left" w:pos="5760" w:leader="none"/>
        <w:tab w:val="left" w:pos="6480" w:leader="none"/>
      </w:tabs>
      <w:spacing w:before="360" w:after="0"/>
      <w:jc w:val="center"/>
      <w:outlineLvl w:val="0"/>
    </w:pPr>
    <w:rPr>
      <w:rFonts w:ascii="Arial" w:hAnsi="Arial" w:cs="Arial"/>
      <w:b/>
      <w:bCs/>
      <w:sz w:val="18"/>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2000-09-06T20:14:00Z</dcterms:created>
  <dc:creator> </dc:creator>
  <dc:description/>
  <dc:language>en-CA</dc:language>
  <cp:lastModifiedBy>esager</cp:lastModifiedBy>
  <cp:lastPrinted>2000-09-07T15:57:00Z</cp:lastPrinted>
  <dcterms:modified xsi:type="dcterms:W3CDTF">2000-09-07T18:27:00Z</dcterms:modified>
  <cp:revision>8</cp:revision>
  <dc:subject/>
  <dc:title>405992.1</dc:title>
</cp:coreProperties>
</file>