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header14.xml.rels" ContentType="application/vnd.openxmlformats-package.relationship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media/image13.wmf" ContentType="image/x-wmf"/>
  <Override PartName="/word/media/image4.wmf" ContentType="image/x-wmf"/>
  <Override PartName="/word/media/image9.wmf" ContentType="image/x-wmf"/>
  <Override PartName="/word/media/image1.png" ContentType="image/png"/>
  <Override PartName="/word/media/image14.wmf" ContentType="image/x-wmf"/>
  <Override PartName="/word/media/image5.wmf" ContentType="image/x-wmf"/>
  <Override PartName="/word/media/image15.wmf" ContentType="image/x-wmf"/>
  <Override PartName="/word/media/image6.wmf" ContentType="image/x-wmf"/>
  <Override PartName="/word/media/image10.wmf" ContentType="image/x-wmf"/>
  <Override PartName="/word/media/image16.wmf" ContentType="image/x-wmf"/>
  <Override PartName="/word/media/image7.wmf" ContentType="image/x-wmf"/>
  <Override PartName="/word/media/image11.wmf" ContentType="image/x-wmf"/>
  <Override PartName="/word/media/image2.wmf" ContentType="image/x-wmf"/>
  <Override PartName="/word/media/image8.wmf" ContentType="image/x-wmf"/>
  <Override PartName="/word/media/image12.wmf" ContentType="image/x-wmf"/>
  <Override PartName="/word/media/image3.wmf" ContentType="image/x-wmf"/>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footer14.xml" ContentType="application/vnd.openxmlformats-officedocument.wordprocessingml.footer+xml"/>
  <Override PartName="/word/footer15.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go"/>
        <w:jc w:val="center"/>
        <w:rPr/>
      </w:pPr>
      <w:r>
        <w:rPr>
          <w:b/>
          <w:caps w:val="false"/>
          <w:smallCaps w:val="false"/>
          <w:color w:val="000000"/>
          <w:sz w:val="28"/>
        </w:rPr>
        <w:drawing>
          <wp:inline distT="0" distB="0" distL="0" distR="0">
            <wp:extent cx="1410970" cy="397510"/>
            <wp:effectExtent l="0" t="0" r="0" b="0"/>
            <wp:docPr id="1"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5" descr="" title=""/>
                    <pic:cNvPicPr>
                      <a:picLocks noChangeAspect="1" noChangeArrowheads="1"/>
                    </pic:cNvPicPr>
                  </pic:nvPicPr>
                  <pic:blipFill>
                    <a:blip r:embed="rId2"/>
                    <a:srcRect l="-26" t="-90" r="-26" b="-90"/>
                    <a:stretch>
                      <a:fillRect/>
                    </a:stretch>
                  </pic:blipFill>
                  <pic:spPr bwMode="auto">
                    <a:xfrm>
                      <a:off x="0" y="0"/>
                      <a:ext cx="1410970" cy="397510"/>
                    </a:xfrm>
                    <a:prstGeom prst="rect">
                      <a:avLst/>
                    </a:prstGeom>
                    <a:noFill/>
                  </pic:spPr>
                </pic:pic>
              </a:graphicData>
            </a:graphic>
          </wp:inline>
        </w:drawing>
      </w:r>
      <w:r>
        <w:rPr>
          <w:b/>
          <w:color w:val="000000"/>
          <w:sz w:val="28"/>
        </w:rPr>
        <w:tab/>
      </w:r>
      <w:r>
        <w:rPr/>
        <w:t>aUGUST 20, 2001</w:t>
      </w:r>
    </w:p>
    <w:p>
      <w:pPr>
        <w:sectPr>
          <w:headerReference w:type="default" r:id="rId3"/>
          <w:headerReference w:type="first" r:id="rId4"/>
          <w:footerReference w:type="default" r:id="rId5"/>
          <w:footerReference w:type="first" r:id="rId6"/>
          <w:type w:val="nextPage"/>
          <w:pgSz w:w="12240" w:h="15840"/>
          <w:pgMar w:left="3816" w:right="1440" w:gutter="0" w:header="720" w:top="900" w:footer="360" w:bottom="1080"/>
          <w:pgNumType w:fmt="decimal"/>
          <w:formProt w:val="false"/>
          <w:titlePg/>
          <w:textDirection w:val="lrTb"/>
          <w:docGrid w:type="default" w:linePitch="360" w:charSpace="0"/>
        </w:sectPr>
      </w:pPr>
    </w:p>
    <w:tbl>
      <w:tblPr>
        <w:tblW w:w="10170" w:type="dxa"/>
        <w:jc w:val="start"/>
        <w:tblInd w:w="-2070" w:type="dxa"/>
        <w:tblLayout w:type="fixed"/>
        <w:tblCellMar>
          <w:top w:w="0" w:type="dxa"/>
          <w:start w:w="0" w:type="dxa"/>
          <w:bottom w:w="0" w:type="dxa"/>
          <w:end w:w="0" w:type="dxa"/>
        </w:tblCellMar>
      </w:tblPr>
      <w:tblGrid>
        <w:gridCol w:w="10170"/>
      </w:tblGrid>
      <w:tr>
        <w:trPr>
          <w:trHeight w:val="1110" w:hRule="exact"/>
        </w:trPr>
        <w:tc>
          <w:tcPr>
            <w:tcW w:w="10170" w:type="dxa"/>
            <w:tcBorders>
              <w:top w:val="single" w:sz="4" w:space="0" w:color="000000"/>
              <w:bottom w:val="single" w:sz="4" w:space="0" w:color="000000"/>
            </w:tcBorders>
          </w:tcPr>
          <w:p>
            <w:pPr>
              <w:pStyle w:val="HeadTitle"/>
              <w:spacing w:before="60" w:after="0"/>
              <w:ind w:start="0" w:end="0"/>
              <w:jc w:val="center"/>
              <w:rPr>
                <w:rFonts w:ascii="Arial Black" w:hAnsi="Arial Black" w:cs="Arial Black"/>
                <w:i/>
                <w:i/>
                <w:caps/>
                <w:color w:val="0000FF"/>
                <w:sz w:val="52"/>
              </w:rPr>
            </w:pPr>
            <w:r>
              <w:rPr>
                <w:rFonts w:cs="Arial Black" w:ascii="Arial Black" w:hAnsi="Arial Black"/>
                <w:i/>
                <w:caps/>
                <w:color w:val="0000FF"/>
                <w:sz w:val="52"/>
              </w:rPr>
              <w:t>Independent Power Weekly</w:t>
            </w:r>
          </w:p>
          <w:p>
            <w:pPr>
              <w:pStyle w:val="HeadTitle"/>
              <w:spacing w:before="0" w:after="0"/>
              <w:ind w:start="0" w:end="0"/>
              <w:jc w:val="center"/>
              <w:rPr>
                <w:rFonts w:ascii="Arial Black" w:hAnsi="Arial Black" w:cs="Arial Black"/>
                <w:b w:val="false"/>
                <w:caps/>
                <w:color w:val="FF0000"/>
                <w:sz w:val="20"/>
              </w:rPr>
            </w:pPr>
            <w:r>
              <w:rPr>
                <w:rFonts w:cs="Arial Black" w:ascii="Arial Black" w:hAnsi="Arial Black"/>
                <w:b w:val="false"/>
                <w:caps/>
                <w:color w:val="FF0000"/>
                <w:sz w:val="20"/>
              </w:rPr>
              <w:t>ISSUE Forty</w:t>
            </w:r>
          </w:p>
          <w:p>
            <w:pPr>
              <w:pStyle w:val="HeadTitle"/>
              <w:spacing w:before="60" w:after="0"/>
              <w:ind w:start="0" w:end="0"/>
              <w:jc w:val="end"/>
              <w:rPr>
                <w:rFonts w:ascii="Arial Black" w:hAnsi="Arial Black" w:cs="Arial Black"/>
                <w:b w:val="false"/>
                <w:caps/>
                <w:color w:val="FF0000"/>
                <w:sz w:val="20"/>
              </w:rPr>
            </w:pPr>
            <w:r>
              <w:rPr>
                <w:rFonts w:cs="Arial Black" w:ascii="Arial Black" w:hAnsi="Arial Black"/>
                <w:b w:val="false"/>
                <w:caps/>
                <w:color w:val="FF0000"/>
                <w:sz w:val="20"/>
              </w:rPr>
            </w:r>
          </w:p>
        </w:tc>
      </w:tr>
    </w:tbl>
    <w:p>
      <w:pPr>
        <w:pStyle w:val="CameraReadyTableTitle"/>
        <w:spacing w:before="240" w:after="0"/>
        <w:rPr/>
      </w:pPr>
      <w:r>
        <w:drawing>
          <wp:anchor behindDoc="0" distT="0" distB="0" distL="114935" distR="114935" simplePos="0" locked="0" layoutInCell="0" allowOverlap="1" relativeHeight="19">
            <wp:simplePos x="0" y="0"/>
            <wp:positionH relativeFrom="column">
              <wp:posOffset>685800</wp:posOffset>
            </wp:positionH>
            <wp:positionV relativeFrom="paragraph">
              <wp:posOffset>320675</wp:posOffset>
            </wp:positionV>
            <wp:extent cx="3320415" cy="2144395"/>
            <wp:effectExtent l="0" t="0" r="0" b="0"/>
            <wp:wrapTopAndBottom/>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7"/>
                    <a:srcRect l="-5" t="-8" r="-5" b="-8"/>
                    <a:stretch>
                      <a:fillRect/>
                    </a:stretch>
                  </pic:blipFill>
                  <pic:spPr bwMode="auto">
                    <a:xfrm>
                      <a:off x="0" y="0"/>
                      <a:ext cx="3320415" cy="2144395"/>
                    </a:xfrm>
                    <a:prstGeom prst="rect">
                      <a:avLst/>
                    </a:prstGeom>
                    <a:noFill/>
                  </pic:spPr>
                </pic:pic>
              </a:graphicData>
            </a:graphic>
          </wp:anchor>
        </w:drawing>
      </w:r>
      <w:r>
        <w:rPr>
          <w:i/>
        </w:rPr>
        <w:t>Exhibit 1:</w:t>
      </w:r>
      <w:r>
        <w:rPr/>
        <w:t xml:space="preserve">  CSFB IPP Composite</w:t>
      </w:r>
      <w:r>
        <mc:AlternateContent>
          <mc:Choice Requires="wps">
            <w:drawing>
              <wp:anchor behindDoc="0" distT="0" distB="0" distL="0" distR="0" simplePos="0" locked="0" layoutInCell="0" allowOverlap="1" relativeHeight="3">
                <wp:simplePos x="0" y="0"/>
                <wp:positionH relativeFrom="page">
                  <wp:posOffset>732155</wp:posOffset>
                </wp:positionH>
                <wp:positionV relativeFrom="paragraph">
                  <wp:posOffset>191770</wp:posOffset>
                </wp:positionV>
                <wp:extent cx="1187450" cy="1468120"/>
                <wp:effectExtent l="0" t="0" r="0" b="0"/>
                <wp:wrapSquare wrapText="bothSides"/>
                <wp:docPr id="4" name="Frame1"/>
                <a:graphic xmlns:a="http://schemas.openxmlformats.org/drawingml/2006/main">
                  <a:graphicData uri="http://schemas.microsoft.com/office/word/2010/wordprocessingShape">
                    <wps:wsp>
                      <wps:cNvSpPr txBox="1"/>
                      <wps:spPr>
                        <a:xfrm>
                          <a:off x="0" y="0"/>
                          <a:ext cx="1187450" cy="1468120"/>
                        </a:xfrm>
                        <a:prstGeom prst="rect"/>
                        <a:solidFill>
                          <a:srgbClr val="FFFFFF">
                            <a:alpha val="0"/>
                          </a:srgbClr>
                        </a:solidFill>
                      </wps:spPr>
                      <wps:txbx>
                        <w:txbxContent>
                          <w:p>
                            <w:pPr>
                              <w:pStyle w:val="HangingText"/>
                              <w:keepNext w:val="true"/>
                              <w:spacing w:before="10" w:after="120"/>
                              <w:jc w:val="start"/>
                              <w:rPr/>
                            </w:pPr>
                            <w:r>
                              <w:rPr>
                                <w:sz w:val="18"/>
                              </w:rPr>
                              <w:t>Neil Stein</w:t>
                              <w:br/>
                            </w:r>
                            <w:r>
                              <w:rPr>
                                <w:b w:val="false"/>
                                <w:sz w:val="18"/>
                              </w:rPr>
                              <w:t>1 212 325 4217</w:t>
                              <w:br/>
                              <w:t>neil.stein@csfb.com</w:t>
                            </w:r>
                          </w:p>
                          <w:p>
                            <w:pPr>
                              <w:pStyle w:val="HangingText"/>
                              <w:keepNext w:val="true"/>
                              <w:spacing w:before="10" w:after="120"/>
                              <w:jc w:val="start"/>
                              <w:rPr/>
                            </w:pPr>
                            <w:r>
                              <w:rPr>
                                <w:sz w:val="18"/>
                              </w:rPr>
                              <w:t xml:space="preserve">Bryan Sifert </w:t>
                              <w:br/>
                            </w:r>
                            <w:r>
                              <w:rPr>
                                <w:b w:val="false"/>
                                <w:sz w:val="18"/>
                              </w:rPr>
                              <w:t>1 212 325 3906</w:t>
                              <w:br/>
                              <w:t>bryan.sifert@csfb.com</w:t>
                            </w:r>
                          </w:p>
                        </w:txbxContent>
                      </wps:txbx>
                      <wps:bodyPr anchor="t" lIns="0" tIns="0" rIns="0" bIns="0">
                        <a:noAutofit/>
                      </wps:bodyPr>
                    </wps:wsp>
                  </a:graphicData>
                </a:graphic>
              </wp:anchor>
            </w:drawing>
          </mc:Choice>
          <mc:Fallback>
            <w:pict>
              <v:rect fillcolor="#FFFFFF" style="position:absolute;rotation:-0;width:93.5pt;height:115.6pt;mso-wrap-distance-left:0pt;mso-wrap-distance-right:0pt;mso-wrap-distance-top:0pt;mso-wrap-distance-bottom:0pt;margin-top:15.1pt;mso-position-vertical-relative:text;margin-left:57.65pt;mso-position-horizontal-relative:page">
                <v:fill opacity="0f"/>
                <v:textbox inset="0in,0in,0in,0in">
                  <w:txbxContent>
                    <w:p>
                      <w:pPr>
                        <w:pStyle w:val="HangingText"/>
                        <w:keepNext w:val="true"/>
                        <w:spacing w:before="10" w:after="120"/>
                        <w:jc w:val="start"/>
                        <w:rPr/>
                      </w:pPr>
                      <w:r>
                        <w:rPr>
                          <w:sz w:val="18"/>
                        </w:rPr>
                        <w:t>Neil Stein</w:t>
                        <w:br/>
                      </w:r>
                      <w:r>
                        <w:rPr>
                          <w:b w:val="false"/>
                          <w:sz w:val="18"/>
                        </w:rPr>
                        <w:t>1 212 325 4217</w:t>
                        <w:br/>
                        <w:t>neil.stein@csfb.com</w:t>
                      </w:r>
                    </w:p>
                    <w:p>
                      <w:pPr>
                        <w:pStyle w:val="HangingText"/>
                        <w:keepNext w:val="true"/>
                        <w:spacing w:before="10" w:after="120"/>
                        <w:jc w:val="start"/>
                        <w:rPr/>
                      </w:pPr>
                      <w:r>
                        <w:rPr>
                          <w:sz w:val="18"/>
                        </w:rPr>
                        <w:t xml:space="preserve">Bryan Sifert </w:t>
                        <w:br/>
                      </w:r>
                      <w:r>
                        <w:rPr>
                          <w:b w:val="false"/>
                          <w:sz w:val="18"/>
                        </w:rPr>
                        <w:t>1 212 325 3906</w:t>
                        <w:br/>
                        <w:t>bryan.sifert@csfb.com</w:t>
                      </w:r>
                    </w:p>
                  </w:txbxContent>
                </v:textbox>
                <w10:wrap type="square"/>
              </v:rect>
            </w:pict>
          </mc:Fallback>
        </mc:AlternateContent>
      </w:r>
    </w:p>
    <w:p>
      <w:pPr>
        <w:pStyle w:val="Text"/>
        <w:spacing w:before="120" w:after="0"/>
        <w:rPr>
          <w:sz w:val="16"/>
        </w:rPr>
      </w:pPr>
      <w:r>
        <w:rPr>
          <w:sz w:val="16"/>
        </w:rPr>
        <w:t>Note:  IPP Composite includes:  AES, CPN, IPR, MIR, NRG, ORN, RRI and SGR.</w:t>
      </w:r>
    </w:p>
    <w:p>
      <w:pPr>
        <w:pStyle w:val="Text"/>
        <w:pBdr>
          <w:bottom w:val="single" w:sz="4" w:space="1" w:color="000000"/>
        </w:pBdr>
        <w:spacing w:before="0" w:after="0"/>
        <w:rPr>
          <w:sz w:val="16"/>
        </w:rPr>
      </w:pPr>
      <w:r>
        <w:rPr>
          <w:sz w:val="16"/>
        </w:rPr>
        <w:t>Source:  FactSet and CSFB Estimates</w:t>
      </w:r>
    </w:p>
    <w:p>
      <w:pPr>
        <w:pStyle w:val="Text"/>
        <w:spacing w:before="0" w:after="0"/>
        <w:rPr>
          <w:sz w:val="16"/>
          <w:lang w:val="en-CA" w:eastAsia="en-CA"/>
        </w:rPr>
      </w:pPr>
      <w:r>
        <w:rPr>
          <w:sz w:val="16"/>
          <w:lang w:val="en-CA" w:eastAsia="en-CA"/>
        </w:rPr>
      </w:r>
      <w:r>
        <mc:AlternateContent>
          <mc:Choice Requires="wps">
            <w:drawing>
              <wp:anchor behindDoc="0" distT="0" distB="0" distL="114935" distR="114935" simplePos="0" locked="0" layoutInCell="1" allowOverlap="1" relativeHeight="6">
                <wp:simplePos x="0" y="0"/>
                <wp:positionH relativeFrom="column">
                  <wp:posOffset>-1946910</wp:posOffset>
                </wp:positionH>
                <wp:positionV relativeFrom="paragraph">
                  <wp:posOffset>46990</wp:posOffset>
                </wp:positionV>
                <wp:extent cx="1756410" cy="2076450"/>
                <wp:effectExtent l="0" t="0" r="0" b="0"/>
                <wp:wrapNone/>
                <wp:docPr id="5" name="Frame2"/>
                <a:graphic xmlns:a="http://schemas.openxmlformats.org/drawingml/2006/main">
                  <a:graphicData uri="http://schemas.microsoft.com/office/word/2010/wordprocessingShape">
                    <wps:wsp>
                      <wps:cNvSpPr txBox="1"/>
                      <wps:spPr>
                        <a:xfrm>
                          <a:off x="0" y="0"/>
                          <a:ext cx="1756410" cy="2076450"/>
                        </a:xfrm>
                        <a:prstGeom prst="rect"/>
                        <a:solidFill>
                          <a:srgbClr val="FFFFFF"/>
                        </a:solidFill>
                        <a:ln w="19050">
                          <a:solidFill>
                            <a:srgbClr val="000000"/>
                          </a:solidFill>
                        </a:ln>
                      </wps:spPr>
                      <wps:txbx>
                        <w:txbxContent>
                          <w:p>
                            <w:pPr>
                              <w:pStyle w:val="Heading9"/>
                              <w:ind w:hanging="270" w:start="270" w:end="0"/>
                              <w:jc w:val="start"/>
                              <w:rPr>
                                <w:rFonts w:ascii="Arial Narrow" w:hAnsi="Arial Narrow" w:cs="Arial Narrow"/>
                                <w:color w:val="0000FF"/>
                              </w:rPr>
                            </w:pPr>
                            <w:r>
                              <w:rPr>
                                <w:rFonts w:cs="Arial Narrow" w:ascii="Arial Narrow" w:hAnsi="Arial Narrow"/>
                                <w:color w:val="0000FF"/>
                              </w:rPr>
                              <w:t>INSIDE THIS ISSUE (Page #)</w:t>
                            </w:r>
                          </w:p>
                          <w:p>
                            <w:pPr>
                              <w:pStyle w:val="Normal"/>
                              <w:numPr>
                                <w:ilvl w:val="0"/>
                                <w:numId w:val="6"/>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Weekly Commentary (2)</w:t>
                            </w:r>
                          </w:p>
                          <w:p>
                            <w:pPr>
                              <w:pStyle w:val="Normal"/>
                              <w:numPr>
                                <w:ilvl w:val="0"/>
                                <w:numId w:val="6"/>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Looking Ahead (3)</w:t>
                            </w:r>
                          </w:p>
                          <w:p>
                            <w:pPr>
                              <w:pStyle w:val="Normal"/>
                              <w:numPr>
                                <w:ilvl w:val="0"/>
                                <w:numId w:val="6"/>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Upcoming Events (4)</w:t>
                            </w:r>
                          </w:p>
                          <w:p>
                            <w:pPr>
                              <w:pStyle w:val="Normal"/>
                              <w:numPr>
                                <w:ilvl w:val="0"/>
                                <w:numId w:val="6"/>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Debt Market Update (4)</w:t>
                            </w:r>
                          </w:p>
                          <w:p>
                            <w:pPr>
                              <w:pStyle w:val="Normal"/>
                              <w:numPr>
                                <w:ilvl w:val="0"/>
                                <w:numId w:val="6"/>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Recent Headlines (5)</w:t>
                            </w:r>
                          </w:p>
                          <w:p>
                            <w:pPr>
                              <w:pStyle w:val="Normal"/>
                              <w:numPr>
                                <w:ilvl w:val="0"/>
                                <w:numId w:val="6"/>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Valuation Table (6)</w:t>
                            </w:r>
                          </w:p>
                          <w:p>
                            <w:pPr>
                              <w:pStyle w:val="Normal"/>
                              <w:numPr>
                                <w:ilvl w:val="0"/>
                                <w:numId w:val="6"/>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P/E Analysis (7)</w:t>
                            </w:r>
                          </w:p>
                          <w:p>
                            <w:pPr>
                              <w:pStyle w:val="Normal"/>
                              <w:numPr>
                                <w:ilvl w:val="0"/>
                                <w:numId w:val="6"/>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Power Prices (8)</w:t>
                            </w:r>
                          </w:p>
                        </w:txbxContent>
                      </wps:txbx>
                      <wps:bodyPr anchor="t" lIns="91440" tIns="45720" rIns="91440" bIns="45720">
                        <a:noAutofit/>
                      </wps:bodyPr>
                    </wps:wsp>
                  </a:graphicData>
                </a:graphic>
              </wp:anchor>
            </w:drawing>
          </mc:Choice>
          <mc:Fallback>
            <w:pict>
              <v:rect fillcolor="#FFFFFF" strokecolor="#000000" strokeweight="1pt" style="position:absolute;rotation:-0;width:138.3pt;height:163.5pt;mso-wrap-distance-left:9.05pt;mso-wrap-distance-right:9.05pt;mso-wrap-distance-top:0pt;mso-wrap-distance-bottom:0pt;margin-top:3.7pt;mso-position-vertical-relative:text;margin-left:-153.3pt;mso-position-horizontal-relative:text">
                <v:textbox>
                  <w:txbxContent>
                    <w:p>
                      <w:pPr>
                        <w:pStyle w:val="Heading9"/>
                        <w:ind w:hanging="270" w:start="270" w:end="0"/>
                        <w:jc w:val="start"/>
                        <w:rPr>
                          <w:rFonts w:ascii="Arial Narrow" w:hAnsi="Arial Narrow" w:cs="Arial Narrow"/>
                          <w:color w:val="0000FF"/>
                        </w:rPr>
                      </w:pPr>
                      <w:r>
                        <w:rPr>
                          <w:rFonts w:cs="Arial Narrow" w:ascii="Arial Narrow" w:hAnsi="Arial Narrow"/>
                          <w:color w:val="0000FF"/>
                        </w:rPr>
                        <w:t>INSIDE THIS ISSUE (Page #)</w:t>
                      </w:r>
                    </w:p>
                    <w:p>
                      <w:pPr>
                        <w:pStyle w:val="Normal"/>
                        <w:numPr>
                          <w:ilvl w:val="0"/>
                          <w:numId w:val="6"/>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Weekly Commentary (2)</w:t>
                      </w:r>
                    </w:p>
                    <w:p>
                      <w:pPr>
                        <w:pStyle w:val="Normal"/>
                        <w:numPr>
                          <w:ilvl w:val="0"/>
                          <w:numId w:val="6"/>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Looking Ahead (3)</w:t>
                      </w:r>
                    </w:p>
                    <w:p>
                      <w:pPr>
                        <w:pStyle w:val="Normal"/>
                        <w:numPr>
                          <w:ilvl w:val="0"/>
                          <w:numId w:val="6"/>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Upcoming Events (4)</w:t>
                      </w:r>
                    </w:p>
                    <w:p>
                      <w:pPr>
                        <w:pStyle w:val="Normal"/>
                        <w:numPr>
                          <w:ilvl w:val="0"/>
                          <w:numId w:val="6"/>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Debt Market Update (4)</w:t>
                      </w:r>
                    </w:p>
                    <w:p>
                      <w:pPr>
                        <w:pStyle w:val="Normal"/>
                        <w:numPr>
                          <w:ilvl w:val="0"/>
                          <w:numId w:val="6"/>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Recent Headlines (5)</w:t>
                      </w:r>
                    </w:p>
                    <w:p>
                      <w:pPr>
                        <w:pStyle w:val="Normal"/>
                        <w:numPr>
                          <w:ilvl w:val="0"/>
                          <w:numId w:val="6"/>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Valuation Table (6)</w:t>
                      </w:r>
                    </w:p>
                    <w:p>
                      <w:pPr>
                        <w:pStyle w:val="Normal"/>
                        <w:numPr>
                          <w:ilvl w:val="0"/>
                          <w:numId w:val="6"/>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P/E Analysis (7)</w:t>
                      </w:r>
                    </w:p>
                    <w:p>
                      <w:pPr>
                        <w:pStyle w:val="Normal"/>
                        <w:numPr>
                          <w:ilvl w:val="0"/>
                          <w:numId w:val="6"/>
                        </w:numPr>
                        <w:tabs>
                          <w:tab w:val="clear" w:pos="720"/>
                          <w:tab w:val="left" w:pos="270" w:leader="none"/>
                        </w:tabs>
                        <w:spacing w:before="80" w:after="60"/>
                        <w:ind w:hanging="270" w:start="270" w:end="0"/>
                        <w:jc w:val="start"/>
                        <w:rPr>
                          <w:rFonts w:ascii="Arial Narrow" w:hAnsi="Arial Narrow" w:cs="Arial Narrow"/>
                          <w:b/>
                          <w:sz w:val="16"/>
                        </w:rPr>
                      </w:pPr>
                      <w:r>
                        <w:rPr>
                          <w:rFonts w:cs="Arial Narrow" w:ascii="Arial Narrow" w:hAnsi="Arial Narrow"/>
                          <w:b/>
                          <w:sz w:val="16"/>
                        </w:rPr>
                        <w:t>Power Prices (8)</w:t>
                      </w:r>
                    </w:p>
                  </w:txbxContent>
                </v:textbox>
                <w10:wrap type="none"/>
              </v:rect>
            </w:pict>
          </mc:Fallback>
        </mc:AlternateContent>
      </w:r>
    </w:p>
    <w:p>
      <w:pPr>
        <w:pStyle w:val="Text"/>
        <w:spacing w:before="0" w:after="0"/>
        <w:rPr>
          <w:b/>
        </w:rPr>
      </w:pPr>
      <w:r>
        <w:rPr>
          <w:b/>
        </w:rPr>
        <w:t>WEEKLY PERFORMANCE</w:t>
      </w:r>
    </w:p>
    <w:p>
      <w:pPr>
        <w:pStyle w:val="CameraReadyTableTitle"/>
        <w:pBdr>
          <w:bottom w:val="single" w:sz="4" w:space="1" w:color="000000"/>
        </w:pBdr>
        <w:rPr/>
      </w:pPr>
      <w:r>
        <w:drawing>
          <wp:anchor behindDoc="0" distT="0" distB="0" distL="114935" distR="114935" simplePos="0" locked="0" layoutInCell="0" allowOverlap="1" relativeHeight="16">
            <wp:simplePos x="0" y="0"/>
            <wp:positionH relativeFrom="column">
              <wp:posOffset>5715</wp:posOffset>
            </wp:positionH>
            <wp:positionV relativeFrom="paragraph">
              <wp:posOffset>226695</wp:posOffset>
            </wp:positionV>
            <wp:extent cx="4914900" cy="1705610"/>
            <wp:effectExtent l="0" t="0" r="0" b="0"/>
            <wp:wrapTopAndBottom/>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8"/>
                    <a:srcRect l="-5" t="-15" r="-5" b="-15"/>
                    <a:stretch>
                      <a:fillRect/>
                    </a:stretch>
                  </pic:blipFill>
                  <pic:spPr bwMode="auto">
                    <a:xfrm>
                      <a:off x="0" y="0"/>
                      <a:ext cx="4914900" cy="1705610"/>
                    </a:xfrm>
                    <a:prstGeom prst="rect">
                      <a:avLst/>
                    </a:prstGeom>
                    <a:noFill/>
                  </pic:spPr>
                </pic:pic>
              </a:graphicData>
            </a:graphic>
          </wp:anchor>
        </w:drawing>
      </w:r>
      <w:r>
        <w:rPr>
          <w:i/>
        </w:rPr>
        <w:t>Exhibit 2:</w:t>
      </w:r>
      <w:r>
        <w:rPr/>
        <w:t xml:space="preserve">  Independent Power Producer Performance</w:t>
      </w:r>
    </w:p>
    <w:p>
      <w:pPr>
        <w:pStyle w:val="Text"/>
        <w:spacing w:before="0" w:after="0"/>
        <w:rPr>
          <w:sz w:val="16"/>
        </w:rPr>
      </w:pPr>
      <w:r>
        <w:rPr>
          <w:sz w:val="16"/>
        </w:rPr>
      </w:r>
    </w:p>
    <w:p>
      <w:pPr>
        <w:pStyle w:val="CameraReadyTableTitle"/>
        <w:spacing w:before="120" w:after="60"/>
        <w:rPr/>
      </w:pPr>
      <w:r>
        <w:drawing>
          <wp:anchor behindDoc="0" distT="0" distB="0" distL="114935" distR="114935" simplePos="0" locked="0" layoutInCell="0" allowOverlap="1" relativeHeight="17">
            <wp:simplePos x="0" y="0"/>
            <wp:positionH relativeFrom="column">
              <wp:posOffset>0</wp:posOffset>
            </wp:positionH>
            <wp:positionV relativeFrom="paragraph">
              <wp:posOffset>282575</wp:posOffset>
            </wp:positionV>
            <wp:extent cx="4920615" cy="2007870"/>
            <wp:effectExtent l="0" t="0" r="0" b="0"/>
            <wp:wrapTopAndBottom/>
            <wp:docPr id="7"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 title=""/>
                    <pic:cNvPicPr>
                      <a:picLocks noChangeAspect="1" noChangeArrowheads="1"/>
                    </pic:cNvPicPr>
                  </pic:nvPicPr>
                  <pic:blipFill>
                    <a:blip r:embed="rId9"/>
                    <a:srcRect l="-5" t="-13" r="-5" b="-13"/>
                    <a:stretch>
                      <a:fillRect/>
                    </a:stretch>
                  </pic:blipFill>
                  <pic:spPr bwMode="auto">
                    <a:xfrm>
                      <a:off x="0" y="0"/>
                      <a:ext cx="4920615" cy="2007870"/>
                    </a:xfrm>
                    <a:prstGeom prst="rect">
                      <a:avLst/>
                    </a:prstGeom>
                    <a:noFill/>
                  </pic:spPr>
                </pic:pic>
              </a:graphicData>
            </a:graphic>
          </wp:anchor>
        </w:drawing>
      </w:r>
      <w:r>
        <w:rPr>
          <w:i/>
        </w:rPr>
        <w:t xml:space="preserve">Exhibit 3:  </w:t>
      </w:r>
      <w:r>
        <w:rPr/>
        <w:t>Utilities with Significant Unregulated Generation Assets</w:t>
      </w:r>
    </w:p>
    <w:p>
      <w:pPr>
        <w:pStyle w:val="Text"/>
        <w:spacing w:before="60" w:after="0"/>
        <w:rPr>
          <w:sz w:val="16"/>
        </w:rPr>
      </w:pPr>
      <w:r>
        <w:rPr>
          <w:sz w:val="16"/>
        </w:rPr>
        <w:t>Source: CSFB estimates, FactSet</w:t>
      </w:r>
    </w:p>
    <w:p>
      <w:pPr>
        <w:sectPr>
          <w:type w:val="continuous"/>
          <w:pgSz w:w="12240" w:h="15840"/>
          <w:pgMar w:left="3312" w:right="1195" w:gutter="0" w:header="720" w:top="900" w:footer="360" w:bottom="1080"/>
          <w:formProt w:val="false"/>
          <w:titlePg/>
          <w:textDirection w:val="lrTb"/>
          <w:docGrid w:type="default" w:linePitch="360" w:charSpace="0"/>
        </w:sectPr>
      </w:pPr>
    </w:p>
    <w:p>
      <w:pPr>
        <w:pStyle w:val="Head1"/>
        <w:rPr/>
      </w:pPr>
      <w:r>
        <w:rPr/>
        <w:t>Weekly Commentary</w:t>
      </w:r>
    </w:p>
    <w:p>
      <w:pPr>
        <w:pStyle w:val="Text"/>
        <w:rPr/>
      </w:pPr>
      <w:r>
        <w:rPr/>
        <w:t>Last week our IPP composite fell 5.1%, underperforming both the NASDAQ (-4.6%) and the S&amp;P 500 (-2.4%).  Orion Power, which was up 4.2%, was the strongest performer in the group—for the second consecutive week.  Global Power Equipment Group was the weakest performer, falling 12.9%.</w:t>
      </w:r>
    </w:p>
    <w:p>
      <w:pPr>
        <w:pStyle w:val="CameraReadyTableTitle"/>
        <w:pBdr>
          <w:bottom w:val="single" w:sz="6" w:space="0" w:color="000000"/>
        </w:pBdr>
        <w:spacing w:before="120" w:after="60"/>
        <w:ind w:start="-1170" w:end="0"/>
        <w:rPr>
          <w:i/>
          <w:i/>
        </w:rPr>
      </w:pPr>
      <w:r>
        <w:drawing>
          <wp:anchor behindDoc="0" distT="0" distB="0" distL="114935" distR="114935" simplePos="0" locked="0" layoutInCell="0" allowOverlap="1" relativeHeight="18">
            <wp:simplePos x="0" y="0"/>
            <wp:positionH relativeFrom="column">
              <wp:posOffset>-691515</wp:posOffset>
            </wp:positionH>
            <wp:positionV relativeFrom="paragraph">
              <wp:posOffset>294640</wp:posOffset>
            </wp:positionV>
            <wp:extent cx="6057900" cy="853440"/>
            <wp:effectExtent l="0" t="0" r="0" b="0"/>
            <wp:wrapTopAndBottom/>
            <wp:docPr id="8"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 descr="" title=""/>
                    <pic:cNvPicPr>
                      <a:picLocks noChangeAspect="1" noChangeArrowheads="1"/>
                    </pic:cNvPicPr>
                  </pic:nvPicPr>
                  <pic:blipFill>
                    <a:blip r:embed="rId10"/>
                    <a:srcRect l="-4" t="-32" r="-4" b="-32"/>
                    <a:stretch>
                      <a:fillRect/>
                    </a:stretch>
                  </pic:blipFill>
                  <pic:spPr bwMode="auto">
                    <a:xfrm>
                      <a:off x="0" y="0"/>
                      <a:ext cx="6057900" cy="853440"/>
                    </a:xfrm>
                    <a:prstGeom prst="rect">
                      <a:avLst/>
                    </a:prstGeom>
                    <a:noFill/>
                  </pic:spPr>
                </pic:pic>
              </a:graphicData>
            </a:graphic>
          </wp:anchor>
        </w:drawing>
      </w:r>
      <w:r>
        <w:rPr>
          <w:i/>
        </w:rPr>
        <w:t>Exhibit 4: Daily Performance For Week Ended 8/17/01</w:t>
      </w:r>
    </w:p>
    <w:p>
      <w:pPr>
        <w:pStyle w:val="Text"/>
        <w:pBdr>
          <w:bottom w:val="single" w:sz="4" w:space="1" w:color="000000"/>
        </w:pBdr>
        <w:spacing w:before="120" w:after="60"/>
        <w:ind w:start="-1166" w:end="0"/>
        <w:rPr>
          <w:sz w:val="16"/>
        </w:rPr>
      </w:pPr>
      <w:r>
        <w:rPr>
          <w:sz w:val="16"/>
        </w:rPr>
        <w:t>Source: CSFB, Factset</w:t>
      </w:r>
    </w:p>
    <w:p>
      <w:pPr>
        <w:pStyle w:val="Text"/>
        <w:rPr>
          <w:sz w:val="16"/>
        </w:rPr>
      </w:pPr>
      <w:r>
        <w:rPr>
          <w:sz w:val="16"/>
        </w:rPr>
      </w:r>
    </w:p>
    <w:p>
      <w:pPr>
        <w:pStyle w:val="Head2"/>
        <w:rPr>
          <w:sz w:val="20"/>
        </w:rPr>
      </w:pPr>
      <w:r>
        <w:rPr/>
        <w:t>Week in Detail: Negative Sentiment Continues to Overhang the Sector</w:t>
      </w:r>
    </w:p>
    <w:p>
      <w:pPr>
        <w:pStyle w:val="Text"/>
        <w:rPr/>
      </w:pPr>
      <w:r>
        <w:rPr/>
        <w:t xml:space="preserve">Last week negative investor sentiment continued to overhang the Independent Power Producers as evidenced by the continued underperformance of our composite versus the broader market indices.  </w:t>
      </w:r>
    </w:p>
    <w:p>
      <w:pPr>
        <w:pStyle w:val="Text"/>
        <w:rPr/>
      </w:pPr>
      <w:r>
        <w:rPr/>
        <w:t xml:space="preserve">In particular, lingering concerns remain concerning the potential for overcapacity in the industry.  We continue to dispute the view that the US power market is approaching a state of oversupply.  While the announced capacity additions have received considerable attention, we believe they cannot be taken at face value.  Only 20% of these announced projects are actually under construction.  Also, the regional characteristics of the power generation market resist such broad sweeping generalizations.  See our </w:t>
      </w:r>
      <w:r>
        <w:rPr>
          <w:i/>
          <w:iCs/>
        </w:rPr>
        <w:t>Independent Power Weekly</w:t>
      </w:r>
      <w:r>
        <w:rPr/>
        <w:t xml:space="preserve"> dated August 6, 2001 for further details.</w:t>
      </w:r>
    </w:p>
    <w:p>
      <w:pPr>
        <w:pStyle w:val="Text"/>
        <w:rPr/>
      </w:pPr>
      <w:r>
        <w:rPr/>
        <w:t>Further, the market reacted harshly and drew negative conclusions across the entire sector following the resignation of Enron CEO Jeffrey Skilling on Tuesday (8/14).  We view Skilling’s resignation as a company-specific event and believe investors were mistaken in interpreting it as boding negatively for the entire sector.</w:t>
      </w:r>
    </w:p>
    <w:p>
      <w:pPr>
        <w:pStyle w:val="Head2"/>
        <w:rPr>
          <w:sz w:val="20"/>
        </w:rPr>
      </w:pPr>
      <w:r>
        <w:rPr>
          <w:sz w:val="20"/>
        </w:rPr>
        <w:t>Review of Calpine’s August 13 Conference Call</w:t>
      </w:r>
    </w:p>
    <w:p>
      <w:pPr>
        <w:pStyle w:val="Text"/>
        <w:rPr/>
      </w:pPr>
      <w:r>
        <w:rPr/>
        <w:t xml:space="preserve">On Monday (8/13), Calpine held a conference call to highlight Calpine Energy Services (CES), the company’s energy trading and marketing unit.  </w:t>
      </w:r>
    </w:p>
    <w:p>
      <w:pPr>
        <w:pStyle w:val="Text"/>
        <w:rPr/>
      </w:pPr>
      <w:r>
        <w:rPr/>
        <w:t>The call reviewed 3 primary aspects of the CES division: 1. Its role within Calpine Corporation; 2. Its financial objectives; and, 3. Its organizational structure.</w:t>
      </w:r>
    </w:p>
    <w:p>
      <w:pPr>
        <w:pStyle w:val="Text"/>
        <w:rPr/>
      </w:pPr>
      <w:r>
        <w:rPr/>
        <w:t>Overall, management demonstrated how it is able to limit its sensitivity to fluctuations in commodity prices, while also maximizing risk adjusted returns.</w:t>
      </w:r>
    </w:p>
    <w:p>
      <w:pPr>
        <w:pStyle w:val="Summary"/>
        <w:numPr>
          <w:ilvl w:val="0"/>
          <w:numId w:val="0"/>
        </w:numPr>
        <w:ind w:hanging="0" w:start="0"/>
        <w:rPr/>
      </w:pPr>
      <w:r>
        <w:rPr>
          <w:b/>
          <w:bCs/>
          <w:sz w:val="20"/>
        </w:rPr>
        <w:t>Financial Objectives</w:t>
      </w:r>
      <w:r>
        <w:rPr>
          <w:sz w:val="20"/>
        </w:rPr>
        <w:t xml:space="preserve">   Importantly, we are beginning to see concrete returns from Calpine Energy Services.  During the first half of 2001, CES generated about $100 million of gross margin over and above CPN’s base asset-driven earnings.  This performance was well-above expectations as management previously indicated that CES’ contribution would approximate this level on a full year basis.  Further, on the call, management noted that it expects a $200 million gross margin contribution from CES in 2002 with at least 50% growth over the next five years.</w:t>
      </w:r>
    </w:p>
    <w:p>
      <w:pPr>
        <w:pStyle w:val="Text"/>
        <w:rPr/>
      </w:pPr>
      <w:r>
        <w:rPr>
          <w:b/>
          <w:bCs/>
        </w:rPr>
        <w:t>Capital Raising Update</w:t>
      </w:r>
      <w:r>
        <w:rPr/>
        <w:t xml:space="preserve">   Also on the call, management provided an update on its near-term financing plans.  Importantly, despite speculation to the contrary, management stated it had no intention of executing an “overnight” convertible offering in the near future.  Rather, CPN reiterated its plan to issue $1.5 billion in various debt securities in the late-September to early-October timeframe.  </w:t>
      </w:r>
    </w:p>
    <w:p>
      <w:pPr>
        <w:pStyle w:val="Head2"/>
        <w:rPr>
          <w:sz w:val="20"/>
        </w:rPr>
      </w:pPr>
      <w:r>
        <w:rPr>
          <w:sz w:val="20"/>
        </w:rPr>
        <w:t>Second Calpine Special Topic Conference Call Taking Place Today (8/20)</w:t>
      </w:r>
    </w:p>
    <w:p>
      <w:pPr>
        <w:pStyle w:val="Text"/>
        <w:rPr/>
      </w:pPr>
      <w:r>
        <w:rPr/>
        <w:t>Today (8/20), Calpine will host the second of 3 special topic conference calls designed to address particular investor concerns.  The purpose of today’s call will be to provide an update on the company’s progress in achieving its capacity buildout goal for 2005.</w:t>
      </w:r>
    </w:p>
    <w:p>
      <w:pPr>
        <w:pStyle w:val="Text"/>
        <w:rPr/>
      </w:pPr>
      <w:r>
        <w:rPr/>
        <w:t xml:space="preserve">The call will take place at 2 pm EDT.  The dial-in number is 877/692-2137.  </w:t>
      </w:r>
    </w:p>
    <w:p>
      <w:pPr>
        <w:pStyle w:val="Text"/>
        <w:rPr/>
      </w:pPr>
      <w:r>
        <w:rPr>
          <w:i/>
          <w:iCs/>
        </w:rPr>
        <w:t xml:space="preserve">While there was speculation to the contrary last week, we expect management to reaffirm comfort with its previous target of growing its portfolio from 9,482 MW today to 70,000 MW by 2005.  </w:t>
      </w:r>
    </w:p>
    <w:p>
      <w:pPr>
        <w:pStyle w:val="Text"/>
        <w:rPr/>
      </w:pPr>
      <w:r>
        <w:rPr/>
        <w:t xml:space="preserve">In aggregate CPN has announced 39,977 MW, which break down as follows: 9,482 MW in operation, 13,225 under construction and 17,270 MW under development.  At its analyst meeting in March, management noted that its current unannounced opportunities under consideration would allow CPN to exceed 90,000 MW. </w:t>
      </w:r>
    </w:p>
    <w:p>
      <w:pPr>
        <w:pStyle w:val="Text"/>
        <w:rPr/>
      </w:pPr>
      <w:r>
        <w:rPr/>
        <w:t>Assuming a capacity base of 70,000 MW, CPN’s earnings power will approximate $6.86 per share in 2005, implying 44% EPS growth.  This estimate reflects conservative unit profitability assumptions--$40,000 per MW.  Some of CPN’s recent power sales agreements yield nearly $100,000 of net income per MW.</w:t>
      </w:r>
    </w:p>
    <w:p>
      <w:pPr>
        <w:pStyle w:val="Text"/>
        <w:rPr/>
      </w:pPr>
      <w:r>
        <w:rPr/>
        <w:t xml:space="preserve">On August 28, CPN will host its final special topic conference call, which will provide an update on the California regulatory situation.  </w:t>
      </w:r>
    </w:p>
    <w:p>
      <w:pPr>
        <w:pStyle w:val="Text"/>
        <w:rPr>
          <w:b/>
          <w:bCs/>
        </w:rPr>
      </w:pPr>
      <w:r>
        <w:rPr>
          <w:b/>
          <w:bCs/>
        </w:rPr>
        <w:t>Pat Wood Appointed as FERC Chairman</w:t>
      </w:r>
    </w:p>
    <w:p>
      <w:pPr>
        <w:pStyle w:val="Text"/>
        <w:rPr/>
      </w:pPr>
      <w:r>
        <w:rPr/>
        <w:t xml:space="preserve">As expected, President Bush named Pat Wood as Chairman of the Federal Energy Regulatory Commission (FERC).  In this role, Wood will replace Curt Hebert who announced his resignation on August 3. </w:t>
      </w:r>
    </w:p>
    <w:p>
      <w:pPr>
        <w:pStyle w:val="Text"/>
        <w:rPr/>
      </w:pPr>
      <w:r>
        <w:rPr/>
        <w:t>While Wood has acknowledged the importance of encouraging new investment, he has been more receptive to the view that some players may have driven up power prices artificially through the exercise of market power.  Since taking his seat on the FERC in May, Wood has encouraged the FERC to take a more pro-active stance on issues ranging from price caps to investigating market power in both the power and natural gas industries.</w:t>
      </w:r>
    </w:p>
    <w:p>
      <w:pPr>
        <w:pStyle w:val="Head2"/>
        <w:rPr/>
      </w:pPr>
      <w:r>
        <w:rPr/>
        <w:t>Looking ahead: CSFB Power Generation Supply Chain Conference</w:t>
      </w:r>
    </w:p>
    <w:p>
      <w:pPr>
        <w:pStyle w:val="Text"/>
        <w:rPr/>
      </w:pPr>
      <w:r>
        <w:rPr/>
        <w:t>On September 10 and 11, CSFB will host a Power Generation Supply Chain Conference at the Plaza Hotel in New York City.  This event is designed to provide investors with a wholistic perspective on all aspects of the sector—from coal and natural gas companies, to equipment and service providers, to the power producers themselves.  Please contact us if you would like any additional information.</w:t>
      </w:r>
    </w:p>
    <w:p>
      <w:pPr>
        <w:pStyle w:val="CameraReadyTableTitle"/>
        <w:rPr/>
      </w:pPr>
      <w:r>
        <w:rPr>
          <w:i/>
        </w:rPr>
        <w:t xml:space="preserve">Exhibit 5: </w:t>
      </w:r>
      <w:r>
        <w:rPr/>
        <w:t>Upcoming Conference Calls and Events</w:t>
      </w:r>
    </w:p>
    <w:tbl>
      <w:tblPr>
        <w:tblW w:w="7920" w:type="dxa"/>
        <w:jc w:val="start"/>
        <w:tblInd w:w="30" w:type="dxa"/>
        <w:tblLayout w:type="fixed"/>
        <w:tblCellMar>
          <w:top w:w="0" w:type="dxa"/>
          <w:start w:w="30" w:type="dxa"/>
          <w:bottom w:w="0" w:type="dxa"/>
          <w:end w:w="30" w:type="dxa"/>
        </w:tblCellMar>
      </w:tblPr>
      <w:tblGrid>
        <w:gridCol w:w="900"/>
        <w:gridCol w:w="4140"/>
        <w:gridCol w:w="1350"/>
        <w:gridCol w:w="1530"/>
      </w:tblGrid>
      <w:tr>
        <w:trPr>
          <w:trHeight w:val="247" w:hRule="atLeast"/>
        </w:trPr>
        <w:tc>
          <w:tcPr>
            <w:tcW w:w="900" w:type="dxa"/>
            <w:tcBorders/>
          </w:tcPr>
          <w:p>
            <w:pPr>
              <w:pStyle w:val="Normal"/>
              <w:spacing w:before="320" w:after="0"/>
              <w:rPr>
                <w:rFonts w:ascii="Arial Narrow" w:hAnsi="Arial Narrow" w:cs="Arial Narrow"/>
                <w:b/>
                <w:color w:val="000000"/>
              </w:rPr>
            </w:pPr>
            <w:r>
              <w:rPr>
                <w:rFonts w:cs="Arial Narrow" w:ascii="Arial Narrow" w:hAnsi="Arial Narrow"/>
                <w:b/>
                <w:color w:val="000000"/>
              </w:rPr>
              <w:t>Date</w:t>
            </w:r>
          </w:p>
        </w:tc>
        <w:tc>
          <w:tcPr>
            <w:tcW w:w="4140" w:type="dxa"/>
            <w:tcBorders/>
          </w:tcPr>
          <w:p>
            <w:pPr>
              <w:pStyle w:val="Normal"/>
              <w:spacing w:before="320" w:after="0"/>
              <w:rPr>
                <w:rFonts w:ascii="Arial Narrow" w:hAnsi="Arial Narrow" w:cs="Arial Narrow"/>
                <w:b/>
                <w:color w:val="000000"/>
              </w:rPr>
            </w:pPr>
            <w:r>
              <w:rPr>
                <w:rFonts w:cs="Arial Narrow" w:ascii="Arial Narrow" w:hAnsi="Arial Narrow"/>
                <w:b/>
                <w:color w:val="000000"/>
              </w:rPr>
              <w:t>Description</w:t>
            </w:r>
          </w:p>
        </w:tc>
        <w:tc>
          <w:tcPr>
            <w:tcW w:w="1350" w:type="dxa"/>
            <w:tcBorders/>
          </w:tcPr>
          <w:p>
            <w:pPr>
              <w:pStyle w:val="Normal"/>
              <w:spacing w:before="120" w:after="0"/>
              <w:jc w:val="center"/>
              <w:rPr>
                <w:rFonts w:ascii="Arial Narrow" w:hAnsi="Arial Narrow" w:cs="Arial Narrow"/>
                <w:b/>
                <w:color w:val="000000"/>
              </w:rPr>
            </w:pPr>
            <w:r>
              <w:rPr>
                <w:rFonts w:cs="Arial Narrow" w:ascii="Arial Narrow" w:hAnsi="Arial Narrow"/>
                <w:b/>
                <w:color w:val="000000"/>
              </w:rPr>
              <w:br/>
              <w:t>Time</w:t>
            </w:r>
          </w:p>
        </w:tc>
        <w:tc>
          <w:tcPr>
            <w:tcW w:w="1530" w:type="dxa"/>
            <w:tcBorders/>
          </w:tcPr>
          <w:p>
            <w:pPr>
              <w:pStyle w:val="Normal"/>
              <w:spacing w:before="120" w:after="0"/>
              <w:jc w:val="center"/>
              <w:rPr/>
            </w:pPr>
            <w:r>
              <w:rPr>
                <w:rFonts w:cs="Arial Narrow" w:ascii="Arial Narrow" w:hAnsi="Arial Narrow"/>
                <w:b/>
                <w:color w:val="000000"/>
              </w:rPr>
              <w:t xml:space="preserve">Location </w:t>
              <w:br/>
              <w:t xml:space="preserve"> or Dial-in</w:t>
            </w:r>
          </w:p>
        </w:tc>
      </w:tr>
      <w:tr>
        <w:trPr>
          <w:trHeight w:val="247" w:hRule="atLeast"/>
        </w:trPr>
        <w:tc>
          <w:tcPr>
            <w:tcW w:w="900" w:type="dxa"/>
            <w:tcBorders>
              <w:top w:val="single" w:sz="4" w:space="0" w:color="000000"/>
              <w:bottom w:val="single" w:sz="4" w:space="0" w:color="000000"/>
            </w:tcBorders>
          </w:tcPr>
          <w:p>
            <w:pPr>
              <w:pStyle w:val="TableBody"/>
              <w:rPr/>
            </w:pPr>
            <w:r>
              <w:rPr/>
              <w:t>8/20</w:t>
            </w:r>
          </w:p>
        </w:tc>
        <w:tc>
          <w:tcPr>
            <w:tcW w:w="4140" w:type="dxa"/>
            <w:tcBorders>
              <w:top w:val="single" w:sz="4" w:space="0" w:color="000000"/>
              <w:bottom w:val="single" w:sz="4" w:space="0" w:color="000000"/>
            </w:tcBorders>
          </w:tcPr>
          <w:p>
            <w:pPr>
              <w:pStyle w:val="TableBody"/>
              <w:rPr>
                <w:b/>
              </w:rPr>
            </w:pPr>
            <w:r>
              <w:rPr>
                <w:b/>
              </w:rPr>
              <w:t>Calpine Conference Call : 70,000 MW Goal</w:t>
            </w:r>
          </w:p>
        </w:tc>
        <w:tc>
          <w:tcPr>
            <w:tcW w:w="1350" w:type="dxa"/>
            <w:tcBorders>
              <w:top w:val="single" w:sz="4" w:space="0" w:color="000000"/>
              <w:bottom w:val="single" w:sz="4" w:space="0" w:color="000000"/>
            </w:tcBorders>
          </w:tcPr>
          <w:p>
            <w:pPr>
              <w:pStyle w:val="TableBody"/>
              <w:jc w:val="center"/>
              <w:rPr/>
            </w:pPr>
            <w:r>
              <w:rPr/>
              <w:t>2:00 PM EDT</w:t>
            </w:r>
          </w:p>
        </w:tc>
        <w:tc>
          <w:tcPr>
            <w:tcW w:w="1530" w:type="dxa"/>
            <w:tcBorders>
              <w:top w:val="single" w:sz="4" w:space="0" w:color="000000"/>
              <w:bottom w:val="single" w:sz="4" w:space="0" w:color="000000"/>
            </w:tcBorders>
          </w:tcPr>
          <w:p>
            <w:pPr>
              <w:pStyle w:val="TableBody"/>
              <w:jc w:val="center"/>
              <w:rPr/>
            </w:pPr>
            <w:r>
              <w:rPr/>
              <w:t>1-877-692-2137</w:t>
            </w:r>
          </w:p>
        </w:tc>
      </w:tr>
      <w:tr>
        <w:trPr>
          <w:trHeight w:val="247" w:hRule="atLeast"/>
        </w:trPr>
        <w:tc>
          <w:tcPr>
            <w:tcW w:w="900" w:type="dxa"/>
            <w:tcBorders>
              <w:top w:val="single" w:sz="4" w:space="0" w:color="000000"/>
              <w:bottom w:val="single" w:sz="4" w:space="0" w:color="000000"/>
            </w:tcBorders>
          </w:tcPr>
          <w:p>
            <w:pPr>
              <w:pStyle w:val="TableBody"/>
              <w:rPr/>
            </w:pPr>
            <w:r>
              <w:rPr/>
              <w:t>8/28</w:t>
            </w:r>
          </w:p>
        </w:tc>
        <w:tc>
          <w:tcPr>
            <w:tcW w:w="4140" w:type="dxa"/>
            <w:tcBorders>
              <w:top w:val="single" w:sz="4" w:space="0" w:color="000000"/>
              <w:bottom w:val="single" w:sz="4" w:space="0" w:color="000000"/>
            </w:tcBorders>
          </w:tcPr>
          <w:p>
            <w:pPr>
              <w:pStyle w:val="TableBody"/>
              <w:rPr>
                <w:b/>
              </w:rPr>
            </w:pPr>
            <w:r>
              <w:rPr>
                <w:b/>
              </w:rPr>
              <w:t>Calpine Conference Call: California</w:t>
            </w:r>
          </w:p>
        </w:tc>
        <w:tc>
          <w:tcPr>
            <w:tcW w:w="1350" w:type="dxa"/>
            <w:tcBorders>
              <w:top w:val="single" w:sz="4" w:space="0" w:color="000000"/>
              <w:bottom w:val="single" w:sz="4" w:space="0" w:color="000000"/>
            </w:tcBorders>
          </w:tcPr>
          <w:p>
            <w:pPr>
              <w:pStyle w:val="TableBody"/>
              <w:snapToGrid w:val="false"/>
              <w:jc w:val="center"/>
              <w:rPr>
                <w:b/>
              </w:rPr>
            </w:pPr>
            <w:r>
              <w:rPr>
                <w:b/>
              </w:rPr>
            </w:r>
          </w:p>
        </w:tc>
        <w:tc>
          <w:tcPr>
            <w:tcW w:w="1530" w:type="dxa"/>
            <w:tcBorders>
              <w:top w:val="single" w:sz="4" w:space="0" w:color="000000"/>
              <w:bottom w:val="single" w:sz="4" w:space="0" w:color="000000"/>
            </w:tcBorders>
          </w:tcPr>
          <w:p>
            <w:pPr>
              <w:pStyle w:val="TableBody"/>
              <w:jc w:val="center"/>
              <w:rPr/>
            </w:pPr>
            <w:r>
              <w:rPr/>
              <w:t>Not yet available</w:t>
            </w:r>
          </w:p>
        </w:tc>
      </w:tr>
      <w:tr>
        <w:trPr>
          <w:trHeight w:val="247" w:hRule="atLeast"/>
        </w:trPr>
        <w:tc>
          <w:tcPr>
            <w:tcW w:w="900" w:type="dxa"/>
            <w:tcBorders>
              <w:top w:val="single" w:sz="4" w:space="0" w:color="000000"/>
              <w:bottom w:val="single" w:sz="4" w:space="0" w:color="000000"/>
            </w:tcBorders>
          </w:tcPr>
          <w:p>
            <w:pPr>
              <w:pStyle w:val="TableBody"/>
              <w:rPr/>
            </w:pPr>
            <w:r>
              <w:rPr/>
              <w:t>9/10-9/11</w:t>
            </w:r>
          </w:p>
        </w:tc>
        <w:tc>
          <w:tcPr>
            <w:tcW w:w="4140" w:type="dxa"/>
            <w:tcBorders>
              <w:top w:val="single" w:sz="4" w:space="0" w:color="000000"/>
              <w:bottom w:val="single" w:sz="4" w:space="0" w:color="000000"/>
            </w:tcBorders>
          </w:tcPr>
          <w:p>
            <w:pPr>
              <w:pStyle w:val="TableBody"/>
              <w:rPr>
                <w:b/>
              </w:rPr>
            </w:pPr>
            <w:r>
              <w:rPr>
                <w:b/>
              </w:rPr>
              <w:t>CSFB Power Generation Supply Chain Conference</w:t>
            </w:r>
          </w:p>
        </w:tc>
        <w:tc>
          <w:tcPr>
            <w:tcW w:w="1350" w:type="dxa"/>
            <w:tcBorders>
              <w:top w:val="single" w:sz="4" w:space="0" w:color="000000"/>
              <w:bottom w:val="single" w:sz="4" w:space="0" w:color="000000"/>
            </w:tcBorders>
          </w:tcPr>
          <w:p>
            <w:pPr>
              <w:pStyle w:val="TableBody"/>
              <w:jc w:val="center"/>
              <w:rPr/>
            </w:pPr>
            <w:r>
              <w:rPr/>
              <w:t>All Day</w:t>
            </w:r>
          </w:p>
        </w:tc>
        <w:tc>
          <w:tcPr>
            <w:tcW w:w="1530" w:type="dxa"/>
            <w:tcBorders>
              <w:top w:val="single" w:sz="4" w:space="0" w:color="000000"/>
              <w:bottom w:val="single" w:sz="4" w:space="0" w:color="000000"/>
            </w:tcBorders>
          </w:tcPr>
          <w:p>
            <w:pPr>
              <w:pStyle w:val="TableBody"/>
              <w:jc w:val="center"/>
              <w:rPr/>
            </w:pPr>
            <w:r>
              <w:rPr/>
              <w:t>New York, NY</w:t>
            </w:r>
          </w:p>
        </w:tc>
      </w:tr>
      <w:tr>
        <w:trPr>
          <w:trHeight w:val="247" w:hRule="atLeast"/>
        </w:trPr>
        <w:tc>
          <w:tcPr>
            <w:tcW w:w="900" w:type="dxa"/>
            <w:tcBorders>
              <w:top w:val="single" w:sz="4" w:space="0" w:color="000000"/>
              <w:bottom w:val="single" w:sz="4" w:space="0" w:color="000000"/>
            </w:tcBorders>
          </w:tcPr>
          <w:p>
            <w:pPr>
              <w:pStyle w:val="TableBody"/>
              <w:rPr/>
            </w:pPr>
            <w:r>
              <w:rPr/>
              <w:t>9/17</w:t>
            </w:r>
          </w:p>
        </w:tc>
        <w:tc>
          <w:tcPr>
            <w:tcW w:w="4140" w:type="dxa"/>
            <w:tcBorders>
              <w:top w:val="single" w:sz="4" w:space="0" w:color="000000"/>
              <w:bottom w:val="single" w:sz="4" w:space="0" w:color="000000"/>
            </w:tcBorders>
          </w:tcPr>
          <w:p>
            <w:pPr>
              <w:pStyle w:val="TableBody"/>
              <w:rPr>
                <w:b/>
              </w:rPr>
            </w:pPr>
            <w:r>
              <w:rPr>
                <w:b/>
              </w:rPr>
              <w:t>NRG Analyst Meeting</w:t>
            </w:r>
          </w:p>
        </w:tc>
        <w:tc>
          <w:tcPr>
            <w:tcW w:w="1350" w:type="dxa"/>
            <w:tcBorders>
              <w:top w:val="single" w:sz="4" w:space="0" w:color="000000"/>
              <w:bottom w:val="single" w:sz="4" w:space="0" w:color="000000"/>
            </w:tcBorders>
          </w:tcPr>
          <w:p>
            <w:pPr>
              <w:pStyle w:val="TableBody"/>
              <w:jc w:val="center"/>
              <w:rPr/>
            </w:pPr>
            <w:r>
              <w:rPr/>
              <w:t>All Day</w:t>
            </w:r>
          </w:p>
        </w:tc>
        <w:tc>
          <w:tcPr>
            <w:tcW w:w="1530" w:type="dxa"/>
            <w:tcBorders>
              <w:top w:val="single" w:sz="4" w:space="0" w:color="000000"/>
              <w:bottom w:val="single" w:sz="4" w:space="0" w:color="000000"/>
            </w:tcBorders>
          </w:tcPr>
          <w:p>
            <w:pPr>
              <w:pStyle w:val="TableBody"/>
              <w:jc w:val="center"/>
              <w:rPr/>
            </w:pPr>
            <w:r>
              <w:rPr/>
              <w:t>Minneapolis, MN</w:t>
            </w:r>
          </w:p>
        </w:tc>
      </w:tr>
      <w:tr>
        <w:trPr>
          <w:trHeight w:val="247" w:hRule="atLeast"/>
        </w:trPr>
        <w:tc>
          <w:tcPr>
            <w:tcW w:w="900" w:type="dxa"/>
            <w:tcBorders>
              <w:top w:val="single" w:sz="4" w:space="0" w:color="000000"/>
              <w:bottom w:val="single" w:sz="4" w:space="0" w:color="000000"/>
            </w:tcBorders>
          </w:tcPr>
          <w:p>
            <w:pPr>
              <w:pStyle w:val="TableBody"/>
              <w:rPr/>
            </w:pPr>
            <w:r>
              <w:rPr/>
              <w:t>9/26-9/28</w:t>
            </w:r>
          </w:p>
        </w:tc>
        <w:tc>
          <w:tcPr>
            <w:tcW w:w="4140" w:type="dxa"/>
            <w:tcBorders>
              <w:top w:val="single" w:sz="4" w:space="0" w:color="000000"/>
              <w:bottom w:val="single" w:sz="4" w:space="0" w:color="000000"/>
            </w:tcBorders>
          </w:tcPr>
          <w:p>
            <w:pPr>
              <w:pStyle w:val="TableBody"/>
              <w:rPr>
                <w:b/>
              </w:rPr>
            </w:pPr>
            <w:r>
              <w:rPr>
                <w:b/>
              </w:rPr>
              <w:t>International Power Analyst Meeting</w:t>
            </w:r>
          </w:p>
        </w:tc>
        <w:tc>
          <w:tcPr>
            <w:tcW w:w="1350" w:type="dxa"/>
            <w:tcBorders>
              <w:top w:val="single" w:sz="4" w:space="0" w:color="000000"/>
              <w:bottom w:val="single" w:sz="4" w:space="0" w:color="000000"/>
            </w:tcBorders>
          </w:tcPr>
          <w:p>
            <w:pPr>
              <w:pStyle w:val="TableBody"/>
              <w:jc w:val="center"/>
              <w:rPr/>
            </w:pPr>
            <w:r>
              <w:rPr/>
              <w:t>All Day</w:t>
            </w:r>
          </w:p>
        </w:tc>
        <w:tc>
          <w:tcPr>
            <w:tcW w:w="1530" w:type="dxa"/>
            <w:tcBorders>
              <w:top w:val="single" w:sz="4" w:space="0" w:color="000000"/>
              <w:bottom w:val="single" w:sz="4" w:space="0" w:color="000000"/>
            </w:tcBorders>
          </w:tcPr>
          <w:p>
            <w:pPr>
              <w:pStyle w:val="TableBody"/>
              <w:jc w:val="center"/>
              <w:rPr/>
            </w:pPr>
            <w:r>
              <w:rPr/>
              <w:t>Newport, RI</w:t>
            </w:r>
          </w:p>
        </w:tc>
      </w:tr>
    </w:tbl>
    <w:p>
      <w:pPr>
        <w:pStyle w:val="Head2"/>
        <w:rPr>
          <w:b w:val="false"/>
          <w:bCs/>
        </w:rPr>
      </w:pPr>
      <w:r>
        <w:rPr>
          <w:b w:val="false"/>
          <w:bCs/>
        </w:rPr>
      </w:r>
    </w:p>
    <w:p>
      <w:pPr>
        <w:pStyle w:val="Text"/>
        <w:rPr>
          <w:b/>
          <w:bCs/>
        </w:rPr>
      </w:pPr>
      <w:r>
        <w:rPr>
          <w:b/>
          <w:bCs/>
        </w:rPr>
      </w:r>
    </w:p>
    <w:p>
      <w:pPr>
        <w:pStyle w:val="Head2"/>
        <w:rPr/>
      </w:pPr>
      <w:r>
        <w:rPr/>
        <w:t>Debt Market Update</w:t>
      </w:r>
    </w:p>
    <w:p>
      <w:pPr>
        <w:pStyle w:val="Text"/>
        <w:rPr>
          <w:i/>
          <w:i/>
        </w:rPr>
      </w:pPr>
      <w:r>
        <w:rPr>
          <w:i/>
        </w:rPr>
        <w:t xml:space="preserve">For this section we asked Andy Brooks, our fixed income analyst, to provide an IPP debt market update.  We have found Andy to be an excellent resource and we encourage you to call him with any questions (212/325-3014).  </w:t>
      </w:r>
    </w:p>
    <w:p>
      <w:pPr>
        <w:pStyle w:val="Text"/>
        <w:rPr>
          <w:i/>
          <w:i/>
        </w:rPr>
      </w:pPr>
      <w:r>
        <w:rPr>
          <w:i/>
        </w:rPr>
        <w:t>From an equity perspective, we believe it is useful to monitor the trading activity of these companies’ fixed income securities.  On the whole, the long-term sustainability of these growth stories depends on an IPP’s ability to identify new investment opportunities as well as its ability to attract funding (both debt and equity) on reasonable terms.</w:t>
      </w:r>
    </w:p>
    <w:p>
      <w:pPr>
        <w:pStyle w:val="Normal"/>
        <w:rPr/>
      </w:pPr>
      <w:r>
        <w:rPr>
          <w:b/>
        </w:rPr>
        <w:t>From the Desk of Andy Brooks</w:t>
      </w:r>
      <w:r>
        <w:rPr/>
        <w:t xml:space="preserve">   Spreads continued to widen for the major players in the IPP sector as “over-supply” worries continue to overhang the sector.  </w:t>
      </w:r>
    </w:p>
    <w:p>
      <w:pPr>
        <w:pStyle w:val="Normal"/>
        <w:numPr>
          <w:ilvl w:val="0"/>
          <w:numId w:val="3"/>
        </w:numPr>
        <w:tabs>
          <w:tab w:val="clear" w:pos="720"/>
        </w:tabs>
        <w:ind w:hanging="270" w:start="270" w:end="0"/>
        <w:rPr/>
      </w:pPr>
      <w:r>
        <w:rPr/>
        <w:t xml:space="preserve">The </w:t>
      </w:r>
      <w:r>
        <w:rPr>
          <w:b/>
          <w:bCs/>
        </w:rPr>
        <w:t>Calpine</w:t>
      </w:r>
      <w:r>
        <w:rPr/>
        <w:t xml:space="preserve"> 8.50% 10-year closed the week at +343 bps, 13 bps wider than last week’s close.</w:t>
      </w:r>
    </w:p>
    <w:p>
      <w:pPr>
        <w:pStyle w:val="Normal"/>
        <w:numPr>
          <w:ilvl w:val="0"/>
          <w:numId w:val="3"/>
        </w:numPr>
        <w:tabs>
          <w:tab w:val="clear" w:pos="720"/>
        </w:tabs>
        <w:ind w:hanging="270" w:start="270" w:end="0"/>
        <w:rPr/>
      </w:pPr>
      <w:r>
        <w:rPr>
          <w:b/>
          <w:bCs/>
        </w:rPr>
        <w:t>Mirant</w:t>
      </w:r>
      <w:r>
        <w:rPr/>
        <w:t xml:space="preserve"> 7.90% due 2009 closed the week at +275 bps, 25 bps wider from last week’s close of +250 bps.</w:t>
      </w:r>
    </w:p>
    <w:p>
      <w:pPr>
        <w:pStyle w:val="Normal"/>
        <w:numPr>
          <w:ilvl w:val="0"/>
          <w:numId w:val="3"/>
        </w:numPr>
        <w:tabs>
          <w:tab w:val="clear" w:pos="720"/>
        </w:tabs>
        <w:ind w:hanging="270" w:start="270" w:end="0"/>
        <w:rPr/>
      </w:pPr>
      <w:r>
        <w:rPr>
          <w:b/>
          <w:bCs/>
        </w:rPr>
        <w:t>NRG</w:t>
      </w:r>
      <w:r>
        <w:rPr/>
        <w:t xml:space="preserve"> 7.75% due 2011 widened 20 bps to close the week at +240 bps.</w:t>
      </w:r>
    </w:p>
    <w:p>
      <w:pPr>
        <w:pStyle w:val="Normal"/>
        <w:rPr/>
      </w:pPr>
      <w:r>
        <w:rPr/>
      </w:r>
    </w:p>
    <w:p>
      <w:pPr>
        <w:pStyle w:val="Normal"/>
        <w:rPr/>
      </w:pPr>
      <w:r>
        <w:rPr/>
      </w:r>
    </w:p>
    <w:p>
      <w:pPr>
        <w:pStyle w:val="Normal"/>
        <w:jc w:val="start"/>
        <w:rPr/>
      </w:pPr>
      <w:r>
        <w:rPr/>
      </w:r>
    </w:p>
    <w:p>
      <w:pPr>
        <w:pStyle w:val="Head1"/>
        <w:rPr>
          <w:b w:val="false"/>
          <w:color w:val="000000"/>
          <w:sz w:val="22"/>
        </w:rPr>
      </w:pPr>
      <w:r>
        <w:rPr/>
        <w:t xml:space="preserve">Recent Headlines </w:t>
      </w:r>
    </w:p>
    <w:p>
      <w:pPr>
        <w:pStyle w:val="Text"/>
        <w:keepNext w:val="true"/>
        <w:numPr>
          <w:ilvl w:val="0"/>
          <w:numId w:val="9"/>
        </w:numPr>
        <w:tabs>
          <w:tab w:val="clear" w:pos="720"/>
        </w:tabs>
        <w:spacing w:before="120" w:after="120"/>
        <w:ind w:hanging="360" w:start="360" w:end="0"/>
        <w:rPr>
          <w:b/>
          <w:color w:val="000000"/>
          <w:sz w:val="22"/>
        </w:rPr>
      </w:pPr>
      <w:r>
        <w:rPr>
          <w:b/>
          <w:color w:val="000000"/>
          <w:sz w:val="22"/>
        </w:rPr>
        <w:t>Entergy to Acquire 540 MW Vermont Yankee Nuclear Plant</w:t>
      </w:r>
    </w:p>
    <w:p>
      <w:pPr>
        <w:pStyle w:val="Text"/>
        <w:keepNext w:val="true"/>
        <w:spacing w:before="120" w:after="120"/>
        <w:rPr>
          <w:b/>
          <w:color w:val="000000"/>
          <w:sz w:val="22"/>
        </w:rPr>
      </w:pPr>
      <w:r>
        <w:rPr>
          <w:b/>
        </w:rPr>
        <w:t>Overview:</w:t>
      </w:r>
      <w:r>
        <w:rPr>
          <w:bCs/>
        </w:rPr>
        <w:t xml:space="preserve">  On August 15, Entergy announced that it agreed to acquire the 540 MW Vermont Yankee nuclear plant from the 12 current owners of the plant.  The total purchase price is $180 million.  In addition, ETR will assume the liability for plant decommissioning costs.  The transaction, which is expect to close during the Spring of 2002, is subject to approval by the Nuclear Regulatory Commission (NRC) and the Vermont Public Service Board (VPSB).</w:t>
      </w:r>
    </w:p>
    <w:p>
      <w:pPr>
        <w:pStyle w:val="Text"/>
        <w:keepNext w:val="true"/>
        <w:numPr>
          <w:ilvl w:val="0"/>
          <w:numId w:val="9"/>
        </w:numPr>
        <w:tabs>
          <w:tab w:val="clear" w:pos="720"/>
        </w:tabs>
        <w:spacing w:before="120" w:after="120"/>
        <w:ind w:hanging="360" w:start="360" w:end="0"/>
        <w:rPr>
          <w:b/>
          <w:color w:val="000000"/>
          <w:sz w:val="22"/>
        </w:rPr>
      </w:pPr>
      <w:r>
        <w:rPr>
          <w:b/>
          <w:color w:val="000000"/>
          <w:sz w:val="22"/>
        </w:rPr>
        <w:t>ILA to Market Power for 2 Plants Owned by TECO and Panda</w:t>
      </w:r>
    </w:p>
    <w:p>
      <w:pPr>
        <w:pStyle w:val="Normal"/>
        <w:autoSpaceDE w:val="false"/>
        <w:jc w:val="start"/>
        <w:rPr/>
      </w:pPr>
      <w:r>
        <w:rPr>
          <w:b/>
        </w:rPr>
        <w:t>Overview:</w:t>
      </w:r>
      <w:r>
        <w:rPr>
          <w:bCs/>
        </w:rPr>
        <w:t xml:space="preserve">  On August 14, </w:t>
      </w:r>
      <w:r>
        <w:rPr>
          <w:rFonts w:cs="Arial"/>
        </w:rPr>
        <w:t xml:space="preserve">Aquila announced that it reached an agreement to provide marketing for 4,400 MW from two plants being constructed as a JV between PANDA Energy and TECO Power (TPS).  The agreement covers power produced at Union Power Station in Arkansas and Gila River Power Station Arizona.  Earlier in August TPS and Panda completed a five-year, $2.2 billion financing to cover the construction of the two power projects. Construction has already begun on the Union Power Station, which is expected to be in operation in the summer of 2002.  Construction of the Gila River project is expected to begin in August and is scheduled to be in full commercial operation by mid-2003. </w:t>
      </w:r>
    </w:p>
    <w:p>
      <w:pPr>
        <w:pStyle w:val="Text"/>
        <w:keepNext w:val="true"/>
        <w:numPr>
          <w:ilvl w:val="0"/>
          <w:numId w:val="9"/>
        </w:numPr>
        <w:tabs>
          <w:tab w:val="clear" w:pos="720"/>
        </w:tabs>
        <w:ind w:hanging="360" w:start="360" w:end="0"/>
        <w:rPr>
          <w:b/>
          <w:bCs/>
          <w:color w:val="000000"/>
          <w:sz w:val="22"/>
        </w:rPr>
      </w:pPr>
      <w:r>
        <w:rPr>
          <w:b/>
          <w:bCs/>
          <w:sz w:val="22"/>
        </w:rPr>
        <w:t>IPR/CMS Sign Power And Water Purchase Agreement in Abu Dhabi</w:t>
      </w:r>
    </w:p>
    <w:p>
      <w:pPr>
        <w:pStyle w:val="Normal"/>
        <w:autoSpaceDE w:val="false"/>
        <w:spacing w:before="0" w:after="0"/>
        <w:jc w:val="start"/>
        <w:rPr/>
      </w:pPr>
      <w:r>
        <w:rPr>
          <w:b/>
        </w:rPr>
        <w:t>Overview:</w:t>
      </w:r>
      <w:r>
        <w:rPr/>
        <w:t xml:space="preserve">  International Power and CMS Energy announced on August 15 that the companies signed a 20-year power and water purchase agreement with the Abu Dhabi Water and Electricity Authority for the $1.6 billion Shuweihat S-1 power and desalination project.  IPR and CMS will own 40% of the project on a 50/50 basis. The total investment for each company will be around US$ 80 million.  The project, Abu Dhabi’s largest independent water </w:t>
      </w:r>
      <w:r>
        <w:rPr>
          <w:rFonts w:cs="Arial"/>
        </w:rPr>
        <w:t xml:space="preserve">and power plant, includes a gas-fired 1,500 MW power plant and a large water desalination facility with a capacity of 100 million imperial gallons per day. </w:t>
      </w:r>
    </w:p>
    <w:p>
      <w:pPr>
        <w:pStyle w:val="Normal"/>
        <w:autoSpaceDE w:val="false"/>
        <w:spacing w:before="0" w:after="0"/>
        <w:jc w:val="start"/>
        <w:rPr>
          <w:rFonts w:cs="Arial"/>
        </w:rPr>
      </w:pPr>
      <w:r>
        <w:rPr>
          <w:rFonts w:cs="Arial"/>
        </w:rPr>
      </w:r>
    </w:p>
    <w:p>
      <w:pPr>
        <w:pStyle w:val="Text"/>
        <w:keepNext w:val="true"/>
        <w:numPr>
          <w:ilvl w:val="0"/>
          <w:numId w:val="9"/>
        </w:numPr>
        <w:tabs>
          <w:tab w:val="clear" w:pos="720"/>
        </w:tabs>
        <w:ind w:hanging="360" w:start="360" w:end="0"/>
        <w:rPr>
          <w:b/>
          <w:bCs/>
          <w:color w:val="000000"/>
          <w:sz w:val="22"/>
        </w:rPr>
      </w:pPr>
      <w:r>
        <w:rPr>
          <w:b/>
          <w:bCs/>
          <w:color w:val="000000"/>
          <w:sz w:val="22"/>
        </w:rPr>
        <w:t>NRG Closes on 2,255 MW Acquisition</w:t>
      </w:r>
    </w:p>
    <w:p>
      <w:pPr>
        <w:pStyle w:val="Normal"/>
        <w:autoSpaceDE w:val="false"/>
        <w:spacing w:before="0" w:after="0"/>
        <w:jc w:val="start"/>
        <w:rPr/>
      </w:pPr>
      <w:r>
        <w:rPr>
          <w:b/>
        </w:rPr>
        <w:t>Overview:</w:t>
      </w:r>
      <w:r>
        <w:rPr/>
        <w:t xml:space="preserve">  On August 15, NRG Energy announced that it closed its acquisition of a 2,255 MW project portfolio from Indeck Energy. The portfolio primarily serves the Chicago energy market with one project in New York.  NRG acquired five projects in operation, construction and advanced development. The portfolio includes Rockford I (342 MW)) and II (171 MW) Energy Centers, Bourbonnais I (1,121 MW)  and II (561 MW) Energy Centers, and the Ilion Energy Center (60 MW), located in upstate New York. </w:t>
      </w:r>
    </w:p>
    <w:p>
      <w:pPr>
        <w:pStyle w:val="Normal"/>
        <w:autoSpaceDE w:val="false"/>
        <w:spacing w:before="0" w:after="0"/>
        <w:jc w:val="start"/>
        <w:rPr/>
      </w:pPr>
      <w:r>
        <w:rPr/>
      </w:r>
    </w:p>
    <w:p>
      <w:pPr>
        <w:pStyle w:val="Normal"/>
        <w:autoSpaceDE w:val="false"/>
        <w:spacing w:before="0" w:after="0"/>
        <w:jc w:val="start"/>
        <w:rPr/>
      </w:pPr>
      <w:r>
        <w:rPr/>
      </w:r>
    </w:p>
    <w:p>
      <w:pPr>
        <w:pStyle w:val="NB"/>
        <w:pBdr>
          <w:top w:val="single" w:sz="4" w:space="1" w:color="000000"/>
        </w:pBdr>
        <w:spacing w:before="0" w:after="60"/>
        <w:rPr/>
      </w:pPr>
      <w:r>
        <w:rPr>
          <w:b/>
        </w:rPr>
        <w:t>N.B.:</w:t>
      </w:r>
      <w:r>
        <w:rPr/>
        <w:t xml:space="preserve"> CREDIT SUISSE FIRST BOSTON CORPORATION may have, within the last three years, served as a manager or co-manager of a public offering of securities for or makes a primary market in issues of any or all of the companies mentioned.</w:t>
      </w:r>
    </w:p>
    <w:p>
      <w:pPr>
        <w:pStyle w:val="NB"/>
        <w:pBdr>
          <w:top w:val="nil"/>
        </w:pBdr>
        <w:spacing w:before="0" w:after="60"/>
        <w:rPr/>
      </w:pPr>
      <w:r>
        <w:rPr/>
        <w:t>Companies mentioned: AES Corporation (AES, $34.07,Strong Buy,), Calpine (CPN, $29.28,Strong Buy), International Power (IPR), NRG Energy (NRG, $17.46, Buy), Orion Power (ORN, $21.36,Buy), Mirant Corporation (MIR, $28.00,Buy), Reliant Resources (RRI, $19.16, Buy), TECO (TE, $29.10, Buy), Entergy (ETR, $38.95, Buy)</w:t>
      </w:r>
    </w:p>
    <w:p>
      <w:pPr>
        <w:sectPr>
          <w:headerReference w:type="default" r:id="rId11"/>
          <w:footerReference w:type="default" r:id="rId12"/>
          <w:type w:val="nextPage"/>
          <w:pgSz w:w="12240" w:h="15840"/>
          <w:pgMar w:left="3150" w:right="1195" w:gutter="0" w:header="547" w:top="1440" w:footer="360" w:bottom="1080"/>
          <w:pgNumType w:fmt="decimal"/>
          <w:formProt w:val="false"/>
          <w:textDirection w:val="lrTb"/>
          <w:docGrid w:type="default" w:linePitch="360" w:charSpace="0"/>
        </w:sectPr>
        <w:pStyle w:val="NB"/>
        <w:pBdr>
          <w:top w:val="nil"/>
        </w:pBdr>
        <w:spacing w:before="0" w:after="60"/>
        <w:rPr/>
      </w:pPr>
      <w:r>
        <w:rPr/>
      </w:r>
    </w:p>
    <w:p>
      <w:pPr>
        <w:pStyle w:val="CameraReadyTableTitle"/>
        <w:pBdr>
          <w:bottom w:val="single" w:sz="4" w:space="1" w:color="000000"/>
        </w:pBdr>
        <w:rPr>
          <w:i/>
          <w:i/>
        </w:rPr>
      </w:pPr>
      <w:r>
        <w:drawing>
          <wp:anchor behindDoc="0" distT="0" distB="0" distL="114935" distR="114935" simplePos="0" locked="0" layoutInCell="0" allowOverlap="1" relativeHeight="15">
            <wp:simplePos x="0" y="0"/>
            <wp:positionH relativeFrom="column">
              <wp:posOffset>342900</wp:posOffset>
            </wp:positionH>
            <wp:positionV relativeFrom="paragraph">
              <wp:posOffset>165100</wp:posOffset>
            </wp:positionV>
            <wp:extent cx="7480935" cy="5576570"/>
            <wp:effectExtent l="0" t="0" r="0" b="0"/>
            <wp:wrapTopAndBottom/>
            <wp:docPr id="9"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 descr="" title=""/>
                    <pic:cNvPicPr>
                      <a:picLocks noChangeAspect="1" noChangeArrowheads="1"/>
                    </pic:cNvPicPr>
                  </pic:nvPicPr>
                  <pic:blipFill>
                    <a:blip r:embed="rId13"/>
                    <a:srcRect l="-3" t="-4" r="-3" b="-4"/>
                    <a:stretch>
                      <a:fillRect/>
                    </a:stretch>
                  </pic:blipFill>
                  <pic:spPr bwMode="auto">
                    <a:xfrm>
                      <a:off x="0" y="0"/>
                      <a:ext cx="7480935" cy="5576570"/>
                    </a:xfrm>
                    <a:prstGeom prst="rect">
                      <a:avLst/>
                    </a:prstGeom>
                    <a:noFill/>
                  </pic:spPr>
                </pic:pic>
              </a:graphicData>
            </a:graphic>
          </wp:anchor>
        </w:drawing>
      </w:r>
      <w:r>
        <w:rPr>
          <w:i/>
        </w:rPr>
        <w:t xml:space="preserve">Exhibit 7: </w:t>
      </w:r>
      <w:r>
        <w:rPr/>
        <w:t>Independent Power Producer Valuation</w:t>
      </w:r>
    </w:p>
    <w:p>
      <w:pPr>
        <w:sectPr>
          <w:headerReference w:type="default" r:id="rId14"/>
          <w:headerReference w:type="first" r:id="rId15"/>
          <w:footerReference w:type="default" r:id="rId16"/>
          <w:footerReference w:type="first" r:id="rId17"/>
          <w:type w:val="nextPage"/>
          <w:pgSz w:orient="landscape" w:w="15840" w:h="12240"/>
          <w:pgMar w:left="1080" w:right="1627" w:gutter="0" w:header="547" w:top="1710" w:footer="360" w:bottom="1195"/>
          <w:pgNumType w:fmt="decimal"/>
          <w:formProt w:val="false"/>
          <w:textDirection w:val="lrTb"/>
          <w:docGrid w:type="default" w:linePitch="360" w:charSpace="0"/>
        </w:sectPr>
        <w:pStyle w:val="CameraReadyTableTitle"/>
        <w:rPr>
          <w:i/>
          <w:i/>
        </w:rPr>
      </w:pPr>
      <w:r>
        <w:rPr>
          <w:i/>
        </w:rPr>
      </w:r>
    </w:p>
    <w:p>
      <w:pPr>
        <w:pStyle w:val="CameraReadyTableTitle"/>
        <w:pBdr>
          <w:bottom w:val="single" w:sz="4" w:space="1" w:color="000000"/>
        </w:pBdr>
        <w:rPr>
          <w:i/>
          <w:i/>
        </w:rPr>
      </w:pPr>
      <w:r>
        <w:drawing>
          <wp:anchor behindDoc="0" distT="0" distB="0" distL="114935" distR="114935" simplePos="0" locked="0" layoutInCell="0" allowOverlap="1" relativeHeight="14">
            <wp:simplePos x="0" y="0"/>
            <wp:positionH relativeFrom="column">
              <wp:posOffset>106045</wp:posOffset>
            </wp:positionH>
            <wp:positionV relativeFrom="paragraph">
              <wp:posOffset>340995</wp:posOffset>
            </wp:positionV>
            <wp:extent cx="5484495" cy="3924300"/>
            <wp:effectExtent l="0" t="0" r="0" b="0"/>
            <wp:wrapTopAndBottom/>
            <wp:docPr id="10"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 descr="" title=""/>
                    <pic:cNvPicPr>
                      <a:picLocks noChangeAspect="1" noChangeArrowheads="1"/>
                    </pic:cNvPicPr>
                  </pic:nvPicPr>
                  <pic:blipFill>
                    <a:blip r:embed="rId18"/>
                    <a:srcRect l="-3" t="-4" r="-3" b="-4"/>
                    <a:stretch>
                      <a:fillRect/>
                    </a:stretch>
                  </pic:blipFill>
                  <pic:spPr bwMode="auto">
                    <a:xfrm>
                      <a:off x="0" y="0"/>
                      <a:ext cx="5484495" cy="3924300"/>
                    </a:xfrm>
                    <a:prstGeom prst="rect">
                      <a:avLst/>
                    </a:prstGeom>
                    <a:noFill/>
                  </pic:spPr>
                </pic:pic>
              </a:graphicData>
            </a:graphic>
          </wp:anchor>
        </w:drawing>
      </w:r>
      <w:r>
        <w:rPr>
          <w:i/>
        </w:rPr>
        <w:t>Exhibit 8:  Trailing 12 Months Historical 2001 P/E Analysis</w:t>
      </w:r>
    </w:p>
    <w:p>
      <w:pPr>
        <w:pStyle w:val="CameraReadyTableTitle"/>
        <w:pBdr>
          <w:bottom w:val="nil"/>
        </w:pBdr>
        <w:jc w:val="center"/>
        <w:rPr>
          <w:b w:val="false"/>
          <w:i/>
          <w:i/>
        </w:rPr>
      </w:pPr>
      <w:r>
        <w:rPr>
          <w:b w:val="false"/>
          <w:i/>
        </w:rPr>
      </w:r>
    </w:p>
    <w:p>
      <w:pPr>
        <w:pStyle w:val="CameraReadyTableTitle"/>
        <w:pBdr>
          <w:bottom w:val="single" w:sz="4" w:space="1" w:color="000000"/>
        </w:pBdr>
        <w:rPr>
          <w:rFonts w:ascii="Arial Narrow" w:hAnsi="Arial Narrow" w:cs="Arial Narrow"/>
          <w:b w:val="false"/>
          <w:i/>
          <w:i/>
          <w:sz w:val="16"/>
        </w:rPr>
      </w:pPr>
      <w:r>
        <w:rPr>
          <w:rFonts w:cs="Arial Narrow" w:ascii="Arial Narrow" w:hAnsi="Arial Narrow"/>
          <w:b w:val="false"/>
          <w:i/>
          <w:sz w:val="16"/>
        </w:rPr>
      </w:r>
    </w:p>
    <w:p>
      <w:pPr>
        <w:sectPr>
          <w:headerReference w:type="default" r:id="rId19"/>
          <w:headerReference w:type="first" r:id="rId20"/>
          <w:footerReference w:type="default" r:id="rId21"/>
          <w:footerReference w:type="first" r:id="rId22"/>
          <w:type w:val="nextPage"/>
          <w:pgSz w:w="12240" w:h="15840"/>
          <w:pgMar w:left="1714" w:right="1195" w:gutter="0" w:header="547" w:top="1627" w:footer="360" w:bottom="1080"/>
          <w:pgNumType w:fmt="decimal"/>
          <w:formProt w:val="false"/>
          <w:textDirection w:val="lrTb"/>
          <w:docGrid w:type="default" w:linePitch="360" w:charSpace="0"/>
        </w:sectPr>
        <w:pStyle w:val="CameraReadyTableTitle"/>
        <w:pBdr>
          <w:bottom w:val="single" w:sz="4" w:space="1" w:color="000000"/>
        </w:pBdr>
        <w:rPr>
          <w:rFonts w:ascii="Arial Narrow" w:hAnsi="Arial Narrow" w:cs="Arial Narrow"/>
          <w:b w:val="false"/>
          <w:sz w:val="16"/>
        </w:rPr>
      </w:pPr>
      <w:r>
        <w:rPr>
          <w:rFonts w:cs="Arial Narrow" w:ascii="Arial Narrow" w:hAnsi="Arial Narrow"/>
          <w:b w:val="false"/>
          <w:sz w:val="16"/>
        </w:rPr>
        <w:t>Source: CSFB</w:t>
      </w:r>
    </w:p>
    <w:p>
      <w:pPr>
        <w:pStyle w:val="Head1"/>
        <w:spacing w:before="0" w:after="60"/>
        <w:rPr/>
      </w:pPr>
      <w:r>
        <w:rPr/>
        <w:t>Power Pricing Trends</w:t>
      </w:r>
    </w:p>
    <w:p>
      <w:pPr>
        <w:pStyle w:val="CameraReadyTableTitle"/>
        <w:pBdr>
          <w:top w:val="single" w:sz="6" w:space="1" w:color="000000"/>
          <w:left w:val="single" w:sz="6" w:space="1" w:color="000000"/>
          <w:bottom w:val="single" w:sz="6" w:space="1" w:color="000000"/>
          <w:right w:val="single" w:sz="6" w:space="0" w:color="000000"/>
        </w:pBdr>
        <w:spacing w:before="0" w:after="80"/>
        <w:rPr/>
      </w:pPr>
      <w:r>
        <w:rPr>
          <w:b w:val="false"/>
          <w:i/>
        </w:rPr>
        <w:t>In this section we include power market commentary for selected US regions, adopted primarily from Platts Daily Price Report, published by the McGraw-Hill Companies.  The prices quoted are for previous day trades to be delivered on that day.</w:t>
      </w:r>
    </w:p>
    <w:p>
      <w:pPr>
        <w:pStyle w:val="CameraReadyTableTitle"/>
        <w:pBdr>
          <w:top w:val="single" w:sz="6" w:space="1" w:color="000000"/>
          <w:left w:val="single" w:sz="6" w:space="1" w:color="000000"/>
          <w:bottom w:val="single" w:sz="6" w:space="1" w:color="000000"/>
          <w:right w:val="single" w:sz="6" w:space="0" w:color="000000"/>
        </w:pBdr>
        <w:rPr/>
      </w:pPr>
      <w:r>
        <w:rPr>
          <w:i/>
        </w:rPr>
        <w:t>Overview:</w:t>
      </w:r>
      <w:r>
        <w:rPr>
          <w:b w:val="false"/>
          <w:i/>
        </w:rPr>
        <w:t xml:space="preserve">  Last week weather across United States reverted back to the mild temperatures experienced for most of this summer.  Power prices followed a similar pattern, as evidenced by the 50% decline in the Mirant National Power Index.  We continue to believe that mild temperatures are masking the true supply/demand balance of most US power markets.  </w:t>
      </w:r>
    </w:p>
    <w:p>
      <w:pPr>
        <w:pStyle w:val="Text"/>
        <w:pBdr>
          <w:bottom w:val="single" w:sz="4" w:space="1" w:color="000000"/>
        </w:pBdr>
        <w:tabs>
          <w:tab w:val="clear" w:pos="720"/>
          <w:tab w:val="left" w:pos="2790" w:leader="none"/>
        </w:tabs>
        <w:spacing w:before="80" w:after="0"/>
        <w:rPr/>
      </w:pPr>
      <w:r>
        <w:rPr>
          <w:i/>
        </w:rPr>
        <w:t>Factor Grid</w:t>
      </w:r>
      <w:r>
        <w:rPr/>
        <w:t xml:space="preserve"> below, we attempt to illustrate the effects of certain key drivers on power prices in selected regions of the United States.  On the Y-axis, we list 8 power price drivers.  On the X-axis, we list 8 discrete power markets.  The arrows indicate the general effect of the driver on prices.  </w:t>
      </w:r>
    </w:p>
    <w:p>
      <w:pPr>
        <w:pStyle w:val="Text"/>
        <w:tabs>
          <w:tab w:val="clear" w:pos="720"/>
          <w:tab w:val="left" w:pos="2790" w:leader="none"/>
        </w:tabs>
        <w:spacing w:before="60" w:after="60"/>
        <w:rPr>
          <w:b/>
          <w:bCs/>
          <w:sz w:val="16"/>
        </w:rPr>
      </w:pPr>
      <w:r>
        <w:rPr>
          <w:b/>
          <w:bCs/>
          <w:sz w:val="16"/>
        </w:rPr>
        <w:drawing>
          <wp:anchor behindDoc="0" distT="0" distB="0" distL="114935" distR="114935" simplePos="0" locked="0" layoutInCell="0" allowOverlap="1" relativeHeight="13">
            <wp:simplePos x="0" y="0"/>
            <wp:positionH relativeFrom="column">
              <wp:posOffset>0</wp:posOffset>
            </wp:positionH>
            <wp:positionV relativeFrom="paragraph">
              <wp:posOffset>635</wp:posOffset>
            </wp:positionV>
            <wp:extent cx="5480050" cy="3057525"/>
            <wp:effectExtent l="0" t="0" r="0" b="0"/>
            <wp:wrapTopAndBottom/>
            <wp:docPr id="11"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7" descr="" title=""/>
                    <pic:cNvPicPr>
                      <a:picLocks noChangeAspect="1" noChangeArrowheads="1"/>
                    </pic:cNvPicPr>
                  </pic:nvPicPr>
                  <pic:blipFill>
                    <a:blip r:embed="rId23"/>
                    <a:srcRect l="-5" t="-9" r="-5" b="-9"/>
                    <a:stretch>
                      <a:fillRect/>
                    </a:stretch>
                  </pic:blipFill>
                  <pic:spPr bwMode="auto">
                    <a:xfrm>
                      <a:off x="0" y="0"/>
                      <a:ext cx="5480050" cy="3057525"/>
                    </a:xfrm>
                    <a:prstGeom prst="rect">
                      <a:avLst/>
                    </a:prstGeom>
                    <a:noFill/>
                  </pic:spPr>
                </pic:pic>
              </a:graphicData>
            </a:graphic>
          </wp:anchor>
        </w:drawing>
      </w:r>
    </w:p>
    <w:p>
      <w:pPr>
        <w:pStyle w:val="Text"/>
        <w:numPr>
          <w:ilvl w:val="0"/>
          <w:numId w:val="8"/>
        </w:numPr>
        <w:pBdr>
          <w:top w:val="single" w:sz="4" w:space="1" w:color="000000"/>
        </w:pBdr>
        <w:tabs>
          <w:tab w:val="clear" w:pos="720"/>
          <w:tab w:val="left" w:pos="2790" w:leader="none"/>
        </w:tabs>
        <w:spacing w:before="60" w:after="60"/>
        <w:rPr>
          <w:b/>
          <w:bCs/>
        </w:rPr>
      </w:pPr>
      <w:r>
        <w:rPr>
          <w:b/>
          <w:bCs/>
        </w:rPr>
        <w:t>New York</w:t>
      </w:r>
      <w:r>
        <w:rPr/>
        <w:t xml:space="preserve">, </w:t>
      </w:r>
      <w:r>
        <w:rPr>
          <w:b/>
          <w:bCs/>
        </w:rPr>
        <w:t>New England</w:t>
      </w:r>
      <w:r>
        <w:rPr/>
        <w:t xml:space="preserve">, and </w:t>
      </w:r>
      <w:r>
        <w:rPr>
          <w:b/>
          <w:bCs/>
        </w:rPr>
        <w:t>Mid-Atlantic</w:t>
      </w:r>
      <w:r>
        <w:rPr/>
        <w:t xml:space="preserve"> power prices were all off last week after record high demand two week’s ago.  In New England, on Wednesday, prices rallied, as a large nuclear unit was shutdown after it experienced problems during testing.  </w:t>
      </w:r>
    </w:p>
    <w:p>
      <w:pPr>
        <w:pStyle w:val="Text"/>
        <w:numPr>
          <w:ilvl w:val="0"/>
          <w:numId w:val="8"/>
        </w:numPr>
        <w:pBdr>
          <w:top w:val="single" w:sz="4" w:space="1" w:color="000000"/>
        </w:pBdr>
        <w:tabs>
          <w:tab w:val="clear" w:pos="720"/>
          <w:tab w:val="left" w:pos="2790" w:leader="none"/>
        </w:tabs>
        <w:spacing w:before="60" w:after="60"/>
        <w:rPr/>
      </w:pPr>
      <w:r>
        <w:rPr/>
        <w:t xml:space="preserve">In </w:t>
      </w:r>
      <w:r>
        <w:rPr>
          <w:b/>
          <w:bCs/>
        </w:rPr>
        <w:t>California</w:t>
      </w:r>
      <w:r>
        <w:rPr/>
        <w:t xml:space="preserve"> and other </w:t>
      </w:r>
      <w:r>
        <w:rPr>
          <w:b/>
          <w:bCs/>
        </w:rPr>
        <w:t>Western</w:t>
      </w:r>
      <w:r>
        <w:rPr/>
        <w:t xml:space="preserve"> markets continues their lackluster performance.  Some regions showed strength, as there were some unplanned outages.  Overall, however, last week’s power pricing was weak.</w:t>
      </w:r>
    </w:p>
    <w:p>
      <w:pPr>
        <w:pStyle w:val="Text"/>
        <w:numPr>
          <w:ilvl w:val="0"/>
          <w:numId w:val="8"/>
        </w:numPr>
        <w:tabs>
          <w:tab w:val="clear" w:pos="720"/>
          <w:tab w:val="left" w:pos="2790" w:leader="none"/>
        </w:tabs>
        <w:spacing w:before="0" w:after="60"/>
        <w:rPr/>
      </w:pPr>
      <w:r>
        <w:rPr>
          <w:b/>
          <w:bCs/>
        </w:rPr>
        <w:t>Midwest</w:t>
      </w:r>
      <w:r>
        <w:rPr/>
        <w:t xml:space="preserve"> prices tumbled at the beginning of the week, however, stabilized as the week progressed.  Like most of the rest of the country, mild weather was the culprit.  </w:t>
      </w:r>
    </w:p>
    <w:p>
      <w:pPr>
        <w:pStyle w:val="Text"/>
        <w:numPr>
          <w:ilvl w:val="0"/>
          <w:numId w:val="8"/>
        </w:numPr>
        <w:tabs>
          <w:tab w:val="clear" w:pos="720"/>
          <w:tab w:val="left" w:pos="2790" w:leader="none"/>
        </w:tabs>
        <w:spacing w:before="0" w:after="60"/>
        <w:rPr/>
      </w:pPr>
      <w:r>
        <w:rPr/>
        <w:t xml:space="preserve">The </w:t>
      </w:r>
      <w:r>
        <w:rPr>
          <w:b/>
          <w:bCs/>
        </w:rPr>
        <w:t>Texas (ERCOT)</w:t>
      </w:r>
      <w:r>
        <w:rPr/>
        <w:t xml:space="preserve"> market showed some strength early in the week, but trailed off by week’s end.  The early-week price strength was attributed to a large buyer in the market.</w:t>
      </w:r>
    </w:p>
    <w:p>
      <w:pPr>
        <w:pStyle w:val="Text"/>
        <w:numPr>
          <w:ilvl w:val="0"/>
          <w:numId w:val="8"/>
        </w:numPr>
        <w:tabs>
          <w:tab w:val="clear" w:pos="720"/>
          <w:tab w:val="left" w:pos="2790" w:leader="none"/>
        </w:tabs>
        <w:spacing w:before="0" w:after="60"/>
        <w:rPr>
          <w:b/>
          <w:bCs/>
        </w:rPr>
      </w:pPr>
      <w:r>
        <w:rPr>
          <w:b/>
          <w:bCs/>
        </w:rPr>
        <w:t>Southeast</w:t>
      </w:r>
      <w:r>
        <w:rPr/>
        <w:t xml:space="preserve"> prices were down for most of the week owing to mild temperatures.</w:t>
      </w:r>
    </w:p>
    <w:p>
      <w:pPr>
        <w:pStyle w:val="CameraReadyTableTitle"/>
        <w:spacing w:before="60" w:after="0"/>
        <w:ind w:start="-900" w:end="0"/>
        <w:rPr>
          <w:i/>
          <w:i/>
        </w:rPr>
      </w:pPr>
      <w:r>
        <w:rPr>
          <w:i/>
        </w:rPr>
        <w:t>Exhibit 9: Day-by-Day Pricing in Select Markets</w:t>
      </w:r>
    </w:p>
    <w:p>
      <w:pPr>
        <w:pStyle w:val="CameraReadyTableSubtitle"/>
        <w:spacing w:before="0" w:after="60"/>
        <w:ind w:start="-900" w:end="0"/>
        <w:rPr/>
      </w:pPr>
      <w:r>
        <w:drawing>
          <wp:anchor behindDoc="0" distT="0" distB="0" distL="114935" distR="114935" simplePos="0" locked="0" layoutInCell="0" allowOverlap="1" relativeHeight="9">
            <wp:simplePos x="0" y="0"/>
            <wp:positionH relativeFrom="column">
              <wp:posOffset>-579755</wp:posOffset>
            </wp:positionH>
            <wp:positionV relativeFrom="paragraph">
              <wp:posOffset>177165</wp:posOffset>
            </wp:positionV>
            <wp:extent cx="6743700" cy="693420"/>
            <wp:effectExtent l="0" t="0" r="0" b="0"/>
            <wp:wrapTopAndBottom/>
            <wp:docPr id="12"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 descr="" title=""/>
                    <pic:cNvPicPr>
                      <a:picLocks noChangeAspect="1" noChangeArrowheads="1"/>
                    </pic:cNvPicPr>
                  </pic:nvPicPr>
                  <pic:blipFill>
                    <a:blip r:embed="rId24"/>
                    <a:srcRect l="-3" t="-32" r="-3" b="-32"/>
                    <a:stretch>
                      <a:fillRect/>
                    </a:stretch>
                  </pic:blipFill>
                  <pic:spPr bwMode="auto">
                    <a:xfrm>
                      <a:off x="0" y="0"/>
                      <a:ext cx="6743700" cy="693420"/>
                    </a:xfrm>
                    <a:prstGeom prst="rect">
                      <a:avLst/>
                    </a:prstGeom>
                    <a:noFill/>
                  </pic:spPr>
                </pic:pic>
              </a:graphicData>
            </a:graphic>
          </wp:anchor>
        </w:drawing>
      </w:r>
      <w:r>
        <w:rPr/>
        <w:t>$ per Mwh</w:t>
      </w:r>
    </w:p>
    <w:p>
      <w:pPr>
        <w:pStyle w:val="Text"/>
        <w:spacing w:before="0" w:after="80"/>
        <w:ind w:start="-900" w:end="0"/>
        <w:rPr/>
      </w:pPr>
      <w:r>
        <w:rPr>
          <w:sz w:val="16"/>
        </w:rPr>
        <w:t xml:space="preserve">1) </w:t>
      </w:r>
      <w:r>
        <w:rPr>
          <w:sz w:val="12"/>
        </w:rPr>
        <w:t>The daily index represents a volume weighted average for prescheduled, daily on-peak electricity.  Volumes are in MW</w:t>
      </w:r>
      <w:r>
        <w:rPr/>
        <w:t>.</w:t>
      </w:r>
    </w:p>
    <w:p>
      <w:pPr>
        <w:pStyle w:val="CameraReadyTableTitle"/>
        <w:pBdr>
          <w:bottom w:val="nil"/>
        </w:pBdr>
        <w:ind w:start="-900" w:end="0"/>
        <w:rPr>
          <w:b w:val="false"/>
          <w:sz w:val="12"/>
        </w:rPr>
      </w:pPr>
      <w:r>
        <w:rPr>
          <w:b w:val="false"/>
          <w:color w:val="000000"/>
          <w:sz w:val="12"/>
        </w:rPr>
        <w:t>2) NE (New England), CIN (Cinergy), SERC (SERC), NP15 (California North Path 15), NYW (New York West), ERCOT (ERCOT), PJM (PJM)</w:t>
      </w:r>
    </w:p>
    <w:p>
      <w:pPr>
        <w:sectPr>
          <w:headerReference w:type="default" r:id="rId25"/>
          <w:headerReference w:type="first" r:id="rId26"/>
          <w:footerReference w:type="default" r:id="rId27"/>
          <w:footerReference w:type="first" r:id="rId28"/>
          <w:type w:val="nextPage"/>
          <w:pgSz w:w="12240" w:h="15840"/>
          <w:pgMar w:left="1714" w:right="1195" w:gutter="0" w:header="547" w:top="1440" w:footer="360" w:bottom="1080"/>
          <w:pgNumType w:fmt="decimal"/>
          <w:formProt w:val="false"/>
          <w:textDirection w:val="lrTb"/>
          <w:docGrid w:type="default" w:linePitch="360" w:charSpace="0"/>
        </w:sectPr>
        <w:pStyle w:val="CameraReadyTableTitle"/>
        <w:ind w:start="-900" w:end="0"/>
        <w:rPr>
          <w:b w:val="false"/>
          <w:sz w:val="14"/>
        </w:rPr>
      </w:pPr>
      <w:r>
        <w:rPr>
          <w:b w:val="false"/>
          <w:sz w:val="12"/>
        </w:rPr>
        <w:t xml:space="preserve">Source: </w:t>
      </w:r>
      <w:r>
        <w:rPr>
          <w:b w:val="false"/>
          <w:i/>
          <w:sz w:val="12"/>
        </w:rPr>
        <w:t>Platts Daily Price Report</w:t>
      </w:r>
    </w:p>
    <w:p>
      <w:pPr>
        <w:pStyle w:val="CameraReadyTableTitle"/>
        <w:rPr/>
      </w:pPr>
      <w:r>
        <w:drawing>
          <wp:anchor behindDoc="0" distT="0" distB="0" distL="114935" distR="114935" simplePos="0" locked="0" layoutInCell="0" allowOverlap="1" relativeHeight="7">
            <wp:simplePos x="0" y="0"/>
            <wp:positionH relativeFrom="column">
              <wp:posOffset>107315</wp:posOffset>
            </wp:positionH>
            <wp:positionV relativeFrom="paragraph">
              <wp:posOffset>326390</wp:posOffset>
            </wp:positionV>
            <wp:extent cx="5485130" cy="4586605"/>
            <wp:effectExtent l="0" t="0" r="0" b="0"/>
            <wp:wrapTopAndBottom/>
            <wp:docPr id="13"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 descr="" title=""/>
                    <pic:cNvPicPr>
                      <a:picLocks noChangeAspect="1" noChangeArrowheads="1"/>
                    </pic:cNvPicPr>
                  </pic:nvPicPr>
                  <pic:blipFill>
                    <a:blip r:embed="rId29"/>
                    <a:srcRect l="-3" t="-4" r="-3" b="-4"/>
                    <a:stretch>
                      <a:fillRect/>
                    </a:stretch>
                  </pic:blipFill>
                  <pic:spPr bwMode="auto">
                    <a:xfrm>
                      <a:off x="0" y="0"/>
                      <a:ext cx="5485130" cy="4586605"/>
                    </a:xfrm>
                    <a:prstGeom prst="rect">
                      <a:avLst/>
                    </a:prstGeom>
                    <a:noFill/>
                  </pic:spPr>
                </pic:pic>
              </a:graphicData>
            </a:graphic>
          </wp:anchor>
        </w:drawing>
      </w:r>
      <w:r>
        <w:rPr>
          <w:i/>
        </w:rPr>
        <w:t xml:space="preserve">Exhibit 10: </w:t>
      </w:r>
      <w:r>
        <w:rPr/>
        <w:t xml:space="preserve"> Weekly Index of On-Peak Spot Electricity Prices</w:t>
      </w:r>
    </w:p>
    <w:p>
      <w:pPr>
        <w:pStyle w:val="CameraReadyTableSubtitle"/>
        <w:rPr/>
      </w:pPr>
      <w:r>
        <w:rPr/>
        <w:t>$ per Mwh</w:t>
      </w:r>
    </w:p>
    <w:p>
      <w:pPr>
        <w:pStyle w:val="CameraReadyTableTitle"/>
        <w:pBdr>
          <w:bottom w:val="nil"/>
        </w:pBdr>
        <w:jc w:val="center"/>
        <w:rPr>
          <w:b w:val="false"/>
          <w:sz w:val="16"/>
        </w:rPr>
      </w:pPr>
      <w:r>
        <w:rPr>
          <w:b w:val="false"/>
          <w:sz w:val="16"/>
        </w:rPr>
      </w:r>
    </w:p>
    <w:p>
      <w:pPr>
        <w:pStyle w:val="CameraReadyTableTitle"/>
        <w:pBdr>
          <w:bottom w:val="nil"/>
        </w:pBdr>
        <w:spacing w:before="120" w:after="0"/>
        <w:ind w:hanging="446" w:start="446" w:end="0"/>
        <w:rPr>
          <w:b w:val="false"/>
          <w:sz w:val="14"/>
        </w:rPr>
      </w:pPr>
      <w:r>
        <w:rPr>
          <w:b w:val="false"/>
          <w:sz w:val="14"/>
        </w:rPr>
        <w:t>Note: The weekly index represents the average of the daily indexes.  The daily index represents a volume-weighted average for prescheduled, daily on-peak electricity.</w:t>
      </w:r>
    </w:p>
    <w:p>
      <w:pPr>
        <w:pStyle w:val="CameraReadyTableTitle"/>
        <w:pBdr>
          <w:bottom w:val="nil"/>
        </w:pBdr>
        <w:rPr>
          <w:b w:val="false"/>
          <w:sz w:val="14"/>
        </w:rPr>
      </w:pPr>
      <w:r>
        <w:rPr>
          <w:b w:val="false"/>
          <w:sz w:val="14"/>
        </w:rPr>
      </w:r>
    </w:p>
    <w:p>
      <w:pPr>
        <w:pStyle w:val="CameraReadyTableTitle"/>
        <w:pBdr>
          <w:bottom w:val="single" w:sz="4" w:space="1" w:color="000000"/>
        </w:pBdr>
        <w:spacing w:before="0" w:after="240"/>
        <w:rPr>
          <w:b w:val="false"/>
          <w:sz w:val="14"/>
        </w:rPr>
      </w:pPr>
      <w:r>
        <w:rPr>
          <w:b w:val="false"/>
          <w:sz w:val="14"/>
        </w:rPr>
        <w:t>Source: Power Markets Week, CSFB</w:t>
      </w:r>
    </w:p>
    <w:p>
      <w:pPr>
        <w:pStyle w:val="CameraReadyTableTitle"/>
        <w:pBdr>
          <w:bottom w:val="nil"/>
        </w:pBdr>
        <w:spacing w:before="240" w:after="0"/>
        <w:rPr/>
      </w:pPr>
      <w:r>
        <w:rPr>
          <w:i/>
        </w:rPr>
        <w:t>Exhibit 11:</w:t>
      </w:r>
      <w:r>
        <w:rPr/>
        <w:t xml:space="preserve"> On-Peak Spot Electricity Price Index Year-Over-Year Comparison</w:t>
      </w:r>
    </w:p>
    <w:p>
      <w:pPr>
        <w:pStyle w:val="CameraReadyTableSubtitle"/>
        <w:pBdr>
          <w:bottom w:val="single" w:sz="4" w:space="1" w:color="000000"/>
        </w:pBdr>
        <w:spacing w:before="0" w:after="120"/>
        <w:rPr/>
      </w:pPr>
      <w:r>
        <w:drawing>
          <wp:anchor behindDoc="0" distT="0" distB="0" distL="114935" distR="114935" simplePos="0" locked="0" layoutInCell="0" allowOverlap="1" relativeHeight="8">
            <wp:simplePos x="0" y="0"/>
            <wp:positionH relativeFrom="column">
              <wp:posOffset>106680</wp:posOffset>
            </wp:positionH>
            <wp:positionV relativeFrom="paragraph">
              <wp:posOffset>212090</wp:posOffset>
            </wp:positionV>
            <wp:extent cx="5714365" cy="1403350"/>
            <wp:effectExtent l="0" t="0" r="0" b="0"/>
            <wp:wrapTopAndBottom/>
            <wp:docPr id="14"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 descr="" title=""/>
                    <pic:cNvPicPr>
                      <a:picLocks noChangeAspect="1" noChangeArrowheads="1"/>
                    </pic:cNvPicPr>
                  </pic:nvPicPr>
                  <pic:blipFill>
                    <a:blip r:embed="rId30"/>
                    <a:srcRect l="-5" t="-20" r="-5" b="-20"/>
                    <a:stretch>
                      <a:fillRect/>
                    </a:stretch>
                  </pic:blipFill>
                  <pic:spPr bwMode="auto">
                    <a:xfrm>
                      <a:off x="0" y="0"/>
                      <a:ext cx="5714365" cy="1403350"/>
                    </a:xfrm>
                    <a:prstGeom prst="rect">
                      <a:avLst/>
                    </a:prstGeom>
                    <a:noFill/>
                  </pic:spPr>
                </pic:pic>
              </a:graphicData>
            </a:graphic>
          </wp:anchor>
        </w:drawing>
      </w:r>
      <w:r>
        <w:rPr/>
        <w:t>$ per Mwh</w:t>
      </w:r>
    </w:p>
    <w:p>
      <w:pPr>
        <w:pStyle w:val="CameraReadyTableTitle"/>
        <w:pBdr>
          <w:bottom w:val="nil"/>
        </w:pBdr>
        <w:spacing w:before="120" w:after="0"/>
        <w:rPr>
          <w:b w:val="false"/>
          <w:sz w:val="14"/>
        </w:rPr>
      </w:pPr>
      <w:r>
        <w:rPr>
          <w:b w:val="false"/>
          <w:sz w:val="14"/>
        </w:rPr>
      </w:r>
    </w:p>
    <w:p>
      <w:pPr>
        <w:pStyle w:val="CameraReadyTableTitle"/>
        <w:pBdr>
          <w:bottom w:val="nil"/>
        </w:pBdr>
        <w:spacing w:before="120" w:after="0"/>
        <w:rPr/>
      </w:pPr>
      <w:r>
        <w:rPr>
          <w:b w:val="false"/>
          <w:sz w:val="14"/>
        </w:rPr>
        <w:t>Note: NE (New England), CIN (Cinergy), SERC (SERC), NP15 (California North Path 15), NYW (NY West), ERCOT (ERCOT)</w:t>
      </w:r>
    </w:p>
    <w:p>
      <w:pPr>
        <w:sectPr>
          <w:headerReference w:type="default" r:id="rId31"/>
          <w:headerReference w:type="first" r:id="rId32"/>
          <w:footerReference w:type="default" r:id="rId33"/>
          <w:footerReference w:type="first" r:id="rId34"/>
          <w:type w:val="nextPage"/>
          <w:pgSz w:w="12240" w:h="15840"/>
          <w:pgMar w:left="1714" w:right="1195" w:gutter="0" w:header="547" w:top="1627" w:footer="360" w:bottom="1080"/>
          <w:pgNumType w:fmt="decimal"/>
          <w:formProt w:val="false"/>
          <w:textDirection w:val="lrTb"/>
          <w:docGrid w:type="default" w:linePitch="360" w:charSpace="0"/>
        </w:sectPr>
        <w:pStyle w:val="CameraReadyTableTitle"/>
        <w:rPr>
          <w:b w:val="false"/>
          <w:sz w:val="14"/>
        </w:rPr>
      </w:pPr>
      <w:r>
        <w:rPr>
          <w:b w:val="false"/>
          <w:sz w:val="14"/>
        </w:rPr>
        <w:t>Source: Power Markets Week, CSFB</w:t>
      </w:r>
    </w:p>
    <w:p>
      <w:pPr>
        <w:pStyle w:val="CameraReadyTableTitle"/>
        <w:pBdr>
          <w:bottom w:val="nil"/>
        </w:pBdr>
        <w:rPr/>
      </w:pPr>
      <w:r>
        <w:rPr>
          <w:i/>
        </w:rPr>
        <w:t xml:space="preserve">Exhibit 12: </w:t>
      </w:r>
      <w:r>
        <w:rPr/>
        <w:t>Mirant National Power Index</w:t>
      </w:r>
    </w:p>
    <w:p>
      <w:pPr>
        <w:pStyle w:val="CameraReadyTableTitle"/>
        <w:pBdr>
          <w:bottom w:val="single" w:sz="4" w:space="1" w:color="000000"/>
        </w:pBdr>
        <w:rPr/>
      </w:pPr>
      <w:r>
        <w:drawing>
          <wp:anchor behindDoc="0" distT="0" distB="0" distL="114935" distR="114935" simplePos="0" locked="0" layoutInCell="0" allowOverlap="1" relativeHeight="10">
            <wp:simplePos x="0" y="0"/>
            <wp:positionH relativeFrom="column">
              <wp:posOffset>800100</wp:posOffset>
            </wp:positionH>
            <wp:positionV relativeFrom="paragraph">
              <wp:posOffset>165100</wp:posOffset>
            </wp:positionV>
            <wp:extent cx="4335145" cy="1879600"/>
            <wp:effectExtent l="0" t="0" r="0" b="0"/>
            <wp:wrapTopAndBottom/>
            <wp:docPr id="15"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1" descr="" title=""/>
                    <pic:cNvPicPr>
                      <a:picLocks noChangeAspect="1" noChangeArrowheads="1"/>
                    </pic:cNvPicPr>
                  </pic:nvPicPr>
                  <pic:blipFill>
                    <a:blip r:embed="rId35"/>
                    <a:srcRect l="-5" t="-13" r="-5" b="-13"/>
                    <a:stretch>
                      <a:fillRect/>
                    </a:stretch>
                  </pic:blipFill>
                  <pic:spPr bwMode="auto">
                    <a:xfrm>
                      <a:off x="0" y="0"/>
                      <a:ext cx="4335145" cy="1879600"/>
                    </a:xfrm>
                    <a:prstGeom prst="rect">
                      <a:avLst/>
                    </a:prstGeom>
                    <a:noFill/>
                  </pic:spPr>
                </pic:pic>
              </a:graphicData>
            </a:graphic>
          </wp:anchor>
        </w:drawing>
      </w:r>
      <w:r>
        <w:rPr/>
        <w:t>$ per Mwh</w:t>
      </w:r>
    </w:p>
    <w:p>
      <w:pPr>
        <w:pStyle w:val="TableFooter"/>
        <w:jc w:val="center"/>
        <w:rPr/>
      </w:pPr>
      <w:r>
        <w:rPr/>
      </w:r>
    </w:p>
    <w:p>
      <w:pPr>
        <w:pStyle w:val="TableFooter"/>
        <w:pBdr>
          <w:bottom w:val="single" w:sz="4" w:space="1" w:color="000000"/>
        </w:pBdr>
        <w:rPr/>
      </w:pPr>
      <w:r>
        <w:rPr/>
        <w:t>Source: Wall Street Journal</w:t>
      </w:r>
    </w:p>
    <w:p>
      <w:pPr>
        <w:pStyle w:val="CameraReadyTableTitle"/>
        <w:pBdr>
          <w:bottom w:val="nil"/>
        </w:pBdr>
        <w:rPr>
          <w:i/>
          <w:i/>
        </w:rPr>
      </w:pPr>
      <w:r>
        <w:rPr>
          <w:i/>
        </w:rPr>
      </w:r>
    </w:p>
    <w:p>
      <w:pPr>
        <w:pStyle w:val="CameraReadyTableTitle"/>
        <w:pBdr>
          <w:bottom w:val="nil"/>
        </w:pBdr>
        <w:rPr/>
      </w:pPr>
      <w:r>
        <w:rPr>
          <w:i/>
        </w:rPr>
        <w:t>Exhibit 13:</w:t>
      </w:r>
      <w:r>
        <w:rPr>
          <w:iCs/>
        </w:rPr>
        <w:t xml:space="preserve"> Platts Energy Trader National Forward Power Assessment</w:t>
      </w:r>
    </w:p>
    <w:p>
      <w:pPr>
        <w:pStyle w:val="CameraReadyTableTitle"/>
        <w:pBdr>
          <w:bottom w:val="single" w:sz="4" w:space="1" w:color="000000"/>
        </w:pBdr>
        <w:rPr/>
      </w:pPr>
      <w:r>
        <w:drawing>
          <wp:anchor behindDoc="0" distT="0" distB="0" distL="114935" distR="114935" simplePos="0" locked="0" layoutInCell="0" allowOverlap="1" relativeHeight="11">
            <wp:simplePos x="0" y="0"/>
            <wp:positionH relativeFrom="column">
              <wp:posOffset>793115</wp:posOffset>
            </wp:positionH>
            <wp:positionV relativeFrom="paragraph">
              <wp:posOffset>165100</wp:posOffset>
            </wp:positionV>
            <wp:extent cx="4342130" cy="1778000"/>
            <wp:effectExtent l="0" t="0" r="0" b="0"/>
            <wp:wrapTopAndBottom/>
            <wp:docPr id="16"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 descr="" title=""/>
                    <pic:cNvPicPr>
                      <a:picLocks noChangeAspect="1" noChangeArrowheads="1"/>
                    </pic:cNvPicPr>
                  </pic:nvPicPr>
                  <pic:blipFill>
                    <a:blip r:embed="rId36"/>
                    <a:srcRect l="-5" t="-13" r="-5" b="-13"/>
                    <a:stretch>
                      <a:fillRect/>
                    </a:stretch>
                  </pic:blipFill>
                  <pic:spPr bwMode="auto">
                    <a:xfrm>
                      <a:off x="0" y="0"/>
                      <a:ext cx="4342130" cy="1778000"/>
                    </a:xfrm>
                    <a:prstGeom prst="rect">
                      <a:avLst/>
                    </a:prstGeom>
                    <a:noFill/>
                  </pic:spPr>
                </pic:pic>
              </a:graphicData>
            </a:graphic>
          </wp:anchor>
        </w:drawing>
      </w:r>
      <w:r>
        <w:rPr/>
        <w:t>$ per Mwh</w:t>
      </w:r>
    </w:p>
    <w:p>
      <w:pPr>
        <w:pStyle w:val="CameraReadyTableTitle"/>
        <w:pBdr>
          <w:bottom w:val="nil"/>
        </w:pBdr>
        <w:jc w:val="center"/>
        <w:rPr>
          <w:b w:val="false"/>
          <w:sz w:val="16"/>
        </w:rPr>
      </w:pPr>
      <w:r>
        <w:rPr>
          <w:b w:val="false"/>
          <w:sz w:val="16"/>
        </w:rPr>
      </w:r>
    </w:p>
    <w:p>
      <w:pPr>
        <w:pStyle w:val="TableFooter"/>
        <w:pBdr>
          <w:bottom w:val="single" w:sz="4" w:space="1" w:color="000000"/>
        </w:pBdr>
        <w:rPr/>
      </w:pPr>
      <w:r>
        <w:rPr/>
        <w:t>Source: Platts Energy Trader</w:t>
      </w:r>
    </w:p>
    <w:p>
      <w:pPr>
        <w:pStyle w:val="CameraReadyTableTitle"/>
        <w:pBdr>
          <w:bottom w:val="nil"/>
        </w:pBdr>
        <w:rPr>
          <w:i/>
          <w:i/>
        </w:rPr>
      </w:pPr>
      <w:r>
        <w:rPr>
          <w:i/>
        </w:rPr>
      </w:r>
    </w:p>
    <w:p>
      <w:pPr>
        <w:pStyle w:val="CameraReadyTableTitle"/>
        <w:pBdr>
          <w:bottom w:val="nil"/>
        </w:pBdr>
        <w:rPr/>
      </w:pPr>
      <w:r>
        <w:rPr>
          <w:i/>
        </w:rPr>
        <w:t xml:space="preserve">Exhibit 14: </w:t>
      </w:r>
      <w:r>
        <w:rPr/>
        <w:t>Natural Gas Spot Wellhead Composite</w:t>
      </w:r>
    </w:p>
    <w:p>
      <w:pPr>
        <w:pStyle w:val="CameraReadyTableSubtitle"/>
        <w:rPr/>
      </w:pPr>
      <w:r>
        <w:drawing>
          <wp:anchor behindDoc="0" distT="0" distB="0" distL="114935" distR="114935" simplePos="0" locked="0" layoutInCell="0" allowOverlap="1" relativeHeight="12">
            <wp:simplePos x="0" y="0"/>
            <wp:positionH relativeFrom="column">
              <wp:posOffset>791845</wp:posOffset>
            </wp:positionH>
            <wp:positionV relativeFrom="paragraph">
              <wp:posOffset>192405</wp:posOffset>
            </wp:positionV>
            <wp:extent cx="4229100" cy="2448560"/>
            <wp:effectExtent l="0" t="0" r="0" b="0"/>
            <wp:wrapTopAndBottom/>
            <wp:docPr id="17"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3" descr="" title=""/>
                    <pic:cNvPicPr>
                      <a:picLocks noChangeAspect="1" noChangeArrowheads="1"/>
                    </pic:cNvPicPr>
                  </pic:nvPicPr>
                  <pic:blipFill>
                    <a:blip r:embed="rId37"/>
                    <a:srcRect l="-7" t="-13" r="-7" b="-13"/>
                    <a:stretch>
                      <a:fillRect/>
                    </a:stretch>
                  </pic:blipFill>
                  <pic:spPr bwMode="auto">
                    <a:xfrm>
                      <a:off x="0" y="0"/>
                      <a:ext cx="4229100" cy="2448560"/>
                    </a:xfrm>
                    <a:prstGeom prst="rect">
                      <a:avLst/>
                    </a:prstGeom>
                    <a:noFill/>
                  </pic:spPr>
                </pic:pic>
              </a:graphicData>
            </a:graphic>
          </wp:anchor>
        </w:drawing>
      </w:r>
      <w:r>
        <w:rPr/>
        <w:t>$/MMBtu</w:t>
      </w:r>
    </w:p>
    <w:p>
      <w:pPr>
        <w:pStyle w:val="NB"/>
        <w:pBdr>
          <w:top w:val="nil"/>
        </w:pBdr>
        <w:spacing w:before="0" w:after="0"/>
        <w:ind w:start="-446" w:end="0"/>
        <w:jc w:val="center"/>
        <w:rPr/>
      </w:pPr>
      <w:r>
        <w:rPr/>
      </w:r>
    </w:p>
    <w:p>
      <w:pPr>
        <w:pStyle w:val="TableFooter"/>
        <w:pBdr>
          <w:bottom w:val="single" w:sz="4" w:space="1" w:color="000000"/>
        </w:pBdr>
        <w:rPr>
          <w:i/>
          <w:i/>
        </w:rPr>
      </w:pPr>
      <w:r>
        <w:rPr/>
        <w:t>Sources:  Natural Gas Week, CSFB estimates</w:t>
      </w:r>
    </w:p>
    <w:p>
      <w:pPr>
        <w:sectPr>
          <w:headerReference w:type="default" r:id="rId38"/>
          <w:headerReference w:type="first" r:id="rId39"/>
          <w:footerReference w:type="default" r:id="rId40"/>
          <w:footerReference w:type="first" r:id="rId41"/>
          <w:type w:val="nextPage"/>
          <w:pgSz w:w="12240" w:h="15840"/>
          <w:pgMar w:left="1714" w:right="1195" w:gutter="0" w:header="547" w:top="1627" w:footer="360" w:bottom="1080"/>
          <w:pgNumType w:fmt="decimal"/>
          <w:formProt w:val="false"/>
          <w:textDirection w:val="lrTb"/>
          <w:docGrid w:type="default" w:linePitch="360" w:charSpace="0"/>
        </w:sectPr>
      </w:pPr>
      <w:r>
        <w:br w:type="page"/>
      </w:r>
    </w:p>
    <w:p>
      <w:pPr>
        <w:pStyle w:val="officename"/>
        <w:rPr/>
      </w:pPr>
      <w:r>
        <w:rPr/>
        <w:t>AMSTERDAM</w:t>
        <w:tab/>
        <w:t>31 20 5754 890</w:t>
      </w:r>
    </w:p>
    <w:p>
      <w:pPr>
        <w:pStyle w:val="officename"/>
        <w:rPr/>
      </w:pPr>
      <w:r>
        <w:rPr/>
        <w:t>ATLANTA</w:t>
        <w:tab/>
        <w:t>1 404 656 9500</w:t>
      </w:r>
    </w:p>
    <w:p>
      <w:pPr>
        <w:pStyle w:val="officename"/>
        <w:rPr/>
      </w:pPr>
      <w:r>
        <w:rPr/>
        <w:t>AUCKLAND</w:t>
        <w:tab/>
        <w:t>64 9 302 5500</w:t>
      </w:r>
    </w:p>
    <w:p>
      <w:pPr>
        <w:pStyle w:val="officename"/>
        <w:rPr/>
      </w:pPr>
      <w:r>
        <w:rPr/>
        <w:t>BALTIMORE</w:t>
        <w:tab/>
        <w:t>1 410 223 3000</w:t>
      </w:r>
    </w:p>
    <w:p>
      <w:pPr>
        <w:pStyle w:val="officename"/>
        <w:rPr/>
      </w:pPr>
      <w:r>
        <w:rPr/>
        <w:t>BEIJING</w:t>
        <w:tab/>
        <w:t>86 10 6410 6611</w:t>
      </w:r>
    </w:p>
    <w:p>
      <w:pPr>
        <w:pStyle w:val="officename"/>
        <w:rPr/>
      </w:pPr>
      <w:r>
        <w:rPr/>
        <w:t>BOSTON</w:t>
        <w:tab/>
        <w:t>1 617 556 5500</w:t>
      </w:r>
    </w:p>
    <w:p>
      <w:pPr>
        <w:pStyle w:val="officename"/>
        <w:rPr/>
      </w:pPr>
      <w:r>
        <w:rPr/>
        <w:t>BUDAPEST</w:t>
        <w:tab/>
        <w:t>36 1 202 2188</w:t>
      </w:r>
    </w:p>
    <w:p>
      <w:pPr>
        <w:pStyle w:val="officename"/>
        <w:rPr/>
      </w:pPr>
      <w:r>
        <w:rPr/>
        <w:t>BUENOS AIRES</w:t>
        <w:tab/>
        <w:t>54 11 4394 3100</w:t>
      </w:r>
    </w:p>
    <w:p>
      <w:pPr>
        <w:pStyle w:val="officename"/>
        <w:rPr/>
      </w:pPr>
      <w:r>
        <w:rPr/>
        <w:t>CHICAGO</w:t>
        <w:tab/>
        <w:t>1 312 750 3000</w:t>
      </w:r>
    </w:p>
    <w:p>
      <w:pPr>
        <w:pStyle w:val="officename"/>
        <w:rPr/>
      </w:pPr>
      <w:r>
        <w:rPr/>
        <w:t>FRANKFURT</w:t>
        <w:tab/>
        <w:t>49 69 75 38 0</w:t>
      </w:r>
    </w:p>
    <w:p>
      <w:pPr>
        <w:pStyle w:val="officename"/>
        <w:rPr/>
      </w:pPr>
      <w:r>
        <w:rPr/>
        <w:t>GENEVA</w:t>
        <w:tab/>
        <w:t>41 22 394 70 00</w:t>
      </w:r>
    </w:p>
    <w:p>
      <w:pPr>
        <w:pStyle w:val="officename"/>
        <w:rPr/>
      </w:pPr>
      <w:r>
        <w:rPr/>
        <w:t>HOUSTON</w:t>
        <w:tab/>
        <w:t>1 713 220 6700</w:t>
      </w:r>
    </w:p>
    <w:p>
      <w:pPr>
        <w:pStyle w:val="officename"/>
        <w:rPr/>
      </w:pPr>
      <w:r>
        <w:rPr/>
        <w:t>HONG KONG</w:t>
        <w:tab/>
        <w:t>852 2101 6000</w:t>
      </w:r>
    </w:p>
    <w:p>
      <w:pPr>
        <w:pStyle w:val="officename"/>
        <w:rPr/>
      </w:pPr>
      <w:r>
        <w:rPr/>
      </w:r>
    </w:p>
    <w:p>
      <w:pPr>
        <w:pStyle w:val="officename"/>
        <w:rPr/>
      </w:pPr>
      <w:r>
        <w:br w:type="column"/>
      </w:r>
      <w:r>
        <w:rPr/>
        <w:t>LONDON</w:t>
        <w:tab/>
        <w:t>44 20 7888 8888</w:t>
      </w:r>
    </w:p>
    <w:p>
      <w:pPr>
        <w:pStyle w:val="officename"/>
        <w:rPr/>
      </w:pPr>
      <w:r>
        <w:rPr/>
        <w:t>MADRID</w:t>
        <w:tab/>
        <w:t>34 91 423 16 00</w:t>
      </w:r>
    </w:p>
    <w:p>
      <w:pPr>
        <w:pStyle w:val="officename"/>
        <w:rPr/>
      </w:pPr>
      <w:r>
        <w:rPr/>
        <w:t>MELBOURNE</w:t>
        <w:tab/>
        <w:t>61 3 9280 1666</w:t>
      </w:r>
    </w:p>
    <w:p>
      <w:pPr>
        <w:pStyle w:val="officename"/>
        <w:rPr/>
      </w:pPr>
      <w:r>
        <w:rPr/>
        <w:t>MEXICO</w:t>
        <w:tab/>
        <w:t>52 5 283 89 00</w:t>
      </w:r>
    </w:p>
    <w:p>
      <w:pPr>
        <w:pStyle w:val="officename"/>
        <w:rPr/>
      </w:pPr>
      <w:r>
        <w:rPr/>
        <w:t>MILAN</w:t>
        <w:tab/>
        <w:t>39 02 7702 1</w:t>
      </w:r>
    </w:p>
    <w:p>
      <w:pPr>
        <w:pStyle w:val="officename"/>
        <w:rPr/>
      </w:pPr>
      <w:r>
        <w:rPr/>
        <w:t>MOSCOW</w:t>
        <w:tab/>
        <w:t>7 501 967 8200</w:t>
      </w:r>
    </w:p>
    <w:p>
      <w:pPr>
        <w:pStyle w:val="officename"/>
        <w:rPr/>
      </w:pPr>
      <w:r>
        <w:rPr/>
        <w:t>MUMBAI</w:t>
        <w:tab/>
        <w:t>91 22 230 6333</w:t>
      </w:r>
    </w:p>
    <w:p>
      <w:pPr>
        <w:pStyle w:val="officename"/>
        <w:rPr/>
      </w:pPr>
      <w:r>
        <w:rPr/>
        <w:t>NEW YORK</w:t>
        <w:tab/>
        <w:t>1 212 325 2000</w:t>
      </w:r>
    </w:p>
    <w:p>
      <w:pPr>
        <w:pStyle w:val="officename"/>
        <w:rPr/>
      </w:pPr>
      <w:r>
        <w:rPr/>
        <w:t>PALO ALTO</w:t>
        <w:tab/>
        <w:t>1 650 614 5000</w:t>
      </w:r>
    </w:p>
    <w:p>
      <w:pPr>
        <w:pStyle w:val="officename"/>
        <w:rPr/>
      </w:pPr>
      <w:r>
        <w:rPr/>
        <w:t>PARIS</w:t>
        <w:tab/>
        <w:t>33 1 40 76 8888</w:t>
      </w:r>
    </w:p>
    <w:p>
      <w:pPr>
        <w:pStyle w:val="officename"/>
        <w:rPr/>
      </w:pPr>
      <w:r>
        <w:rPr/>
        <w:t>PASADENA</w:t>
        <w:tab/>
        <w:t>1 626 395 5100</w:t>
      </w:r>
    </w:p>
    <w:p>
      <w:pPr>
        <w:pStyle w:val="officename"/>
        <w:rPr/>
      </w:pPr>
      <w:r>
        <w:rPr/>
        <w:t>PHILADELPHIA</w:t>
        <w:tab/>
        <w:t>1 215 851 1000</w:t>
      </w:r>
    </w:p>
    <w:p>
      <w:pPr>
        <w:pStyle w:val="officename"/>
        <w:rPr/>
      </w:pPr>
      <w:r>
        <w:rPr/>
        <w:t>PRAGUE</w:t>
        <w:tab/>
        <w:t>420 2 210 83111</w:t>
      </w:r>
    </w:p>
    <w:p>
      <w:pPr>
        <w:pStyle w:val="officename"/>
        <w:rPr/>
      </w:pPr>
      <w:r>
        <w:rPr/>
      </w:r>
    </w:p>
    <w:p>
      <w:pPr>
        <w:pStyle w:val="officename"/>
        <w:rPr/>
      </w:pPr>
      <w:r>
        <w:br w:type="column"/>
      </w:r>
      <w:r>
        <w:rPr/>
        <w:t>SAN FRANCISCO</w:t>
        <w:tab/>
        <w:t>1 415 836 7600</w:t>
      </w:r>
    </w:p>
    <w:p>
      <w:pPr>
        <w:pStyle w:val="officename"/>
        <w:rPr/>
      </w:pPr>
      <w:r>
        <w:rPr/>
        <w:t>SÃO PAULO</w:t>
        <w:tab/>
        <w:t>55 11 3841 6000</w:t>
      </w:r>
    </w:p>
    <w:p>
      <w:pPr>
        <w:pStyle w:val="officename"/>
        <w:rPr/>
      </w:pPr>
      <w:r>
        <w:rPr/>
        <w:t>SEOUL</w:t>
        <w:tab/>
        <w:t>82 2 3707 3700</w:t>
      </w:r>
    </w:p>
    <w:p>
      <w:pPr>
        <w:pStyle w:val="officename"/>
        <w:rPr/>
      </w:pPr>
      <w:r>
        <w:rPr/>
        <w:t>SHANGHAI</w:t>
        <w:tab/>
        <w:t>86 21 6881 8418</w:t>
      </w:r>
    </w:p>
    <w:p>
      <w:pPr>
        <w:pStyle w:val="officename"/>
        <w:rPr/>
      </w:pPr>
      <w:r>
        <w:rPr/>
        <w:t>SINGAPORE</w:t>
        <w:tab/>
        <w:t>65 538 6322</w:t>
      </w:r>
    </w:p>
    <w:p>
      <w:pPr>
        <w:pStyle w:val="officename"/>
        <w:rPr/>
      </w:pPr>
      <w:r>
        <w:rPr/>
        <w:t>SYDNEY</w:t>
        <w:tab/>
        <w:t>61 2 8205 4400</w:t>
      </w:r>
    </w:p>
    <w:p>
      <w:pPr>
        <w:pStyle w:val="officename"/>
        <w:rPr/>
      </w:pPr>
      <w:r>
        <w:rPr/>
        <w:t>TAIPEI</w:t>
        <w:tab/>
        <w:t>886 2 2715 6388</w:t>
      </w:r>
    </w:p>
    <w:p>
      <w:pPr>
        <w:pStyle w:val="officename"/>
        <w:rPr/>
      </w:pPr>
      <w:r>
        <w:rPr/>
        <w:t>TOKYO</w:t>
        <w:tab/>
        <w:t>81 3 5404 9000</w:t>
      </w:r>
    </w:p>
    <w:p>
      <w:pPr>
        <w:pStyle w:val="officename"/>
        <w:rPr/>
      </w:pPr>
      <w:r>
        <w:rPr/>
        <w:t>TORONTO</w:t>
        <w:tab/>
        <w:t>1 416 352 4500</w:t>
      </w:r>
    </w:p>
    <w:p>
      <w:pPr>
        <w:pStyle w:val="officename"/>
        <w:rPr/>
      </w:pPr>
      <w:r>
        <w:rPr/>
        <w:t>VIENNA</w:t>
        <w:tab/>
        <w:t>43 1 512 3023</w:t>
      </w:r>
    </w:p>
    <w:p>
      <w:pPr>
        <w:pStyle w:val="officename"/>
        <w:rPr/>
      </w:pPr>
      <w:r>
        <w:rPr/>
        <w:t>WARSAW</w:t>
        <w:tab/>
        <w:t>48 22 695 0050</w:t>
      </w:r>
    </w:p>
    <w:p>
      <w:pPr>
        <w:pStyle w:val="officename"/>
        <w:rPr/>
      </w:pPr>
      <w:r>
        <w:rPr/>
        <w:t>WELLINGTON</w:t>
        <w:tab/>
        <w:t>64 4 474 4400</w:t>
      </w:r>
    </w:p>
    <w:p>
      <w:pPr>
        <w:pStyle w:val="officename"/>
        <w:rPr/>
      </w:pPr>
      <w:r>
        <w:rPr/>
        <w:t>ZUG</w:t>
        <w:tab/>
        <w:t>41 41 727 97 00</w:t>
      </w:r>
    </w:p>
    <w:p>
      <w:pPr>
        <w:pStyle w:val="officename"/>
        <w:rPr/>
      </w:pPr>
      <w:r>
        <w:rPr/>
        <w:t>ZURICH</w:t>
        <w:tab/>
        <w:t>41 1 333 55 55</w:t>
      </w:r>
    </w:p>
    <w:p>
      <w:pPr>
        <w:pStyle w:val="Text"/>
        <w:spacing w:before="0" w:after="0"/>
        <w:rPr/>
      </w:pPr>
      <w:r>
        <w:rPr/>
      </w:r>
    </w:p>
    <w:p>
      <w:pPr>
        <w:sectPr>
          <w:headerReference w:type="default" r:id="rId42"/>
          <w:headerReference w:type="first" r:id="rId43"/>
          <w:footerReference w:type="default" r:id="rId44"/>
          <w:footerReference w:type="first" r:id="rId45"/>
          <w:type w:val="nextPage"/>
          <w:pgSz w:w="12240" w:h="15840"/>
          <w:pgMar w:left="1440" w:right="1195" w:gutter="0" w:header="547" w:top="1980" w:footer="675" w:bottom="1080"/>
          <w:pgNumType w:fmt="decimal"/>
          <w:cols w:num="3" w:space="708" w:equalWidth="true" w:sep="false"/>
          <w:formProt w:val="false"/>
          <w:textDirection w:val="lrTb"/>
          <w:docGrid w:type="default" w:linePitch="360" w:charSpace="0"/>
        </w:sectPr>
      </w:pPr>
    </w:p>
    <w:p>
      <w:pPr>
        <w:pStyle w:val="Disclaimer"/>
        <w:rPr/>
      </w:pPr>
      <w:r>
        <w:rPr/>
        <w:t>Copyright Credit Suisse First Boston, and its subsidiaries and affiliates, 2000.  All rights reserved.</w:t>
      </w:r>
    </w:p>
    <w:p>
      <w:pPr>
        <w:pStyle w:val="Disclaimer"/>
        <w:rPr/>
      </w:pPr>
      <w:r>
        <w:rPr/>
        <w:t xml:space="preserve">This report is not directed to, or intended for distribution to or use by, any person or entity who is a citizen or resident of or located in any locality, state, country or other jurisdiction where such distribution, publication, availability or use would be contrary to law or regulation or which would subject Credit Suisse First Boston or its subsidiaries or affiliates (collectively "CSFB") to any registration or licensing requirement within such jurisdiction. All material presented in this report, unless specifically indicated otherwise, is under copyright to CSFB. None of the material, nor its content, nor any copy of it, may be altered in any way, transmitted to, or distributed to any other party, without the prior express written permission of CSFB. All trademarks, service marks and logos used in this report are trademarks or service marks or registered trademarks or service marks of CSFB. </w:t>
      </w:r>
    </w:p>
    <w:p>
      <w:pPr>
        <w:pStyle w:val="Disclaimer"/>
        <w:rPr/>
      </w:pPr>
      <w:r>
        <w:rPr/>
        <w:t xml:space="preserve">The information, tools and material presented in this report are provided to you for information purposes only and are not to be used or considered as an offer or the solicitation of an offer to sell or to buy or subscribe for securities or other financial instruments. CSFB has not taken any steps to ensure that the securities referred to in this report are suitable for any particular investor. </w:t>
      </w:r>
    </w:p>
    <w:p>
      <w:pPr>
        <w:pStyle w:val="Disclaimer"/>
        <w:rPr/>
      </w:pPr>
      <w:r>
        <w:rPr/>
        <w:t xml:space="preserve">Information and opinions presented in this report have been obtained or derived from sources believed by CSFB to be reliable, but CSFB makes no representation as to their accuracy or completeness and CSFB accepts no liability for loss arising from the use of the material presented in this report where permitted by law and/or regulation. This report is not to be relied upon in substitution for the exercise of independent judgment. CSFB may have issued other reports that are inconsistent with, and reach different conclusions from, the information presented in this report. Those reports reflect the different assumptions, views and analytical methods of the analysts who prepared them. </w:t>
      </w:r>
    </w:p>
    <w:p>
      <w:pPr>
        <w:pStyle w:val="Disclaimer"/>
        <w:rPr/>
      </w:pPr>
      <w:r>
        <w:rPr/>
        <w:t>CSFB may, to the extent permitted by law, participate or invest in financing transactions with the issuer(s) of the securities referred to in this report, perform services for or solicit business from such issuers, and/or have a position or effect transactions in the securities or options thereon. In addition, it may make markets in the securities mentioned in the material presented in this report. CSFB may, to the extent permitted by law, act upon or use the information or opinions presented herein, or the research or analysis on which they are based, before the material is published. CSFB may have, within the last three years, served as manager or co-manager of a public offering of securities for, or currently may make a primary market in issues of, any or all of the companies mentioned in this report. Additional information is available on request</w:t>
      </w:r>
      <w:r>
        <w:rPr>
          <w:b/>
        </w:rPr>
        <w:t>.</w:t>
      </w:r>
    </w:p>
    <w:p>
      <w:pPr>
        <w:pStyle w:val="Disclaimer"/>
        <w:rPr/>
      </w:pPr>
      <w:r>
        <w:rPr/>
        <w:t>Past performance should not be taken as an indication or guarantee of future performance, and no representation or warranty, express or implied, is made regarding future performance. Information, opinions and estimates contained in this report reflect a judgment at its original date of publication by CSFB and are subject to change. The value and income of any of the securities or financial instruments mentioned in this report can fall as well as rise, and is subject to exchange rate fluctuation that may have a positive or adverse effect on the price or income of such securities or financial instruments. Investors in securities such as ADRs, the values of which are influenced by currency fluctuation, effectively assume this risk.</w:t>
      </w:r>
      <w:r>
        <w:rPr>
          <w:i/>
        </w:rPr>
        <w:t xml:space="preserve"> </w:t>
      </w:r>
    </w:p>
    <w:p>
      <w:pPr>
        <w:pStyle w:val="Disclaimer"/>
        <w:rPr/>
      </w:pPr>
      <w:r>
        <w:rPr/>
        <w:t>Structured securities are complex instruments, typically involve a high degree of risk and are intended for sale only to sophisticated investors who are capable of understanding and assuming the risks involved. The market value of any structured security may be affected by changes in economic, financial and political factors (including, but not limited to, spot and forward interest and exchange rates), time to maturity, market conditions and volatility, and the credit quality of any issuer or reference issuer. Any investor interested in purchasing a structured product should conduct its own investigation and analysis of the product and consult with its own professional advisers as to the risks involved in making such a purchase.</w:t>
      </w:r>
      <w:r>
        <w:rPr>
          <w:i/>
        </w:rPr>
        <w:t xml:space="preserve"> </w:t>
      </w:r>
    </w:p>
    <w:p>
      <w:pPr>
        <w:pStyle w:val="Disclaimer"/>
        <w:rPr/>
      </w:pPr>
      <w:r>
        <w:rPr/>
        <w:t>This report is distributed in Europe by Credit Suisse First Boston (Europe) Limited, which is regulated in the United Kingdom by The Securities and Futures Authority (“SFA”). It is not for distribution to private customers as defined by the rules of The SFA. This report is distributed in the United States by Credit Suisse First Boston Corporation; in Canada by Credit Suisse First Boston Securities Canada, Inc.; in Brazil by Banco de Investimentos Credit Suisse First Boston Garantia S.A.; in Japan by Credit Suisse First Boston Securities (Japan) Limited; elsewhere in Asia/Pacific by Credit Suisse First Boston (Hong Kong) Limited;. Credit Suisse First Boston Australia Equities Limited; Credit Suisse First Boston NZ Securities Limited, Credit Suisse First Boston Singapore Branch and elsewhere in the world by an authorized affiliate.</w:t>
      </w:r>
    </w:p>
    <w:p>
      <w:pPr>
        <w:pStyle w:val="Disclaimer"/>
        <w:rPr/>
      </w:pPr>
      <w:r>
        <w:rPr/>
        <w:t xml:space="preserve">In jurisdictions where CSFB is not already registered or licensed to trade in securities, transactions will only be effected in accordance with applicable securities legislation, which will vary from jurisdiction to jurisdiction and may require that the trade be made in accordance with applicable exemptions from registration or licensing requirements. Non-U.S. customers wishing to effect a transaction should contact a CSFB entity in their local jurisdiction unless governing law permits otherwise. U.S. customers wishing to effect a transaction should do so only by contacting a representative at Credit Suisse First Boston Corporation in the U.S. </w:t>
      </w:r>
    </w:p>
    <w:p>
      <w:pPr>
        <w:sectPr>
          <w:type w:val="continuous"/>
          <w:pgSz w:w="12240" w:h="15840"/>
          <w:pgMar w:left="1440" w:right="1195" w:gutter="0" w:header="547" w:top="1980" w:footer="675" w:bottom="1080"/>
          <w:formProt w:val="false"/>
          <w:textDirection w:val="lrTb"/>
          <w:docGrid w:type="default" w:linePitch="360" w:charSpace="0"/>
        </w:sectPr>
      </w:pPr>
    </w:p>
    <w:p>
      <w:pPr>
        <w:pStyle w:val="Text"/>
        <w:spacing w:before="0" w:after="60"/>
        <w:jc w:val="both"/>
        <w:rPr/>
      </w:pPr>
      <w:r>
        <w:rPr/>
      </w:r>
    </w:p>
    <w:sectPr>
      <w:type w:val="continuous"/>
      <w:pgSz w:w="12240" w:h="15840"/>
      <w:pgMar w:left="1440" w:right="1195" w:gutter="0" w:header="547" w:top="1980" w:footer="675" w:bottom="108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Arial Narrow">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Bookshelf Symbol 3">
    <w:altName w:val="Symbol"/>
    <w:charset w:val="02"/>
    <w:family w:val="roman"/>
    <w:pitch w:val="variable"/>
  </w:font>
  <w:font w:name="Palatino">
    <w:charset w:val="00" w:characterSet="windows-1252"/>
    <w:family w:val="roman"/>
    <w:pitch w:val="variable"/>
  </w:font>
  <w:font w:name="Arial Black">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false"/>
      <w:bidi w:val="0"/>
      <w:spacing w:before="0" w:after="120"/>
      <w:jc w:val="both"/>
      <w:rPr/>
    </w:pPr>
    <w:r>
      <w:rPr>
        <w:rStyle w:val="PageNumber"/>
      </w:rPr>
      <w:t>–</w:t>
    </w:r>
    <w:r>
      <w:rPr>
        <w:rStyle w:val="PageNumber"/>
        <w:rFonts w:eastAsia="Arial"/>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Fonts w:eastAsia="Arial"/>
      </w:rPr>
      <w:t xml:space="preserve"> </w:t>
    </w:r>
    <w:r>
      <w:rPr>
        <w:rStyle w:val="PageNumber"/>
      </w:rPr>
      <w:t>–</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ind w:start="0" w:end="0"/>
      <w:rPr/>
    </w:pPr>
    <w:r>
      <w:rPr>
        <w:rStyle w:val="PageNumber"/>
      </w:rPr>
      <w:t>–</w:t>
    </w:r>
    <w:r>
      <w:rPr>
        <w:rStyle w:val="PageNumber"/>
        <w:rFonts w:eastAsia="Arial"/>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Fonts w:eastAsia="Arial"/>
      </w:rPr>
      <w:t xml:space="preserve"> </w:t>
    </w:r>
    <w:r>
      <w:rPr>
        <w:rStyle w:val="PageNumber"/>
      </w:rPr>
      <w:t>–</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ind w:start="0" w:end="0"/>
      <w:rPr/>
    </w:pPr>
    <w:r>
      <w:rPr>
        <w:rStyle w:val="PageNumber"/>
      </w:rPr>
      <w:t>–</w:t>
    </w:r>
    <w:r>
      <w:rPr>
        <w:rStyle w:val="PageNumber"/>
        <w:rFonts w:eastAsia="Arial"/>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Fonts w:eastAsia="Arial"/>
      </w:rPr>
      <w:t xml:space="preserve"> </w:t>
    </w:r>
    <w:r>
      <w:rPr>
        <w:rStyle w:val="PageNumber"/>
      </w:rPr>
      <w:t>–</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FILENAME </w:instrText>
    </w:r>
    <w:r>
      <w:rPr>
        <w:sz w:val="18"/>
        <w:rFonts w:cs="Arial Narrow" w:ascii="Arial Narrow" w:hAnsi="Arial Narrow"/>
      </w:rPr>
      <w:fldChar w:fldCharType="separate"/>
    </w:r>
    <w:r>
      <w:rPr>
        <w:sz w:val="18"/>
        <w:rFonts w:cs="Arial Narrow" w:ascii="Arial Narrow" w:hAnsi="Arial Narrow"/>
      </w:rPr>
      <w:t>IPW082001.doc</w:t>
    </w:r>
    <w:r>
      <w:rPr>
        <w:sz w:val="18"/>
        <w:rFonts w:cs="Arial Narrow" w:ascii="Arial Narrow" w:hAnsi="Arial Narrow"/>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9" w:color="000000"/>
      </w:pBd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ind w:start="0" w:end="0"/>
      <w:rPr/>
    </w:pPr>
    <w:r>
      <w:rPr>
        <w:rStyle w:val="PageNumber"/>
      </w:rPr>
      <w:t>–</w:t>
    </w:r>
    <w:r>
      <w:rPr>
        <w:rStyle w:val="PageNumber"/>
        <w:rFonts w:eastAsia="Arial"/>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Fonts w:eastAsia="Arial"/>
      </w:rPr>
      <w:t xml:space="preserve"> </w:t>
    </w:r>
    <w:r>
      <w:rPr>
        <w:rStyle w:val="PageNumbe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ind w:start="0" w:end="0"/>
      <w:rPr/>
    </w:pPr>
    <w:r>
      <w:rPr>
        <w:rStyle w:val="PageNumber"/>
      </w:rPr>
      <w:t>–</w:t>
    </w:r>
    <w:r>
      <w:rPr>
        <w:rStyle w:val="PageNumber"/>
        <w:rFonts w:eastAsia="Arial"/>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Fonts w:eastAsia="Arial"/>
      </w:rPr>
      <w:t xml:space="preserve"> </w:t>
    </w:r>
    <w:r>
      <w:rPr>
        <w:rStyle w:val="PageNumber"/>
      </w:rPr>
      <w:t>–</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ind w:start="0" w:end="0"/>
      <w:rPr/>
    </w:pPr>
    <w:r>
      <w:rPr>
        <w:rStyle w:val="PageNumber"/>
      </w:rPr>
      <w:t>–</w:t>
    </w:r>
    <w:r>
      <w:rPr>
        <w:rStyle w:val="PageNumber"/>
        <w:rFonts w:eastAsia="Arial"/>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Fonts w:eastAsia="Arial"/>
      </w:rPr>
      <w:t xml:space="preserve"> </w:t>
    </w:r>
    <w:r>
      <w:rPr>
        <w:rStyle w:val="PageNumber"/>
      </w:rPr>
      <w:t>–</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Main"/>
      <w:ind w:start="0" w:end="0"/>
      <w:rPr/>
    </w:pPr>
    <w:r>
      <w:rPr>
        <w:rStyle w:val="PageNumber"/>
      </w:rPr>
      <w:t>–</w:t>
    </w:r>
    <w:r>
      <w:rPr>
        <w:rStyle w:val="PageNumber"/>
        <w:rFonts w:eastAsia="Arial"/>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Fonts w:eastAsia="Arial"/>
      </w:rPr>
      <w:t xml:space="preserve"> </w:t>
    </w:r>
    <w:r>
      <w:rPr>
        <w:rStyle w:val="PageNumber"/>
      </w:rPr>
      <w:t>–</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ogoEvenPg"/>
      <w:pBdr>
        <w:bottom w:val="single" w:sz="6" w:space="3" w:color="000000"/>
      </w:pBdr>
      <w:tabs>
        <w:tab w:val="clear" w:pos="4680"/>
        <w:tab w:val="right" w:pos="7200" w:leader="none"/>
      </w:tabs>
      <w:spacing w:before="60" w:after="0"/>
      <w:rPr/>
    </w:pPr>
    <w:r>
      <w:rPr/>
      <w:tab/>
    </w:r>
    <w:r>
      <w:rPr/>
      <w:drawing>
        <wp:inline distT="0" distB="0" distL="0" distR="0">
          <wp:extent cx="1005840" cy="304165"/>
          <wp:effectExtent l="0" t="0" r="0" b="0"/>
          <wp:docPr id="2"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6" descr="" title=""/>
                  <pic:cNvPicPr>
                    <a:picLocks noChangeAspect="1" noChangeArrowheads="1"/>
                  </pic:cNvPicPr>
                </pic:nvPicPr>
                <pic:blipFill>
                  <a:blip r:embed="rId1"/>
                  <a:stretch>
                    <a:fillRect/>
                  </a:stretch>
                </pic:blipFill>
                <pic:spPr bwMode="auto">
                  <a:xfrm>
                    <a:off x="0" y="0"/>
                    <a:ext cx="1005840" cy="304165"/>
                  </a:xfrm>
                  <a:prstGeom prst="rect">
                    <a:avLst/>
                  </a:prstGeom>
                </pic:spPr>
              </pic:pic>
            </a:graphicData>
          </a:graphic>
        </wp:inline>
      </w:drawing>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pBdr>
        <w:bottom w:val="single" w:sz="6" w:space="10" w:color="000000"/>
      </w:pBdr>
      <w:tabs>
        <w:tab w:val="clear" w:pos="7200"/>
        <w:tab w:val="right" w:pos="7776" w:leader="none"/>
        <w:tab w:val="right" w:pos="13140" w:leader="none"/>
      </w:tabs>
      <w:spacing w:before="60" w:after="0"/>
      <w:ind w:start="0" w:end="-43"/>
      <w:rPr/>
    </w:pPr>
    <w:r>
      <w:rPr>
        <w:b/>
        <w:i/>
      </w:rPr>
      <w:t>Independent Power Weekly</w:t>
      <w:tab/>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pBdr>
        <w:bottom w:val="single" w:sz="6" w:space="10" w:color="000000"/>
      </w:pBdr>
      <w:tabs>
        <w:tab w:val="clear" w:pos="7200"/>
        <w:tab w:val="right" w:pos="7776" w:leader="none"/>
        <w:tab w:val="right" w:pos="13140" w:leader="none"/>
      </w:tabs>
      <w:spacing w:before="60" w:after="0"/>
      <w:ind w:start="0" w:end="-43"/>
      <w:rPr/>
    </w:pPr>
    <w:r>
      <w:rPr>
        <w:b/>
        <w:i/>
      </w:rPr>
      <w:t>Independent Power Weekly</w:t>
      <w:tab/>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6" w:space="1" w:color="000000"/>
      </w:pBdr>
      <w:spacing w:before="0" w:after="0"/>
      <w:rPr/>
    </w:pPr>
    <w:r>
      <w:rPr/>
      <w:drawing>
        <wp:inline distT="0" distB="0" distL="0" distR="0">
          <wp:extent cx="1799590" cy="640080"/>
          <wp:effectExtent l="0" t="0" r="0" b="0"/>
          <wp:docPr id="18"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7" descr="" title=""/>
                  <pic:cNvPicPr>
                    <a:picLocks noChangeAspect="1" noChangeArrowheads="1"/>
                  </pic:cNvPicPr>
                </pic:nvPicPr>
                <pic:blipFill>
                  <a:blip r:embed="rId1"/>
                  <a:srcRect l="3760" t="-57" r="-19" b="-340"/>
                  <a:stretch>
                    <a:fillRect/>
                  </a:stretch>
                </pic:blipFill>
                <pic:spPr bwMode="auto">
                  <a:xfrm>
                    <a:off x="0" y="0"/>
                    <a:ext cx="1799590" cy="640080"/>
                  </a:xfrm>
                  <a:prstGeom prst="rect">
                    <a:avLst/>
                  </a:prstGeom>
                  <a:noFill/>
                </pic:spPr>
              </pic:pic>
            </a:graphicData>
          </a:graphic>
        </wp:inline>
      </w:drawing>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1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pBdr>
        <w:bottom w:val="single" w:sz="6" w:space="10" w:color="000000"/>
      </w:pBdr>
      <w:tabs>
        <w:tab w:val="clear" w:pos="7200"/>
        <w:tab w:val="right" w:pos="7776" w:leader="none"/>
        <w:tab w:val="right" w:pos="13140" w:leader="none"/>
      </w:tabs>
      <w:spacing w:before="60" w:after="0"/>
      <w:ind w:start="0" w:end="-43"/>
      <w:rPr/>
    </w:pPr>
    <w:r>
      <w:rPr>
        <w:b/>
        <w:i/>
      </w:rPr>
      <w:t>Independent Power Weekly</w:t>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pBdr>
        <w:bottom w:val="single" w:sz="6" w:space="10" w:color="000000"/>
      </w:pBdr>
      <w:tabs>
        <w:tab w:val="clear" w:pos="7200"/>
        <w:tab w:val="right" w:pos="7776" w:leader="none"/>
        <w:tab w:val="right" w:pos="13140" w:leader="none"/>
      </w:tabs>
      <w:spacing w:before="60" w:after="0"/>
      <w:ind w:start="0" w:end="-43"/>
      <w:rPr/>
    </w:pPr>
    <w:r>
      <w:rPr>
        <w:b/>
        <w:i/>
      </w:rPr>
      <w:t>Independent Power Weekly</w:t>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pBdr>
        <w:bottom w:val="single" w:sz="6" w:space="10" w:color="000000"/>
      </w:pBdr>
      <w:tabs>
        <w:tab w:val="clear" w:pos="7200"/>
        <w:tab w:val="right" w:pos="7776" w:leader="none"/>
        <w:tab w:val="right" w:pos="13140" w:leader="none"/>
      </w:tabs>
      <w:spacing w:before="60" w:after="0"/>
      <w:ind w:start="0" w:end="-43"/>
      <w:rPr/>
    </w:pPr>
    <w:r>
      <w:rPr>
        <w:b/>
        <w:i/>
      </w:rPr>
      <w:t>Independent Power Weekly</w:t>
      <w:tab/>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Main"/>
      <w:pBdr>
        <w:bottom w:val="single" w:sz="6" w:space="10" w:color="000000"/>
      </w:pBdr>
      <w:tabs>
        <w:tab w:val="clear" w:pos="7200"/>
        <w:tab w:val="right" w:pos="7776" w:leader="none"/>
        <w:tab w:val="right" w:pos="13140" w:leader="none"/>
      </w:tabs>
      <w:spacing w:before="60" w:after="0"/>
      <w:ind w:start="0" w:end="-43"/>
      <w:rPr/>
    </w:pPr>
    <w:r>
      <w:rPr>
        <w:b/>
        <w:i/>
      </w:rPr>
      <w:t>Independent Power Weekly</w:t>
      <w:tab/>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0"/>
        </w:tabs>
        <w:ind w:start="0" w:hanging="0"/>
      </w:pPr>
      <w:rPr>
        <w:rFonts w:ascii="Symbol" w:hAnsi="Symbol" w:cs="Symbol" w:hint="default"/>
      </w:rPr>
    </w:lvl>
  </w:abstractNum>
  <w:abstractNum w:abstractNumId="5">
    <w:lvl w:ilvl="0">
      <w:start w:val="1"/>
      <w:numFmt w:val="bullet"/>
      <w:lvlText w:val="·"/>
      <w:lvlJc w:val="start"/>
      <w:pPr>
        <w:tabs>
          <w:tab w:val="num" w:pos="0"/>
        </w:tabs>
        <w:ind w:start="0" w:hanging="0"/>
      </w:pPr>
      <w:rPr>
        <w:rFonts w:ascii="Symbol" w:hAnsi="Symbol" w:cs="Symbol" w:hint="default"/>
      </w:rPr>
    </w:lvl>
  </w:abstractNum>
  <w:abstractNum w:abstractNumId="6">
    <w:lvl w:ilvl="0">
      <w:start w:val="1"/>
      <w:numFmt w:val="decimal"/>
      <w:lvlText w:val="%1)"/>
      <w:lvlJc w:val="start"/>
      <w:pPr>
        <w:tabs>
          <w:tab w:val="num" w:pos="360"/>
        </w:tabs>
        <w:ind w:start="0" w:hanging="0"/>
      </w:pPr>
    </w:lvl>
    <w:lvl w:ilvl="1">
      <w:start w:val="1"/>
      <w:numFmt w:val="lowerLetter"/>
      <w:lvlText w:val="%2)"/>
      <w:lvlJc w:val="start"/>
      <w:pPr>
        <w:tabs>
          <w:tab w:val="num" w:pos="720"/>
        </w:tabs>
        <w:ind w:start="720" w:hanging="360"/>
      </w:pPr>
      <w:rPr>
        <w:i w:val="false"/>
        <w:b w:val="false"/>
      </w:r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360"/>
        </w:tabs>
        <w:ind w:start="216" w:hanging="216"/>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sz w:val="16"/>
      </w:rPr>
    </w:lvl>
  </w:abstractNum>
  <w:abstractNum w:abstractNumId="9">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spacing w:before="0" w:after="120"/>
      <w:jc w:val="both"/>
    </w:pPr>
    <w:rPr>
      <w:rFonts w:ascii="Arial" w:hAnsi="Arial" w:eastAsia="Times New Roman" w:cs="Arial"/>
      <w:color w:val="auto"/>
      <w:sz w:val="20"/>
      <w:szCs w:val="20"/>
      <w:lang w:val="en-US" w:bidi="ar-SA" w:eastAsia="zh-CN"/>
    </w:rPr>
  </w:style>
  <w:style w:type="paragraph" w:styleId="Heading1">
    <w:name w:val="heading 1"/>
    <w:basedOn w:val="Normal"/>
    <w:next w:val="Normal"/>
    <w:qFormat/>
    <w:pPr>
      <w:keepNext w:val="true"/>
      <w:numPr>
        <w:ilvl w:val="0"/>
        <w:numId w:val="1"/>
      </w:numPr>
      <w:spacing w:before="0" w:after="320"/>
      <w:jc w:val="start"/>
      <w:outlineLvl w:val="0"/>
    </w:pPr>
    <w:rPr>
      <w:rFonts w:ascii="Helvetica" w:hAnsi="Helvetica" w:cs="Helvetica"/>
      <w:b/>
      <w:caps/>
      <w:kern w:val="2"/>
      <w:sz w:val="24"/>
    </w:rPr>
  </w:style>
  <w:style w:type="paragraph" w:styleId="Heading2">
    <w:name w:val="heading 2"/>
    <w:basedOn w:val="Normal"/>
    <w:next w:val="Normal"/>
    <w:qFormat/>
    <w:pPr>
      <w:keepNext w:val="true"/>
      <w:numPr>
        <w:ilvl w:val="1"/>
        <w:numId w:val="1"/>
      </w:numPr>
      <w:spacing w:before="10" w:after="120"/>
      <w:jc w:val="start"/>
      <w:outlineLvl w:val="1"/>
    </w:pPr>
    <w:rPr>
      <w:rFonts w:ascii="Arial Narrow" w:hAnsi="Arial Narrow" w:cs="Arial Narrow"/>
      <w:b/>
    </w:rPr>
  </w:style>
  <w:style w:type="paragraph" w:styleId="Heading3">
    <w:name w:val="heading 3"/>
    <w:basedOn w:val="Normal"/>
    <w:next w:val="Normal"/>
    <w:qFormat/>
    <w:pPr>
      <w:keepNext w:val="true"/>
      <w:numPr>
        <w:ilvl w:val="2"/>
        <w:numId w:val="1"/>
      </w:numPr>
      <w:jc w:val="center"/>
      <w:outlineLvl w:val="2"/>
    </w:pPr>
    <w:rPr>
      <w:sz w:val="22"/>
    </w:rPr>
  </w:style>
  <w:style w:type="paragraph" w:styleId="Heading4">
    <w:name w:val="heading 4"/>
    <w:basedOn w:val="Normal"/>
    <w:next w:val="Normal"/>
    <w:qFormat/>
    <w:pPr>
      <w:keepNext w:val="true"/>
      <w:numPr>
        <w:ilvl w:val="3"/>
        <w:numId w:val="1"/>
      </w:numPr>
      <w:spacing w:before="0" w:after="360"/>
      <w:outlineLvl w:val="3"/>
    </w:pPr>
    <w:rPr>
      <w:sz w:val="24"/>
    </w:rPr>
  </w:style>
  <w:style w:type="paragraph" w:styleId="Heading5">
    <w:name w:val="heading 5"/>
    <w:basedOn w:val="Normal"/>
    <w:next w:val="Normal"/>
    <w:qFormat/>
    <w:pPr>
      <w:keepNext w:val="true"/>
      <w:numPr>
        <w:ilvl w:val="4"/>
        <w:numId w:val="1"/>
      </w:numPr>
      <w:spacing w:before="60" w:after="0"/>
      <w:ind w:hanging="0" w:start="86" w:end="0"/>
      <w:jc w:val="start"/>
      <w:outlineLvl w:val="4"/>
    </w:pPr>
    <w:rPr>
      <w:b/>
    </w:rPr>
  </w:style>
  <w:style w:type="paragraph" w:styleId="Heading6">
    <w:name w:val="heading 6"/>
    <w:basedOn w:val="Normal"/>
    <w:next w:val="Normal"/>
    <w:qFormat/>
    <w:pPr>
      <w:keepNext w:val="true"/>
      <w:numPr>
        <w:ilvl w:val="5"/>
        <w:numId w:val="1"/>
      </w:numPr>
      <w:spacing w:before="60" w:after="0"/>
      <w:ind w:hanging="0" w:start="86" w:end="0"/>
      <w:jc w:val="start"/>
      <w:outlineLvl w:val="5"/>
    </w:pPr>
    <w:rPr>
      <w:b/>
    </w:rPr>
  </w:style>
  <w:style w:type="paragraph" w:styleId="Heading7">
    <w:name w:val="heading 7"/>
    <w:basedOn w:val="Normal"/>
    <w:next w:val="Normal"/>
    <w:qFormat/>
    <w:pPr>
      <w:keepNext w:val="true"/>
      <w:numPr>
        <w:ilvl w:val="6"/>
        <w:numId w:val="1"/>
      </w:numPr>
      <w:spacing w:before="120" w:after="120"/>
      <w:outlineLvl w:val="6"/>
    </w:pPr>
    <w:rPr>
      <w:rFonts w:ascii="Arial Narrow" w:hAnsi="Arial Narrow" w:cs="Arial Narrow"/>
      <w:b/>
      <w:color w:val="000000"/>
      <w:sz w:val="22"/>
    </w:rPr>
  </w:style>
  <w:style w:type="paragraph" w:styleId="Heading8">
    <w:name w:val="heading 8"/>
    <w:basedOn w:val="Normal"/>
    <w:next w:val="Normal"/>
    <w:qFormat/>
    <w:pPr>
      <w:keepNext w:val="true"/>
      <w:numPr>
        <w:ilvl w:val="7"/>
        <w:numId w:val="1"/>
      </w:numPr>
      <w:spacing w:before="120" w:after="0"/>
      <w:outlineLvl w:val="7"/>
    </w:pPr>
    <w:rPr>
      <w:b/>
    </w:rPr>
  </w:style>
  <w:style w:type="paragraph" w:styleId="Heading9">
    <w:name w:val="heading 9"/>
    <w:basedOn w:val="Normal"/>
    <w:next w:val="Normal"/>
    <w:qFormat/>
    <w:pPr>
      <w:keepNext w:val="true"/>
      <w:numPr>
        <w:ilvl w:val="8"/>
        <w:numId w:val="1"/>
      </w:numPr>
      <w:outlineLvl w:val="8"/>
    </w:pPr>
    <w:rPr>
      <w:b/>
      <w:i/>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Symbol" w:hAnsi="Symbol" w:cs="Symbol"/>
      <w:sz w:val="16"/>
    </w:rPr>
  </w:style>
  <w:style w:type="character" w:styleId="WW8Num14z0">
    <w:name w:val="WW8Num14z0"/>
    <w:qFormat/>
    <w:rPr>
      <w:rFonts w:ascii="Symbol" w:hAnsi="Symbol" w:cs="Symbol"/>
      <w:sz w:val="16"/>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1z0">
    <w:name w:val="WW8Num21z0"/>
    <w:qFormat/>
    <w:rPr>
      <w:rFonts w:ascii="Symbol" w:hAnsi="Symbol" w:cs="Symbol"/>
      <w:color w:val="auto"/>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sz w:val="16"/>
    </w:rPr>
  </w:style>
  <w:style w:type="character" w:styleId="WW8Num31z0">
    <w:name w:val="WW8Num31z0"/>
    <w:qFormat/>
    <w:rPr>
      <w:rFonts w:ascii="Symbol" w:hAnsi="Symbol" w:cs="Symbol"/>
      <w:sz w:val="16"/>
    </w:rPr>
  </w:style>
  <w:style w:type="character" w:styleId="WW8Num32z0">
    <w:name w:val="WW8Num32z0"/>
    <w:qFormat/>
    <w:rPr>
      <w:rFonts w:ascii="Symbol" w:hAnsi="Symbol" w:cs="Symbol"/>
      <w:sz w:val="16"/>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sz w:val="16"/>
    </w:rPr>
  </w:style>
  <w:style w:type="character" w:styleId="WW8Num38z0">
    <w:name w:val="WW8Num38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sz w:val="16"/>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Symbol" w:hAnsi="Symbol" w:cs="Symbol"/>
      <w:sz w:val="16"/>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sz w:val="16"/>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2z1">
    <w:name w:val="WW8Num52z1"/>
    <w:qFormat/>
    <w:rPr>
      <w:rFonts w:ascii="Courier New" w:hAnsi="Courier New" w:cs="Courier New"/>
    </w:rPr>
  </w:style>
  <w:style w:type="character" w:styleId="WW8Num52z2">
    <w:name w:val="WW8Num52z2"/>
    <w:qFormat/>
    <w:rPr>
      <w:rFonts w:ascii="Wingdings" w:hAnsi="Wingdings" w:cs="Wingdings"/>
    </w:rPr>
  </w:style>
  <w:style w:type="character" w:styleId="WW8Num53z0">
    <w:name w:val="WW8Num53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style>
  <w:style w:type="character" w:styleId="WW8Num61z0">
    <w:name w:val="WW8Num61z0"/>
    <w:qFormat/>
    <w:rPr>
      <w:rFonts w:ascii="Symbol" w:hAnsi="Symbol" w:cs="Symbol"/>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2z0">
    <w:name w:val="WW8Num62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sz w:val="16"/>
    </w:rPr>
  </w:style>
  <w:style w:type="character" w:styleId="WW8Num72z0">
    <w:name w:val="WW8Num72z0"/>
    <w:qFormat/>
    <w:rPr>
      <w:rFonts w:ascii="Symbol" w:hAnsi="Symbol" w:cs="Symbol"/>
      <w:sz w:val="22"/>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4z1">
    <w:name w:val="WW8Num74z1"/>
    <w:qFormat/>
    <w:rPr>
      <w:rFonts w:ascii="Courier New" w:hAnsi="Courier New" w:cs="Courier New"/>
    </w:rPr>
  </w:style>
  <w:style w:type="character" w:styleId="WW8Num74z2">
    <w:name w:val="WW8Num74z2"/>
    <w:qFormat/>
    <w:rPr>
      <w:rFonts w:ascii="Wingdings" w:hAnsi="Wingdings" w:cs="Wingdings"/>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sz w:val="16"/>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sz w:val="16"/>
    </w:rPr>
  </w:style>
  <w:style w:type="character" w:styleId="WW8Num94z0">
    <w:name w:val="WW8Num94z0"/>
    <w:qFormat/>
    <w:rPr>
      <w:rFonts w:ascii="Symbol" w:hAnsi="Symbol" w:cs="Symbol"/>
    </w:rPr>
  </w:style>
  <w:style w:type="character" w:styleId="WW8Num95z0">
    <w:name w:val="WW8Num95z0"/>
    <w:qFormat/>
    <w:rPr/>
  </w:style>
  <w:style w:type="character" w:styleId="WW8Num96z0">
    <w:name w:val="WW8Num96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b/>
      <w:i w:val="false"/>
      <w:color w:val="FFFFFF"/>
      <w:sz w:val="32"/>
    </w:rPr>
  </w:style>
  <w:style w:type="character" w:styleId="WW8Num101z0">
    <w:name w:val="WW8Num101z0"/>
    <w:qFormat/>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b/>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style>
  <w:style w:type="character" w:styleId="WW8Num112z0">
    <w:name w:val="WW8Num112z0"/>
    <w:qFormat/>
    <w:rPr>
      <w:rFonts w:ascii="Symbol" w:hAnsi="Symbol" w:cs="Symbol"/>
    </w:rPr>
  </w:style>
  <w:style w:type="character" w:styleId="WW8Num113z0">
    <w:name w:val="WW8Num113z0"/>
    <w:qFormat/>
    <w:rPr>
      <w:rFonts w:ascii="Arial Narrow" w:hAnsi="Arial Narrow" w:cs="Arial Narrow"/>
      <w:b/>
      <w:i w:val="false"/>
      <w:sz w:val="18"/>
    </w:rPr>
  </w:style>
  <w:style w:type="character" w:styleId="WW8Num114z0">
    <w:name w:val="WW8Num114z0"/>
    <w:qFormat/>
    <w:rPr>
      <w:rFonts w:ascii="Symbol" w:hAnsi="Symbol" w:cs="Symbol"/>
    </w:rPr>
  </w:style>
  <w:style w:type="character" w:styleId="WW8Num115z0">
    <w:name w:val="WW8Num115z0"/>
    <w:qFormat/>
    <w:rPr>
      <w:rFonts w:ascii="Wingdings" w:hAnsi="Wingdings" w:cs="Wingdings"/>
    </w:rPr>
  </w:style>
  <w:style w:type="character" w:styleId="WW8Num117z0">
    <w:name w:val="WW8Num117z0"/>
    <w:qFormat/>
    <w:rPr>
      <w:rFonts w:ascii="Symbol" w:hAnsi="Symbol" w:cs="Symbol"/>
      <w:sz w:val="16"/>
    </w:rPr>
  </w:style>
  <w:style w:type="character" w:styleId="WW8Num119z0">
    <w:name w:val="WW8Num119z0"/>
    <w:qFormat/>
    <w:rPr>
      <w:rFonts w:ascii="Symbol" w:hAnsi="Symbol" w:cs="Symbol"/>
      <w:color w:val="auto"/>
    </w:rPr>
  </w:style>
  <w:style w:type="character" w:styleId="WW8Num121z0">
    <w:name w:val="WW8Num121z0"/>
    <w:qFormat/>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sz w:val="22"/>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color w:val="auto"/>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b w:val="false"/>
      <w:i w:val="false"/>
    </w:rPr>
  </w:style>
  <w:style w:type="character" w:styleId="WW8Num141z0">
    <w:name w:val="WW8Num141z0"/>
    <w:qFormat/>
    <w:rPr>
      <w:rFonts w:ascii="Symbol" w:hAnsi="Symbol" w:cs="Symbol"/>
    </w:rPr>
  </w:style>
  <w:style w:type="character" w:styleId="WW8Num143z0">
    <w:name w:val="WW8Num143z0"/>
    <w:qFormat/>
    <w:rPr>
      <w:rFonts w:ascii="Symbol" w:hAnsi="Symbol" w:cs="Symbol"/>
    </w:rPr>
  </w:style>
  <w:style w:type="character" w:styleId="WW8Num145z0">
    <w:name w:val="WW8Num145z0"/>
    <w:qFormat/>
    <w:rPr>
      <w:b/>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style>
  <w:style w:type="character" w:styleId="WW8Num150z0">
    <w:name w:val="WW8Num150z0"/>
    <w:qFormat/>
    <w:rPr>
      <w:rFonts w:ascii="Symbol" w:hAnsi="Symbol" w:cs="Symbol"/>
    </w:rPr>
  </w:style>
  <w:style w:type="character" w:styleId="WW8Num153z0">
    <w:name w:val="WW8Num153z0"/>
    <w:qFormat/>
    <w:rPr>
      <w:rFonts w:ascii="Symbol" w:hAnsi="Symbol" w:cs="Symbol"/>
      <w:sz w:val="16"/>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5z1">
    <w:name w:val="WW8Num155z1"/>
    <w:qFormat/>
    <w:rPr>
      <w:rFonts w:ascii="Courier New" w:hAnsi="Courier New" w:cs="Courier New"/>
    </w:rPr>
  </w:style>
  <w:style w:type="character" w:styleId="WW8Num155z2">
    <w:name w:val="WW8Num155z2"/>
    <w:qFormat/>
    <w:rPr>
      <w:rFonts w:ascii="Wingdings" w:hAnsi="Wingdings" w:cs="Wingdings"/>
    </w:rPr>
  </w:style>
  <w:style w:type="character" w:styleId="WW8Num156z0">
    <w:name w:val="WW8Num156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1z1">
    <w:name w:val="WW8Num161z1"/>
    <w:qFormat/>
    <w:rPr>
      <w:rFonts w:ascii="Courier New" w:hAnsi="Courier New" w:cs="Courier New"/>
    </w:rPr>
  </w:style>
  <w:style w:type="character" w:styleId="WW8Num161z2">
    <w:name w:val="WW8Num161z2"/>
    <w:qFormat/>
    <w:rPr>
      <w:rFonts w:ascii="Wingdings" w:hAnsi="Wingdings" w:cs="Wingdings"/>
    </w:rPr>
  </w:style>
  <w:style w:type="character" w:styleId="WW8Num162z0">
    <w:name w:val="WW8Num162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8z1">
    <w:name w:val="WW8Num168z1"/>
    <w:qFormat/>
    <w:rPr>
      <w:rFonts w:ascii="Courier New" w:hAnsi="Courier New" w:cs="Courier New"/>
    </w:rPr>
  </w:style>
  <w:style w:type="character" w:styleId="WW8Num168z2">
    <w:name w:val="WW8Num168z2"/>
    <w:qFormat/>
    <w:rPr>
      <w:rFonts w:ascii="Wingdings" w:hAnsi="Wingdings" w:cs="Wingdings"/>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sz w:val="22"/>
    </w:rPr>
  </w:style>
  <w:style w:type="character" w:styleId="WW8Num175z0">
    <w:name w:val="WW8Num175z0"/>
    <w:qFormat/>
    <w:rPr>
      <w:rFonts w:ascii="Symbol" w:hAnsi="Symbol" w:cs="Symbol"/>
      <w:sz w:val="16"/>
    </w:rPr>
  </w:style>
  <w:style w:type="character" w:styleId="WW8Num176z0">
    <w:name w:val="WW8Num176z0"/>
    <w:qFormat/>
    <w:rPr>
      <w:rFonts w:ascii="Symbol" w:hAnsi="Symbol" w:cs="Symbol"/>
      <w:sz w:val="16"/>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8z1">
    <w:name w:val="WW8Num178z1"/>
    <w:qFormat/>
    <w:rPr>
      <w:rFonts w:ascii="Courier New" w:hAnsi="Courier New" w:cs="Courier New"/>
    </w:rPr>
  </w:style>
  <w:style w:type="character" w:styleId="WW8Num178z2">
    <w:name w:val="WW8Num178z2"/>
    <w:qFormat/>
    <w:rPr>
      <w:rFonts w:ascii="Wingdings" w:hAnsi="Wingdings" w:cs="Wingdings"/>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sz w:val="16"/>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Wingdings" w:hAnsi="Wingdings" w:cs="Wingdings"/>
    </w:rPr>
  </w:style>
  <w:style w:type="character" w:styleId="WW8Num189z1">
    <w:name w:val="WW8Num189z1"/>
    <w:qFormat/>
    <w:rPr>
      <w:rFonts w:ascii="Courier New" w:hAnsi="Courier New" w:cs="Courier New"/>
    </w:rPr>
  </w:style>
  <w:style w:type="character" w:styleId="WW8Num189z3">
    <w:name w:val="WW8Num189z3"/>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style>
  <w:style w:type="character" w:styleId="WW8Num196z0">
    <w:name w:val="WW8Num196z0"/>
    <w:qFormat/>
    <w:rPr>
      <w:b/>
      <w:i w:val="false"/>
      <w:color w:val="FFFFFF"/>
      <w:sz w:val="32"/>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0z1">
    <w:name w:val="WW8Num200z1"/>
    <w:qFormat/>
    <w:rPr>
      <w:rFonts w:ascii="Courier New" w:hAnsi="Courier New" w:cs="Courier New"/>
    </w:rPr>
  </w:style>
  <w:style w:type="character" w:styleId="WW8Num200z2">
    <w:name w:val="WW8Num200z2"/>
    <w:qFormat/>
    <w:rPr>
      <w:rFonts w:ascii="Wingdings" w:hAnsi="Wingdings" w:cs="Wingdings"/>
    </w:rPr>
  </w:style>
  <w:style w:type="character" w:styleId="WW8Num201z0">
    <w:name w:val="WW8Num201z0"/>
    <w:qFormat/>
    <w:rPr>
      <w:rFonts w:ascii="Wingdings" w:hAnsi="Wingdings" w:cs="Wingdings"/>
    </w:rPr>
  </w:style>
  <w:style w:type="character" w:styleId="WW8Num201z1">
    <w:name w:val="WW8Num201z1"/>
    <w:qFormat/>
    <w:rPr>
      <w:rFonts w:ascii="Courier New" w:hAnsi="Courier New" w:cs="Courier New"/>
    </w:rPr>
  </w:style>
  <w:style w:type="character" w:styleId="WW8Num201z3">
    <w:name w:val="WW8Num201z3"/>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b/>
      <w:i w:val="false"/>
      <w:color w:val="FFFFFF"/>
      <w:sz w:val="32"/>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4z1">
    <w:name w:val="WW8Num214z1"/>
    <w:qFormat/>
    <w:rPr>
      <w:rFonts w:ascii="Courier New" w:hAnsi="Courier New" w:cs="Courier New"/>
    </w:rPr>
  </w:style>
  <w:style w:type="character" w:styleId="WW8Num214z2">
    <w:name w:val="WW8Num214z2"/>
    <w:qFormat/>
    <w:rPr>
      <w:rFonts w:ascii="Wingdings" w:hAnsi="Wingdings" w:cs="Wingdings"/>
    </w:rPr>
  </w:style>
  <w:style w:type="character" w:styleId="WW8Num215z0">
    <w:name w:val="WW8Num215z0"/>
    <w:qFormat/>
    <w:rPr>
      <w:b/>
    </w:rPr>
  </w:style>
  <w:style w:type="character" w:styleId="WW8Num216z0">
    <w:name w:val="WW8Num216z0"/>
    <w:qFormat/>
    <w:rPr>
      <w:rFonts w:ascii="Symbol" w:hAnsi="Symbol" w:cs="Symbol"/>
    </w:rPr>
  </w:style>
  <w:style w:type="character" w:styleId="WW8Num217z0">
    <w:name w:val="WW8Num217z0"/>
    <w:qFormat/>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19z1">
    <w:name w:val="WW8Num219z1"/>
    <w:qFormat/>
    <w:rPr>
      <w:rFonts w:ascii="Courier New" w:hAnsi="Courier New" w:cs="Courier New"/>
    </w:rPr>
  </w:style>
  <w:style w:type="character" w:styleId="WW8Num219z2">
    <w:name w:val="WW8Num219z2"/>
    <w:qFormat/>
    <w:rPr>
      <w:rFonts w:ascii="Wingdings" w:hAnsi="Wingdings" w:cs="Wingdings"/>
    </w:rPr>
  </w:style>
  <w:style w:type="character" w:styleId="WW8Num220z0">
    <w:name w:val="WW8Num220z0"/>
    <w:qFormat/>
    <w:rPr>
      <w:rFonts w:ascii="Symbol" w:hAnsi="Symbol" w:cs="Symbol"/>
    </w:rPr>
  </w:style>
  <w:style w:type="character" w:styleId="WW8Num220z1">
    <w:name w:val="WW8Num220z1"/>
    <w:qFormat/>
    <w:rPr>
      <w:rFonts w:ascii="Courier New" w:hAnsi="Courier New" w:cs="Courier New"/>
    </w:rPr>
  </w:style>
  <w:style w:type="character" w:styleId="WW8Num220z2">
    <w:name w:val="WW8Num220z2"/>
    <w:qFormat/>
    <w:rPr>
      <w:rFonts w:ascii="Wingdings" w:hAnsi="Wingdings" w:cs="Wingdings"/>
    </w:rPr>
  </w:style>
  <w:style w:type="character" w:styleId="WW8Num221z0">
    <w:name w:val="WW8Num221z0"/>
    <w:qFormat/>
    <w:rPr>
      <w:rFonts w:ascii="Symbol" w:hAnsi="Symbol" w:cs="Symbol"/>
    </w:rPr>
  </w:style>
  <w:style w:type="character" w:styleId="WW8Num222z0">
    <w:name w:val="WW8Num222z0"/>
    <w:qFormat/>
    <w:rPr/>
  </w:style>
  <w:style w:type="character" w:styleId="WW8Num223z0">
    <w:name w:val="WW8Num223z0"/>
    <w:qFormat/>
    <w:rPr/>
  </w:style>
  <w:style w:type="character" w:styleId="WW8Num224z0">
    <w:name w:val="WW8Num224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1">
    <w:name w:val="WW8Num230z1"/>
    <w:qFormat/>
    <w:rPr>
      <w:b w:val="false"/>
      <w:i w:val="false"/>
    </w:rPr>
  </w:style>
  <w:style w:type="character" w:styleId="WW8Num233z0">
    <w:name w:val="WW8Num233z0"/>
    <w:qFormat/>
    <w:rPr>
      <w:rFonts w:ascii="Symbol" w:hAnsi="Symbol" w:cs="Symbol"/>
    </w:rPr>
  </w:style>
  <w:style w:type="character" w:styleId="WW8Num233z1">
    <w:name w:val="WW8Num233z1"/>
    <w:qFormat/>
    <w:rPr>
      <w:rFonts w:ascii="Courier New" w:hAnsi="Courier New" w:cs="Courier New"/>
    </w:rPr>
  </w:style>
  <w:style w:type="character" w:styleId="WW8Num233z2">
    <w:name w:val="WW8Num233z2"/>
    <w:qFormat/>
    <w:rPr>
      <w:rFonts w:ascii="Wingdings" w:hAnsi="Wingdings" w:cs="Wingdings"/>
    </w:rPr>
  </w:style>
  <w:style w:type="character" w:styleId="WW8Num234z0">
    <w:name w:val="WW8Num234z0"/>
    <w:qFormat/>
    <w:rPr>
      <w:rFonts w:ascii="Symbol" w:hAnsi="Symbol" w:cs="Symbol"/>
    </w:rPr>
  </w:style>
  <w:style w:type="character" w:styleId="WW8Num235z0">
    <w:name w:val="WW8Num235z0"/>
    <w:qFormat/>
    <w:rPr>
      <w:rFonts w:ascii="Symbol" w:hAnsi="Symbol" w:cs="Symbol"/>
      <w:sz w:val="16"/>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sz w:val="16"/>
    </w:rPr>
  </w:style>
  <w:style w:type="character" w:styleId="WW8Num240z0">
    <w:name w:val="WW8Num240z0"/>
    <w:qFormat/>
    <w:rPr>
      <w:rFonts w:ascii="Symbol" w:hAnsi="Symbol" w:cs="Symbol"/>
    </w:rPr>
  </w:style>
  <w:style w:type="character" w:styleId="WW8Num240z1">
    <w:name w:val="WW8Num240z1"/>
    <w:qFormat/>
    <w:rPr>
      <w:rFonts w:ascii="Courier New" w:hAnsi="Courier New" w:cs="Courier New"/>
    </w:rPr>
  </w:style>
  <w:style w:type="character" w:styleId="WW8Num240z2">
    <w:name w:val="WW8Num240z2"/>
    <w:qFormat/>
    <w:rPr>
      <w:rFonts w:ascii="Wingdings" w:hAnsi="Wingdings" w:cs="Wingdings"/>
    </w:rPr>
  </w:style>
  <w:style w:type="character" w:styleId="WW8Num241z0">
    <w:name w:val="WW8Num241z0"/>
    <w:qFormat/>
    <w:rPr>
      <w:rFonts w:ascii="Symbol" w:hAnsi="Symbol" w:cs="Symbol"/>
    </w:rPr>
  </w:style>
  <w:style w:type="character" w:styleId="WW8Num242z0">
    <w:name w:val="WW8Num242z0"/>
    <w:qFormat/>
    <w:rPr>
      <w:rFonts w:ascii="Symbol" w:hAnsi="Symbol" w:cs="Symbol"/>
      <w:sz w:val="16"/>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7z1">
    <w:name w:val="WW8Num247z1"/>
    <w:qFormat/>
    <w:rPr>
      <w:b w:val="false"/>
      <w:i w:val="false"/>
    </w:rPr>
  </w:style>
  <w:style w:type="character" w:styleId="WW8Num248z0">
    <w:name w:val="WW8Num248z0"/>
    <w:qFormat/>
    <w:rPr>
      <w:rFonts w:ascii="Symbol" w:hAnsi="Symbol" w:cs="Symbol"/>
    </w:rPr>
  </w:style>
  <w:style w:type="character" w:styleId="WW8Num249z0">
    <w:name w:val="WW8Num249z0"/>
    <w:qFormat/>
    <w:rPr>
      <w:b/>
      <w:i w:val="false"/>
      <w:color w:val="FFFFFF"/>
      <w:sz w:val="32"/>
    </w:rPr>
  </w:style>
  <w:style w:type="character" w:styleId="WW8Num250z0">
    <w:name w:val="WW8Num250z0"/>
    <w:qFormat/>
    <w:rPr>
      <w:rFonts w:ascii="Symbol" w:hAnsi="Symbol" w:cs="Symbol"/>
    </w:rPr>
  </w:style>
  <w:style w:type="character" w:styleId="WW8Num251z0">
    <w:name w:val="WW8Num251z0"/>
    <w:qFormat/>
    <w:rPr/>
  </w:style>
  <w:style w:type="character" w:styleId="WW8Num252z0">
    <w:name w:val="WW8Num252z0"/>
    <w:qFormat/>
    <w:rPr>
      <w:rFonts w:ascii="Symbol" w:hAnsi="Symbol" w:cs="Symbol"/>
      <w:sz w:val="16"/>
    </w:rPr>
  </w:style>
  <w:style w:type="character" w:styleId="WW8Num253z0">
    <w:name w:val="WW8Num253z0"/>
    <w:qFormat/>
    <w:rPr>
      <w:rFonts w:ascii="Symbol" w:hAnsi="Symbol" w:cs="Symbol"/>
    </w:rPr>
  </w:style>
  <w:style w:type="character" w:styleId="WW8Num253z1">
    <w:name w:val="WW8Num253z1"/>
    <w:qFormat/>
    <w:rPr>
      <w:rFonts w:ascii="Courier New" w:hAnsi="Courier New" w:cs="Courier New"/>
    </w:rPr>
  </w:style>
  <w:style w:type="character" w:styleId="WW8Num253z2">
    <w:name w:val="WW8Num253z2"/>
    <w:qFormat/>
    <w:rPr>
      <w:rFonts w:ascii="Wingdings" w:hAnsi="Wingdings" w:cs="Wingdings"/>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style>
  <w:style w:type="character" w:styleId="WW8Num257z0">
    <w:name w:val="WW8Num257z0"/>
    <w:qFormat/>
    <w:rPr>
      <w:rFonts w:ascii="Symbol" w:hAnsi="Symbol" w:cs="Symbol"/>
      <w:sz w:val="16"/>
    </w:rPr>
  </w:style>
  <w:style w:type="character" w:styleId="WW8Num258z0">
    <w:name w:val="WW8Num258z0"/>
    <w:qFormat/>
    <w:rPr>
      <w:rFonts w:ascii="Symbol" w:hAnsi="Symbol" w:cs="Symbol"/>
    </w:rPr>
  </w:style>
  <w:style w:type="character" w:styleId="WW8Num258z1">
    <w:name w:val="WW8Num258z1"/>
    <w:qFormat/>
    <w:rPr>
      <w:rFonts w:ascii="Courier New" w:hAnsi="Courier New" w:cs="Courier New"/>
    </w:rPr>
  </w:style>
  <w:style w:type="character" w:styleId="WW8Num258z2">
    <w:name w:val="WW8Num258z2"/>
    <w:qFormat/>
    <w:rPr>
      <w:rFonts w:ascii="Wingdings" w:hAnsi="Wingdings" w:cs="Wingdings"/>
    </w:rPr>
  </w:style>
  <w:style w:type="character" w:styleId="WW8Num259z0">
    <w:name w:val="WW8Num259z0"/>
    <w:qFormat/>
    <w:rPr>
      <w:rFonts w:ascii="Symbol" w:hAnsi="Symbol" w:cs="Symbol"/>
    </w:rPr>
  </w:style>
  <w:style w:type="character" w:styleId="WW8Num260z0">
    <w:name w:val="WW8Num260z0"/>
    <w:qFormat/>
    <w:rPr>
      <w:rFonts w:ascii="Times New Roman" w:hAnsi="Times New Roman" w:cs="Times New Roman"/>
    </w:rPr>
  </w:style>
  <w:style w:type="character" w:styleId="WW8Num261z0">
    <w:name w:val="WW8Num261z0"/>
    <w:qFormat/>
    <w:rPr>
      <w:rFonts w:ascii="Symbol" w:hAnsi="Symbol" w:cs="Symbol"/>
    </w:rPr>
  </w:style>
  <w:style w:type="character" w:styleId="WW8Num262z0">
    <w:name w:val="WW8Num262z0"/>
    <w:qFormat/>
    <w:rPr>
      <w:rFonts w:ascii="Wingdings" w:hAnsi="Wingdings" w:cs="Wingdings"/>
    </w:rPr>
  </w:style>
  <w:style w:type="character" w:styleId="WW8Num262z1">
    <w:name w:val="WW8Num262z1"/>
    <w:qFormat/>
    <w:rPr>
      <w:rFonts w:ascii="Courier New" w:hAnsi="Courier New" w:cs="Courier New"/>
    </w:rPr>
  </w:style>
  <w:style w:type="character" w:styleId="WW8Num262z3">
    <w:name w:val="WW8Num262z3"/>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7z0">
    <w:name w:val="WW8Num267z0"/>
    <w:qFormat/>
    <w:rPr>
      <w:rFonts w:ascii="Symbol" w:hAnsi="Symbol" w:cs="Symbol"/>
    </w:rPr>
  </w:style>
  <w:style w:type="character" w:styleId="WW8Num269z0">
    <w:name w:val="WW8Num269z0"/>
    <w:qFormat/>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5z0">
    <w:name w:val="WW8Num275z0"/>
    <w:qFormat/>
    <w:rPr>
      <w:rFonts w:ascii="Symbol" w:hAnsi="Symbol" w:cs="Symbol"/>
    </w:rPr>
  </w:style>
  <w:style w:type="character" w:styleId="WW8Num276z0">
    <w:name w:val="WW8Num276z0"/>
    <w:qFormat/>
    <w:rPr>
      <w:rFonts w:ascii="Symbol" w:hAnsi="Symbol" w:cs="Symbol"/>
    </w:rPr>
  </w:style>
  <w:style w:type="character" w:styleId="WW8Num277z0">
    <w:name w:val="WW8Num277z0"/>
    <w:qFormat/>
    <w:rPr>
      <w:rFonts w:ascii="Symbol" w:hAnsi="Symbol" w:cs="Symbol"/>
    </w:rPr>
  </w:style>
  <w:style w:type="character" w:styleId="WW8Num279z0">
    <w:name w:val="WW8Num279z0"/>
    <w:qFormat/>
    <w:rPr>
      <w:rFonts w:ascii="Symbol" w:hAnsi="Symbol" w:cs="Symbol"/>
    </w:rPr>
  </w:style>
  <w:style w:type="character" w:styleId="WW8Num280z0">
    <w:name w:val="WW8Num280z0"/>
    <w:qFormat/>
    <w:rPr>
      <w:rFonts w:ascii="Symbol" w:hAnsi="Symbol" w:cs="Symbol"/>
      <w:sz w:val="16"/>
    </w:rPr>
  </w:style>
  <w:style w:type="character" w:styleId="WW8Num281z0">
    <w:name w:val="WW8Num281z0"/>
    <w:qFormat/>
    <w:rPr>
      <w:rFonts w:ascii="Symbol" w:hAnsi="Symbol" w:cs="Symbol"/>
    </w:rPr>
  </w:style>
  <w:style w:type="character" w:styleId="WW8Num282z0">
    <w:name w:val="WW8Num282z0"/>
    <w:qFormat/>
    <w:rPr>
      <w:b/>
      <w:i w:val="false"/>
      <w:color w:val="FFFFFF"/>
      <w:sz w:val="32"/>
    </w:rPr>
  </w:style>
  <w:style w:type="character" w:styleId="WW8Num283z0">
    <w:name w:val="WW8Num283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rFonts w:ascii="Symbol" w:hAnsi="Symbol" w:cs="Symbol"/>
      <w:sz w:val="16"/>
    </w:rPr>
  </w:style>
  <w:style w:type="character" w:styleId="WW8Num287z0">
    <w:name w:val="WW8Num287z0"/>
    <w:qFormat/>
    <w:rPr>
      <w:rFonts w:ascii="Symbol" w:hAnsi="Symbol" w:cs="Symbol"/>
    </w:rPr>
  </w:style>
  <w:style w:type="character" w:styleId="WW8Num288z0">
    <w:name w:val="WW8Num288z0"/>
    <w:qFormat/>
    <w:rPr>
      <w:rFonts w:ascii="Symbol" w:hAnsi="Symbol" w:cs="Symbol"/>
      <w:color w:val="auto"/>
    </w:rPr>
  </w:style>
  <w:style w:type="character" w:styleId="WW8Num289z0">
    <w:name w:val="WW8Num289z0"/>
    <w:qFormat/>
    <w:rPr>
      <w:rFonts w:ascii="Symbol" w:hAnsi="Symbol" w:cs="Symbol"/>
    </w:rPr>
  </w:style>
  <w:style w:type="character" w:styleId="WW8Num290z0">
    <w:name w:val="WW8Num290z0"/>
    <w:qFormat/>
    <w:rPr>
      <w:rFonts w:ascii="Symbol" w:hAnsi="Symbol" w:cs="Symbol"/>
    </w:rPr>
  </w:style>
  <w:style w:type="character" w:styleId="WW8Num294z0">
    <w:name w:val="WW8Num294z0"/>
    <w:qFormat/>
    <w:rPr>
      <w:rFonts w:ascii="Symbol" w:hAnsi="Symbol" w:cs="Symbol"/>
    </w:rPr>
  </w:style>
  <w:style w:type="character" w:styleId="WW8Num295z0">
    <w:name w:val="WW8Num295z0"/>
    <w:qFormat/>
    <w:rPr>
      <w:rFonts w:ascii="Symbol" w:hAnsi="Symbol" w:cs="Symbol"/>
      <w:sz w:val="16"/>
    </w:rPr>
  </w:style>
  <w:style w:type="character" w:styleId="WW8Num297z0">
    <w:name w:val="WW8Num297z0"/>
    <w:qFormat/>
    <w:rPr/>
  </w:style>
  <w:style w:type="character" w:styleId="WW8Num298z0">
    <w:name w:val="WW8Num298z0"/>
    <w:qFormat/>
    <w:rPr>
      <w:rFonts w:ascii="Symbol" w:hAnsi="Symbol" w:cs="Symbol"/>
      <w:color w:val="auto"/>
    </w:rPr>
  </w:style>
  <w:style w:type="character" w:styleId="WW8Num299z0">
    <w:name w:val="WW8Num299z0"/>
    <w:qFormat/>
    <w:rPr>
      <w:rFonts w:ascii="Symbol" w:hAnsi="Symbol" w:cs="Symbol"/>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rFonts w:ascii="Symbol" w:hAnsi="Symbol" w:cs="Symbol"/>
      <w:sz w:val="16"/>
    </w:rPr>
  </w:style>
  <w:style w:type="character" w:styleId="WW8Num306z0">
    <w:name w:val="WW8Num306z0"/>
    <w:qFormat/>
    <w:rPr>
      <w:rFonts w:ascii="Symbol" w:hAnsi="Symbol" w:cs="Symbol"/>
    </w:rPr>
  </w:style>
  <w:style w:type="character" w:styleId="WW8Num307z0">
    <w:name w:val="WW8Num307z0"/>
    <w:qFormat/>
    <w:rPr/>
  </w:style>
  <w:style w:type="character" w:styleId="WW8Num308z0">
    <w:name w:val="WW8Num308z0"/>
    <w:qFormat/>
    <w:rPr>
      <w:rFonts w:ascii="Times New Roman" w:hAnsi="Times New Roman" w:cs="Times New Roman"/>
    </w:rPr>
  </w:style>
  <w:style w:type="character" w:styleId="WW8Num309z0">
    <w:name w:val="WW8Num309z0"/>
    <w:qFormat/>
    <w:rPr>
      <w:rFonts w:ascii="Symbol" w:hAnsi="Symbol" w:cs="Symbol"/>
    </w:rPr>
  </w:style>
  <w:style w:type="character" w:styleId="WW8Num310z0">
    <w:name w:val="WW8Num310z0"/>
    <w:qFormat/>
    <w:rPr>
      <w:rFonts w:ascii="Wingdings" w:hAnsi="Wingdings" w:cs="Wingdings"/>
      <w:sz w:val="22"/>
    </w:rPr>
  </w:style>
  <w:style w:type="character" w:styleId="WW8Num311z0">
    <w:name w:val="WW8Num311z0"/>
    <w:qFormat/>
    <w:rPr>
      <w:rFonts w:ascii="Symbol" w:hAnsi="Symbol" w:cs="Symbol"/>
      <w:color w:val="auto"/>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rFonts w:ascii="Symbol" w:hAnsi="Symbol" w:cs="Symbol"/>
      <w:sz w:val="16"/>
    </w:rPr>
  </w:style>
  <w:style w:type="character" w:styleId="WW8Num316z0">
    <w:name w:val="WW8Num316z0"/>
    <w:qFormat/>
    <w:rPr/>
  </w:style>
  <w:style w:type="character" w:styleId="WW8Num317z0">
    <w:name w:val="WW8Num317z0"/>
    <w:qFormat/>
    <w:rPr>
      <w:b/>
      <w:i w:val="false"/>
    </w:rPr>
  </w:style>
  <w:style w:type="character" w:styleId="WW8Num318z0">
    <w:name w:val="WW8Num318z0"/>
    <w:qFormat/>
    <w:rPr>
      <w:rFonts w:ascii="Wingdings" w:hAnsi="Wingdings" w:cs="Wingdings"/>
    </w:rPr>
  </w:style>
  <w:style w:type="character" w:styleId="WW8Num318z1">
    <w:name w:val="WW8Num318z1"/>
    <w:qFormat/>
    <w:rPr>
      <w:rFonts w:ascii="Courier New" w:hAnsi="Courier New" w:cs="Courier New"/>
    </w:rPr>
  </w:style>
  <w:style w:type="character" w:styleId="WW8Num318z3">
    <w:name w:val="WW8Num318z3"/>
    <w:qFormat/>
    <w:rPr>
      <w:rFonts w:ascii="Symbol" w:hAnsi="Symbol" w:cs="Symbol"/>
    </w:rPr>
  </w:style>
  <w:style w:type="character" w:styleId="WW8NumSt57z0">
    <w:name w:val="WW8NumSt57z0"/>
    <w:qFormat/>
    <w:rPr>
      <w:rFonts w:ascii="Bookshelf Symbol 3;Symbol" w:hAnsi="Bookshelf Symbol 3;Symbol" w:cs="Bookshelf Symbol 3;Symbol"/>
    </w:rPr>
  </w:style>
  <w:style w:type="character" w:styleId="WW8NumSt115z0">
    <w:name w:val="WW8NumSt115z0"/>
    <w:qFormat/>
    <w:rPr>
      <w:rFonts w:ascii="Symbol" w:hAnsi="Symbol" w:cs="Symbol"/>
    </w:rPr>
  </w:style>
  <w:style w:type="character" w:styleId="WW8NumSt204z0">
    <w:name w:val="WW8NumSt204z0"/>
    <w:qFormat/>
    <w:rPr>
      <w:rFonts w:ascii="Symbol" w:hAnsi="Symbol" w:cs="Symbol"/>
    </w:rPr>
  </w:style>
  <w:style w:type="character" w:styleId="WW8NumSt221z0">
    <w:name w:val="WW8NumSt221z0"/>
    <w:qFormat/>
    <w:rPr>
      <w:rFonts w:ascii="Symbol" w:hAnsi="Symbol" w:cs="Symbol"/>
    </w:rPr>
  </w:style>
  <w:style w:type="character" w:styleId="DefaultParagraphFont">
    <w:name w:val="Default Paragraph Font"/>
    <w:qFormat/>
    <w:rPr/>
  </w:style>
  <w:style w:type="character" w:styleId="Head4">
    <w:name w:val="Head4"/>
    <w:basedOn w:val="DefaultParagraphFont"/>
    <w:qFormat/>
    <w:rPr>
      <w:rFonts w:ascii="Arial" w:hAnsi="Arial" w:cs="Arial"/>
      <w:b/>
      <w:sz w:val="20"/>
      <w:lang w:val="en-US"/>
    </w:rPr>
  </w:style>
  <w:style w:type="character" w:styleId="Location">
    <w:name w:val="Location"/>
    <w:qFormat/>
    <w:rPr>
      <w:sz w:val="16"/>
      <w:lang w:val="en-US"/>
    </w:rPr>
  </w:style>
  <w:style w:type="character" w:styleId="Marker">
    <w:name w:val="Marker"/>
    <w:basedOn w:val="DefaultParagraphFont"/>
    <w:qFormat/>
    <w:rPr>
      <w:rFonts w:ascii="Arial" w:hAnsi="Arial" w:cs="Arial"/>
      <w:b/>
      <w:caps/>
      <w:vanish/>
      <w:color w:val="FF0000"/>
      <w:sz w:val="16"/>
      <w:lang w:val="en-US"/>
    </w:rPr>
  </w:style>
  <w:style w:type="character" w:styleId="PageNumber">
    <w:name w:val="page number"/>
    <w:basedOn w:val="DefaultParagraphFont"/>
    <w:rPr/>
  </w:style>
  <w:style w:type="character" w:styleId="DataBoxDate">
    <w:name w:val="DataBoxDate"/>
    <w:basedOn w:val="DefaultParagraphFont"/>
    <w:qFormat/>
    <w:rPr>
      <w:rFonts w:ascii="Arial Narrow" w:hAnsi="Arial Narrow" w:cs="Arial Narrow"/>
      <w:b/>
      <w:sz w:val="18"/>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Arrow">
    <w:name w:val="Arrow"/>
    <w:basedOn w:val="DefaultParagraphFont"/>
    <w:qFormat/>
    <w:rPr>
      <w:rFonts w:ascii="Arial" w:hAnsi="Arial" w:cs="Arial"/>
      <w:b/>
      <w:sz w:val="28"/>
      <w:lang w:val="en-US"/>
    </w:rPr>
  </w:style>
  <w:style w:type="character" w:styleId="Hyperlink">
    <w:name w:val="Hyperlink"/>
    <w:basedOn w:val="DefaultParagraphFont"/>
    <w:rPr>
      <w:color w:val="0000FF"/>
      <w:u w:val="single"/>
    </w:rPr>
  </w:style>
  <w:style w:type="paragraph" w:styleId="Heading">
    <w:name w:val="Heading"/>
    <w:basedOn w:val="Normal"/>
    <w:next w:val="BodyText"/>
    <w:qFormat/>
    <w:pPr>
      <w:spacing w:before="0" w:after="0"/>
      <w:jc w:val="center"/>
    </w:pPr>
    <w:rPr>
      <w:b/>
      <w:sz w:val="24"/>
    </w:rPr>
  </w:style>
  <w:style w:type="paragraph" w:styleId="BodyText">
    <w:name w:val="Body Text"/>
    <w:basedOn w:val="Normal"/>
    <w:pPr>
      <w:jc w:val="start"/>
    </w:pPr>
    <w:rPr>
      <w:rFonts w:ascii="Arial Narrow" w:hAnsi="Arial Narrow" w:cs="Arial Narrow"/>
      <w:color w:val="000000"/>
      <w:sz w:val="22"/>
    </w:rPr>
  </w:style>
  <w:style w:type="paragraph" w:styleId="List">
    <w:name w:val="List"/>
    <w:basedOn w:val="Normal"/>
    <w:pPr>
      <w:spacing w:before="0" w:after="0"/>
      <w:ind w:hanging="360" w:start="360" w:end="0"/>
      <w:jc w:val="start"/>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lHead">
    <w:name w:val="TableColHead"/>
    <w:basedOn w:val="Normal"/>
    <w:qFormat/>
    <w:pPr>
      <w:keepNext w:val="true"/>
      <w:keepLines/>
      <w:spacing w:before="0" w:after="0"/>
      <w:jc w:val="start"/>
    </w:pPr>
    <w:rPr>
      <w:rFonts w:ascii="Arial Narrow" w:hAnsi="Arial Narrow" w:cs="Arial Narrow"/>
      <w:b/>
      <w:sz w:val="16"/>
    </w:rPr>
  </w:style>
  <w:style w:type="paragraph" w:styleId="Address">
    <w:name w:val="Address"/>
    <w:basedOn w:val="Normal"/>
    <w:next w:val="Normal"/>
    <w:qFormat/>
    <w:pPr>
      <w:spacing w:before="0" w:after="240"/>
      <w:jc w:val="star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7655" w:leader="none"/>
      </w:tabs>
      <w:spacing w:before="0" w:after="0"/>
      <w:ind w:hanging="0" w:start="-2376" w:end="0"/>
      <w:jc w:val="start"/>
    </w:pPr>
    <w:rPr/>
  </w:style>
  <w:style w:type="paragraph" w:styleId="Disclaimer">
    <w:name w:val="Disclaimer"/>
    <w:basedOn w:val="Normal"/>
    <w:qFormat/>
    <w:pPr>
      <w:pBdr>
        <w:top w:val="single" w:sz="6" w:space="4" w:color="000000"/>
      </w:pBdr>
      <w:spacing w:before="0" w:after="60"/>
    </w:pPr>
    <w:rPr>
      <w:rFonts w:ascii="Arial Narrow" w:hAnsi="Arial Narrow" w:cs="Arial Narrow"/>
      <w:sz w:val="16"/>
    </w:rPr>
  </w:style>
  <w:style w:type="paragraph" w:styleId="FooterRegular">
    <w:name w:val="Footer Regular"/>
    <w:basedOn w:val="Footer"/>
    <w:qFormat/>
    <w:pPr>
      <w:pBdr>
        <w:top w:val="single" w:sz="6" w:space="1" w:color="000000"/>
      </w:pBdr>
      <w:tabs>
        <w:tab w:val="clear" w:pos="7655"/>
      </w:tabs>
      <w:jc w:val="center"/>
    </w:pPr>
    <w:rPr/>
  </w:style>
  <w:style w:type="paragraph" w:styleId="HeaderLogoEvenPg">
    <w:name w:val="Header Logo Even Pg"/>
    <w:basedOn w:val="Normal"/>
    <w:qFormat/>
    <w:pPr>
      <w:keepNext w:val="true"/>
      <w:pBdr>
        <w:bottom w:val="single" w:sz="6" w:space="6" w:color="000000"/>
      </w:pBdr>
      <w:tabs>
        <w:tab w:val="clear" w:pos="720"/>
        <w:tab w:val="left" w:pos="4680" w:leader="none"/>
      </w:tabs>
      <w:spacing w:before="60" w:after="0"/>
      <w:ind w:hanging="0" w:start="-2390" w:end="-43"/>
      <w:jc w:val="start"/>
    </w:pPr>
    <w:rPr>
      <w:sz w:val="24"/>
    </w:rPr>
  </w:style>
  <w:style w:type="paragraph" w:styleId="Logo">
    <w:name w:val="Logo"/>
    <w:qFormat/>
    <w:pPr>
      <w:widowControl/>
      <w:tabs>
        <w:tab w:val="clear" w:pos="720"/>
        <w:tab w:val="right" w:pos="7430" w:leader="none"/>
      </w:tabs>
      <w:bidi w:val="0"/>
      <w:ind w:hanging="0" w:start="-2477" w:end="0"/>
    </w:pPr>
    <w:rPr>
      <w:rFonts w:ascii="Arial Narrow" w:hAnsi="Arial Narrow" w:eastAsia="Times New Roman" w:cs="Arial Narrow"/>
      <w:caps/>
      <w:color w:val="auto"/>
      <w:sz w:val="20"/>
      <w:szCs w:val="20"/>
      <w:vertAlign w:val="superscript"/>
      <w:lang w:val="en-US" w:bidi="ar-SA" w:eastAsia="zh-CN"/>
    </w:rPr>
  </w:style>
  <w:style w:type="paragraph" w:styleId="OfficeBar">
    <w:name w:val="OfficeBar"/>
    <w:qFormat/>
    <w:pPr>
      <w:widowControl/>
      <w:tabs>
        <w:tab w:val="clear" w:pos="720"/>
        <w:tab w:val="right" w:pos="9957" w:leader="none"/>
      </w:tabs>
      <w:bidi w:val="0"/>
      <w:spacing w:lineRule="exact" w:line="310" w:before="40" w:after="120"/>
      <w:ind w:hanging="0" w:start="2477" w:end="0"/>
      <w:jc w:val="both"/>
    </w:pPr>
    <w:rPr>
      <w:rFonts w:ascii="Arial" w:hAnsi="Arial" w:eastAsia="Times New Roman" w:cs="Arial"/>
      <w:b/>
      <w:color w:val="FFFFFF"/>
      <w:sz w:val="22"/>
      <w:szCs w:val="20"/>
      <w:lang w:val="en-US" w:bidi="ar-SA" w:eastAsia="zh-CN"/>
    </w:rPr>
  </w:style>
  <w:style w:type="paragraph" w:styleId="Head1">
    <w:name w:val="Head1"/>
    <w:next w:val="Text"/>
    <w:qFormat/>
    <w:pPr>
      <w:keepNext w:val="true"/>
      <w:pageBreakBefore/>
      <w:widowControl/>
      <w:pBdr>
        <w:bottom w:val="single" w:sz="4" w:space="1" w:color="000000"/>
      </w:pBdr>
      <w:bidi w:val="0"/>
      <w:spacing w:before="0" w:after="240"/>
    </w:pPr>
    <w:rPr>
      <w:rFonts w:ascii="Arial" w:hAnsi="Arial" w:eastAsia="Times New Roman" w:cs="Arial"/>
      <w:b/>
      <w:color w:val="auto"/>
      <w:sz w:val="24"/>
      <w:szCs w:val="20"/>
      <w:lang w:val="en-US" w:bidi="ar-SA" w:eastAsia="zh-CN"/>
    </w:rPr>
  </w:style>
  <w:style w:type="paragraph" w:styleId="Text">
    <w:name w:val="Text"/>
    <w:qFormat/>
    <w:pPr>
      <w:widowControl/>
      <w:bidi w:val="0"/>
      <w:spacing w:before="0" w:after="120"/>
    </w:pPr>
    <w:rPr>
      <w:rFonts w:ascii="Arial" w:hAnsi="Arial" w:eastAsia="Times New Roman" w:cs="Arial"/>
      <w:color w:val="auto"/>
      <w:sz w:val="20"/>
      <w:szCs w:val="20"/>
      <w:lang w:val="en-US" w:bidi="ar-SA" w:eastAsia="zh-CN"/>
    </w:rPr>
  </w:style>
  <w:style w:type="paragraph" w:styleId="LogoHead">
    <w:name w:val="LogoHead"/>
    <w:basedOn w:val="Normal"/>
    <w:qFormat/>
    <w:pPr>
      <w:tabs>
        <w:tab w:val="clear" w:pos="720"/>
        <w:tab w:val="right" w:pos="4422" w:leader="none"/>
        <w:tab w:val="left" w:pos="5216" w:leader="none"/>
        <w:tab w:val="right" w:pos="8050" w:leader="none"/>
      </w:tabs>
      <w:spacing w:before="1" w:after="120"/>
      <w:jc w:val="start"/>
    </w:pPr>
    <w:rPr>
      <w:rFonts w:ascii="Arial Narrow" w:hAnsi="Arial Narrow" w:cs="Arial Narrow"/>
      <w:caps/>
    </w:rPr>
  </w:style>
  <w:style w:type="paragraph" w:styleId="Office">
    <w:name w:val="Office"/>
    <w:basedOn w:val="Normal"/>
    <w:qFormat/>
    <w:pPr>
      <w:tabs>
        <w:tab w:val="clear" w:pos="720"/>
        <w:tab w:val="right" w:pos="4320" w:leader="none"/>
        <w:tab w:val="left" w:pos="5760" w:leader="none"/>
        <w:tab w:val="right" w:pos="9450" w:leader="none"/>
      </w:tabs>
      <w:spacing w:before="0" w:after="0"/>
      <w:jc w:val="start"/>
    </w:pPr>
    <w:rPr/>
  </w:style>
  <w:style w:type="paragraph" w:styleId="Region2">
    <w:name w:val="Region2"/>
    <w:basedOn w:val="Normal"/>
    <w:next w:val="Address"/>
    <w:qFormat/>
    <w:pPr>
      <w:spacing w:before="240" w:after="120"/>
      <w:jc w:val="start"/>
    </w:pPr>
    <w:rPr>
      <w:b/>
      <w:color w:val="00FFFF"/>
      <w:sz w:val="28"/>
    </w:rPr>
  </w:style>
  <w:style w:type="paragraph" w:styleId="HeaderMain">
    <w:name w:val="HeaderMain"/>
    <w:basedOn w:val="Normal"/>
    <w:qFormat/>
    <w:pPr>
      <w:keepNext w:val="true"/>
      <w:pBdr>
        <w:bottom w:val="single" w:sz="6" w:space="6" w:color="000000"/>
      </w:pBdr>
      <w:tabs>
        <w:tab w:val="clear" w:pos="720"/>
        <w:tab w:val="right" w:pos="7200" w:leader="none"/>
      </w:tabs>
      <w:spacing w:before="60" w:after="0"/>
      <w:ind w:hanging="0" w:start="-2390" w:end="-43"/>
      <w:jc w:val="start"/>
    </w:pPr>
    <w:rPr>
      <w:sz w:val="24"/>
    </w:rPr>
  </w:style>
  <w:style w:type="paragraph" w:styleId="TableTitle">
    <w:name w:val="TableTitle"/>
    <w:basedOn w:val="Normal"/>
    <w:qFormat/>
    <w:pPr>
      <w:keepNext w:val="true"/>
      <w:pBdr>
        <w:top w:val="single" w:sz="6" w:space="1" w:color="000000"/>
      </w:pBdr>
      <w:spacing w:before="0" w:after="0"/>
      <w:jc w:val="start"/>
    </w:pPr>
    <w:rPr>
      <w:b/>
    </w:rPr>
  </w:style>
  <w:style w:type="paragraph" w:styleId="CameraReadyTableTitle">
    <w:name w:val="CameraReadyTableTitle"/>
    <w:basedOn w:val="TableTitle"/>
    <w:qFormat/>
    <w:pPr>
      <w:pBdr>
        <w:top w:val="nil"/>
        <w:bottom w:val="single" w:sz="6" w:space="1" w:color="000000"/>
      </w:pBdr>
    </w:pPr>
    <w:rPr/>
  </w:style>
  <w:style w:type="paragraph" w:styleId="TableSubTitle">
    <w:name w:val="TableSubTitle"/>
    <w:basedOn w:val="TableTitle"/>
    <w:next w:val="TableBody"/>
    <w:qFormat/>
    <w:pPr>
      <w:keepNext w:val="false"/>
      <w:keepLines/>
    </w:pPr>
    <w:rPr>
      <w:b w:val="false"/>
      <w:sz w:val="16"/>
    </w:rPr>
  </w:style>
  <w:style w:type="paragraph" w:styleId="CameraReadyTableSubtitle">
    <w:name w:val="CameraReadyTableSubtitle"/>
    <w:basedOn w:val="TableSubTitle"/>
    <w:qFormat/>
    <w:pPr>
      <w:keepNext w:val="true"/>
      <w:pBdr>
        <w:top w:val="nil"/>
        <w:bottom w:val="single" w:sz="6" w:space="1" w:color="000000"/>
      </w:pBdr>
    </w:pPr>
    <w:rPr/>
  </w:style>
  <w:style w:type="paragraph" w:styleId="TableBody">
    <w:name w:val="TableBody"/>
    <w:basedOn w:val="Normal"/>
    <w:qFormat/>
    <w:pPr>
      <w:keepNext w:val="true"/>
      <w:keepLines/>
      <w:spacing w:before="0" w:after="0"/>
      <w:jc w:val="start"/>
    </w:pPr>
    <w:rPr>
      <w:rFonts w:ascii="Arial Narrow" w:hAnsi="Arial Narrow" w:cs="Arial Narrow"/>
      <w:sz w:val="18"/>
    </w:rPr>
  </w:style>
  <w:style w:type="paragraph" w:styleId="Header">
    <w:name w:val="header"/>
    <w:basedOn w:val="Normal"/>
    <w:pPr>
      <w:tabs>
        <w:tab w:val="clear" w:pos="720"/>
        <w:tab w:val="center" w:pos="4320" w:leader="none"/>
        <w:tab w:val="right" w:pos="8640" w:leader="none"/>
      </w:tabs>
    </w:pPr>
    <w:rPr/>
  </w:style>
  <w:style w:type="paragraph" w:styleId="Tick">
    <w:name w:val="Tick"/>
    <w:qFormat/>
    <w:pPr>
      <w:widowControl/>
      <w:bidi w:val="0"/>
      <w:spacing w:before="156" w:after="0"/>
      <w:ind w:hanging="0" w:start="-115" w:end="14"/>
      <w:jc w:val="end"/>
    </w:pPr>
    <w:rPr>
      <w:rFonts w:ascii="Arial Narrow" w:hAnsi="Arial Narrow" w:eastAsia="Times New Roman" w:cs="Arial Narrow"/>
      <w:b/>
      <w:caps/>
      <w:color w:val="auto"/>
      <w:sz w:val="22"/>
      <w:szCs w:val="20"/>
      <w:lang w:val="en-US" w:bidi="ar-SA" w:eastAsia="zh-CN"/>
    </w:rPr>
  </w:style>
  <w:style w:type="paragraph" w:styleId="DataBox">
    <w:name w:val="DataBox"/>
    <w:basedOn w:val="Normal"/>
    <w:qFormat/>
    <w:pPr>
      <w:tabs>
        <w:tab w:val="clear" w:pos="720"/>
        <w:tab w:val="decimal" w:pos="360" w:leader="none"/>
      </w:tabs>
      <w:spacing w:lineRule="exact" w:line="240" w:before="0" w:after="0"/>
      <w:jc w:val="start"/>
    </w:pPr>
    <w:rPr>
      <w:rFonts w:ascii="Arial Narrow" w:hAnsi="Arial Narrow" w:cs="Arial Narrow"/>
    </w:rPr>
  </w:style>
  <w:style w:type="paragraph" w:styleId="DataBoxTitle">
    <w:name w:val="DataBoxTitle"/>
    <w:basedOn w:val="DataBox"/>
    <w:qFormat/>
    <w:pPr>
      <w:tabs>
        <w:tab w:val="clear" w:pos="360"/>
        <w:tab w:val="right" w:pos="1080" w:leader="none"/>
      </w:tabs>
      <w:spacing w:lineRule="exact" w:line="180"/>
      <w:jc w:val="end"/>
    </w:pPr>
    <w:rPr>
      <w:b/>
      <w:sz w:val="18"/>
    </w:rPr>
  </w:style>
  <w:style w:type="paragraph" w:styleId="Summary">
    <w:name w:val="Summary"/>
    <w:qFormat/>
    <w:pPr>
      <w:widowControl/>
      <w:numPr>
        <w:ilvl w:val="0"/>
        <w:numId w:val="4"/>
      </w:numPr>
      <w:bidi w:val="0"/>
      <w:spacing w:before="60" w:after="60"/>
      <w:ind w:hanging="360" w:start="461" w:end="-14"/>
    </w:pPr>
    <w:rPr>
      <w:rFonts w:ascii="Arial" w:hAnsi="Arial" w:eastAsia="Times New Roman" w:cs="Arial"/>
      <w:color w:val="auto"/>
      <w:sz w:val="22"/>
      <w:szCs w:val="20"/>
      <w:lang w:val="en-US" w:bidi="ar-SA" w:eastAsia="zh-CN"/>
    </w:rPr>
  </w:style>
  <w:style w:type="paragraph" w:styleId="TableFooter">
    <w:name w:val="TableFooter"/>
    <w:basedOn w:val="Normal"/>
    <w:qFormat/>
    <w:pPr>
      <w:spacing w:lineRule="atLeast" w:line="220" w:before="0" w:after="0"/>
      <w:jc w:val="start"/>
    </w:pPr>
    <w:rPr>
      <w:rFonts w:ascii="Arial Narrow" w:hAnsi="Arial Narrow" w:cs="Arial Narrow"/>
      <w:sz w:val="16"/>
    </w:rPr>
  </w:style>
  <w:style w:type="paragraph" w:styleId="Head2">
    <w:name w:val="Head2"/>
    <w:basedOn w:val="Normal"/>
    <w:next w:val="Text"/>
    <w:qFormat/>
    <w:pPr>
      <w:keepNext w:val="true"/>
      <w:jc w:val="start"/>
    </w:pPr>
    <w:rPr>
      <w:b/>
      <w:sz w:val="22"/>
    </w:rPr>
  </w:style>
  <w:style w:type="paragraph" w:styleId="Industry">
    <w:name w:val="Industry"/>
    <w:basedOn w:val="Normal"/>
    <w:qFormat/>
    <w:pPr>
      <w:tabs>
        <w:tab w:val="clear" w:pos="720"/>
        <w:tab w:val="right" w:pos="9720" w:leader="none"/>
      </w:tabs>
      <w:spacing w:before="120" w:after="0"/>
      <w:ind w:hanging="0" w:start="144" w:end="0"/>
    </w:pPr>
    <w:rPr>
      <w:rFonts w:ascii="Arial Narrow" w:hAnsi="Arial Narrow" w:cs="Arial Narrow"/>
      <w:b/>
      <w:sz w:val="18"/>
    </w:rPr>
  </w:style>
  <w:style w:type="paragraph" w:styleId="Opinion">
    <w:name w:val="Opinion"/>
    <w:next w:val="Stamp1"/>
    <w:qFormat/>
    <w:pPr>
      <w:widowControl/>
      <w:bidi w:val="0"/>
      <w:spacing w:before="156" w:after="0"/>
      <w:ind w:hanging="0" w:start="72" w:end="-115"/>
    </w:pPr>
    <w:rPr>
      <w:rFonts w:ascii="Arial Narrow" w:hAnsi="Arial Narrow" w:eastAsia="Times New Roman" w:cs="Arial Narrow"/>
      <w:b/>
      <w:caps/>
      <w:color w:val="auto"/>
      <w:sz w:val="22"/>
      <w:szCs w:val="20"/>
      <w:lang w:val="en-US" w:bidi="ar-SA" w:eastAsia="zh-CN"/>
    </w:rPr>
  </w:style>
  <w:style w:type="paragraph" w:styleId="Stamp1">
    <w:name w:val="Stamp1"/>
    <w:basedOn w:val="Opinion"/>
    <w:next w:val="Stamp2"/>
    <w:qFormat/>
    <w:pPr/>
    <w:rPr/>
  </w:style>
  <w:style w:type="paragraph" w:styleId="Stamp2">
    <w:name w:val="Stamp2"/>
    <w:basedOn w:val="Opinion"/>
    <w:next w:val="Stamp3"/>
    <w:qFormat/>
    <w:pPr/>
    <w:rPr/>
  </w:style>
  <w:style w:type="paragraph" w:styleId="Stamp3">
    <w:name w:val="Stamp3"/>
    <w:basedOn w:val="Opinion"/>
    <w:qFormat/>
    <w:pPr/>
    <w:rPr/>
  </w:style>
  <w:style w:type="paragraph" w:styleId="NB">
    <w:name w:val="NB"/>
    <w:qFormat/>
    <w:pPr>
      <w:widowControl/>
      <w:pBdr>
        <w:top w:val="single" w:sz="6" w:space="1" w:color="000000"/>
      </w:pBdr>
      <w:bidi w:val="0"/>
      <w:spacing w:before="0" w:after="120"/>
    </w:pPr>
    <w:rPr>
      <w:rFonts w:ascii="Arial Narrow" w:hAnsi="Arial Narrow" w:eastAsia="Times New Roman" w:cs="Arial Narrow"/>
      <w:color w:val="auto"/>
      <w:sz w:val="16"/>
      <w:szCs w:val="20"/>
      <w:lang w:val="en-US" w:bidi="ar-SA" w:eastAsia="zh-CN"/>
    </w:rPr>
  </w:style>
  <w:style w:type="paragraph" w:styleId="FootnoteText">
    <w:name w:val="footnote text"/>
    <w:basedOn w:val="NB"/>
    <w:pPr/>
    <w:rPr/>
  </w:style>
  <w:style w:type="paragraph" w:styleId="HeadTitle">
    <w:name w:val="HeadTitle"/>
    <w:qFormat/>
    <w:pPr>
      <w:widowControl/>
      <w:bidi w:val="0"/>
      <w:spacing w:before="0" w:after="120"/>
      <w:ind w:hanging="0" w:start="86" w:end="-115"/>
    </w:pPr>
    <w:rPr>
      <w:rFonts w:ascii="Arial" w:hAnsi="Arial" w:eastAsia="Times New Roman" w:cs="Arial"/>
      <w:b/>
      <w:color w:val="auto"/>
      <w:sz w:val="40"/>
      <w:szCs w:val="20"/>
      <w:lang w:val="en-US" w:bidi="ar-SA" w:eastAsia="zh-CN"/>
    </w:rPr>
  </w:style>
  <w:style w:type="paragraph" w:styleId="NewCompany">
    <w:name w:val="NewCompany"/>
    <w:basedOn w:val="HeadTitle"/>
    <w:qFormat/>
    <w:pPr/>
    <w:rPr/>
  </w:style>
  <w:style w:type="paragraph" w:styleId="NewTick">
    <w:name w:val="NewTick"/>
    <w:basedOn w:val="Normal"/>
    <w:qFormat/>
    <w:pPr>
      <w:keepNext w:val="true"/>
      <w:keepLines/>
      <w:ind w:hanging="0" w:start="0" w:end="58"/>
      <w:jc w:val="end"/>
    </w:pPr>
    <w:rPr>
      <w:rFonts w:ascii="Arial Narrow" w:hAnsi="Arial Narrow" w:cs="Arial Narrow"/>
      <w:b/>
      <w:smallCaps/>
      <w:sz w:val="32"/>
    </w:rPr>
  </w:style>
  <w:style w:type="paragraph" w:styleId="NewAnalystName">
    <w:name w:val="NewAnalystName"/>
    <w:basedOn w:val="Normal"/>
    <w:qFormat/>
    <w:pPr>
      <w:keepNext w:val="true"/>
      <w:keepLines/>
      <w:spacing w:before="0" w:after="0"/>
      <w:jc w:val="start"/>
    </w:pPr>
    <w:rPr>
      <w:sz w:val="28"/>
    </w:rPr>
  </w:style>
  <w:style w:type="paragraph" w:styleId="NewIndustry">
    <w:name w:val="NewIndustry"/>
    <w:basedOn w:val="NewAnalystName"/>
    <w:qFormat/>
    <w:pPr>
      <w:jc w:val="end"/>
    </w:pPr>
    <w:rPr>
      <w:b/>
    </w:rPr>
  </w:style>
  <w:style w:type="paragraph" w:styleId="Phone">
    <w:name w:val="Phone"/>
    <w:qFormat/>
    <w:pPr>
      <w:widowControl/>
      <w:bidi w:val="0"/>
      <w:ind w:hanging="0" w:start="86" w:end="0"/>
    </w:pPr>
    <w:rPr>
      <w:rFonts w:ascii="Arial" w:hAnsi="Arial" w:eastAsia="Times New Roman" w:cs="Arial"/>
      <w:color w:val="auto"/>
      <w:sz w:val="16"/>
      <w:szCs w:val="20"/>
      <w:lang w:val="en-US" w:bidi="ar-SA" w:eastAsia="zh-CN"/>
    </w:rPr>
  </w:style>
  <w:style w:type="paragraph" w:styleId="HangingText">
    <w:name w:val="HangingText"/>
    <w:basedOn w:val="Normal"/>
    <w:qFormat/>
    <w:pPr>
      <w:keepNext w:val="true"/>
      <w:spacing w:before="10" w:after="120"/>
      <w:jc w:val="start"/>
    </w:pPr>
    <w:rPr>
      <w:rFonts w:ascii="Arial Narrow" w:hAnsi="Arial Narrow" w:cs="Arial Narrow"/>
      <w:b/>
    </w:rPr>
  </w:style>
  <w:style w:type="paragraph" w:styleId="Subtitle">
    <w:name w:val="Subtitle"/>
    <w:next w:val="BodyText"/>
    <w:qFormat/>
    <w:pPr>
      <w:widowControl/>
      <w:bidi w:val="0"/>
      <w:spacing w:before="0" w:after="480"/>
      <w:ind w:hanging="0" w:start="130" w:end="-115"/>
    </w:pPr>
    <w:rPr>
      <w:rFonts w:ascii="Arial" w:hAnsi="Arial" w:eastAsia="Times New Roman" w:cs="Arial"/>
      <w:color w:val="auto"/>
      <w:sz w:val="24"/>
      <w:szCs w:val="20"/>
      <w:lang w:val="en-US" w:bidi="ar-SA" w:eastAsia="zh-CN"/>
    </w:rPr>
  </w:style>
  <w:style w:type="paragraph" w:styleId="IndustryDate">
    <w:name w:val="IndustryDate"/>
    <w:basedOn w:val="Industry"/>
    <w:qFormat/>
    <w:pPr>
      <w:tabs>
        <w:tab w:val="left" w:pos="2367" w:leader="none"/>
        <w:tab w:val="right" w:pos="9720" w:leader="none"/>
      </w:tabs>
      <w:ind w:hanging="0" w:start="0" w:end="0"/>
      <w:jc w:val="end"/>
    </w:pPr>
    <w:rPr/>
  </w:style>
  <w:style w:type="paragraph" w:styleId="CompanyDesc">
    <w:name w:val="CompanyDesc"/>
    <w:qFormat/>
    <w:pPr>
      <w:keepLines/>
      <w:widowControl/>
      <w:bidi w:val="0"/>
      <w:spacing w:lineRule="exact" w:line="240" w:before="60" w:after="60"/>
      <w:ind w:hanging="0" w:start="29" w:end="0"/>
    </w:pPr>
    <w:rPr>
      <w:rFonts w:ascii="Arial Narrow" w:hAnsi="Arial Narrow" w:eastAsia="Times New Roman" w:cs="Arial Narrow"/>
      <w:b/>
      <w:color w:val="auto"/>
      <w:sz w:val="22"/>
      <w:szCs w:val="20"/>
      <w:lang w:val="en-US" w:bidi="ar-SA" w:eastAsia="zh-CN"/>
    </w:rPr>
  </w:style>
  <w:style w:type="paragraph" w:styleId="Email">
    <w:name w:val="Email"/>
    <w:qFormat/>
    <w:pPr>
      <w:widowControl/>
      <w:bidi w:val="0"/>
      <w:spacing w:before="0" w:after="120"/>
      <w:ind w:hanging="0" w:start="86" w:end="0"/>
    </w:pPr>
    <w:rPr>
      <w:rFonts w:ascii="Arial" w:hAnsi="Arial" w:eastAsia="Times New Roman" w:cs="Arial"/>
      <w:color w:val="auto"/>
      <w:sz w:val="16"/>
      <w:szCs w:val="20"/>
      <w:lang w:val="en-US" w:bidi="ar-SA" w:eastAsia="zh-CN"/>
    </w:rPr>
  </w:style>
  <w:style w:type="paragraph" w:styleId="Name">
    <w:name w:val="Name"/>
    <w:qFormat/>
    <w:pPr>
      <w:keepNext w:val="true"/>
      <w:widowControl/>
      <w:bidi w:val="0"/>
      <w:spacing w:before="60" w:after="0"/>
      <w:ind w:hanging="0" w:start="86" w:end="0"/>
    </w:pPr>
    <w:rPr>
      <w:rFonts w:ascii="Arial" w:hAnsi="Arial" w:eastAsia="Times New Roman" w:cs="Arial"/>
      <w:b/>
      <w:color w:val="auto"/>
      <w:sz w:val="16"/>
      <w:szCs w:val="20"/>
      <w:lang w:val="en-US" w:bidi="ar-SA" w:eastAsia="zh-CN"/>
    </w:rPr>
  </w:style>
  <w:style w:type="paragraph" w:styleId="DeskNoteBar">
    <w:name w:val="DeskNoteBar"/>
    <w:qFormat/>
    <w:pPr>
      <w:widowControl/>
      <w:shd w:fill="FF0000" w:val="clear"/>
      <w:tabs>
        <w:tab w:val="clear" w:pos="720"/>
        <w:tab w:val="center" w:pos="4320" w:leader="none"/>
        <w:tab w:val="right" w:pos="8640" w:leader="none"/>
      </w:tabs>
      <w:bidi w:val="0"/>
      <w:spacing w:before="0" w:after="120"/>
      <w:ind w:hanging="0" w:start="720" w:end="3240"/>
      <w:jc w:val="center"/>
    </w:pPr>
    <w:rPr>
      <w:rFonts w:ascii="Arial" w:hAnsi="Arial" w:eastAsia="Times New Roman" w:cs="Arial"/>
      <w:b/>
      <w:caps/>
      <w:color w:val="FFFFFF"/>
      <w:sz w:val="32"/>
      <w:szCs w:val="20"/>
      <w:lang w:val="en-US" w:bidi="ar-SA" w:eastAsia="zh-CN"/>
    </w:rPr>
  </w:style>
  <w:style w:type="paragraph" w:styleId="Reut">
    <w:name w:val="Reut"/>
    <w:basedOn w:val="Tick"/>
    <w:qFormat/>
    <w:pPr/>
    <w:rPr/>
  </w:style>
  <w:style w:type="paragraph" w:styleId="Other">
    <w:name w:val="Other"/>
    <w:basedOn w:val="Tick"/>
    <w:qFormat/>
    <w:pPr/>
    <w:rPr/>
  </w:style>
  <w:style w:type="paragraph" w:styleId="headerfield">
    <w:name w:val="headerfield"/>
    <w:qFormat/>
    <w:pPr>
      <w:keepNext w:val="true"/>
      <w:widowControl/>
      <w:pBdr>
        <w:bottom w:val="single" w:sz="6" w:space="6" w:color="000000"/>
      </w:pBdr>
      <w:tabs>
        <w:tab w:val="clear" w:pos="720"/>
        <w:tab w:val="left" w:pos="4680" w:leader="none"/>
      </w:tabs>
      <w:bidi w:val="0"/>
      <w:spacing w:before="60" w:after="0"/>
      <w:ind w:hanging="0" w:start="-2390" w:end="-43"/>
    </w:pPr>
    <w:rPr>
      <w:rFonts w:ascii="Arial" w:hAnsi="Arial" w:eastAsia="Times New Roman" w:cs="Arial"/>
      <w:color w:val="auto"/>
      <w:sz w:val="24"/>
      <w:szCs w:val="20"/>
      <w:lang w:val="en-US" w:bidi="ar-SA" w:eastAsia="zh-CN"/>
    </w:rPr>
  </w:style>
  <w:style w:type="paragraph" w:styleId="Head3">
    <w:name w:val="Head3"/>
    <w:basedOn w:val="Head2"/>
    <w:next w:val="Text"/>
    <w:qFormat/>
    <w:pPr>
      <w:spacing w:before="0" w:after="0"/>
    </w:pPr>
    <w:rPr/>
  </w:style>
  <w:style w:type="paragraph" w:styleId="NewIndustryName">
    <w:name w:val="NewIndustryName"/>
    <w:basedOn w:val="NewIndustry"/>
    <w:qFormat/>
    <w:pPr>
      <w:keepLines w:val="false"/>
      <w:spacing w:before="0" w:after="120"/>
      <w:ind w:hanging="0" w:start="43" w:end="0"/>
      <w:jc w:val="start"/>
    </w:pPr>
    <w:rPr>
      <w:b w:val="false"/>
      <w:sz w:val="16"/>
    </w:rPr>
  </w:style>
  <w:style w:type="paragraph" w:styleId="PlaceHolder">
    <w:name w:val="PlaceHolder"/>
    <w:qFormat/>
    <w:pPr>
      <w:widowControl/>
      <w:bidi w:val="0"/>
      <w:jc w:val="center"/>
    </w:pPr>
    <w:rPr>
      <w:rFonts w:ascii="Arial" w:hAnsi="Arial" w:eastAsia="Times New Roman" w:cs="Arial"/>
      <w:b/>
      <w:caps/>
      <w:vanish/>
      <w:color w:val="FF0000"/>
      <w:sz w:val="16"/>
      <w:szCs w:val="20"/>
      <w:lang w:val="en-US" w:bidi="ar-SA" w:eastAsia="zh-CN"/>
    </w:rPr>
  </w:style>
  <w:style w:type="paragraph" w:styleId="TOC1">
    <w:name w:val="TOC1"/>
    <w:basedOn w:val="Normal"/>
    <w:next w:val="TOC2"/>
    <w:qFormat/>
    <w:pPr>
      <w:keepNext w:val="true"/>
      <w:pBdr>
        <w:bottom w:val="single" w:sz="4" w:space="1" w:color="000000"/>
      </w:pBdr>
      <w:tabs>
        <w:tab w:val="clear" w:pos="720"/>
        <w:tab w:val="right" w:pos="7200" w:leader="none"/>
      </w:tabs>
      <w:suppressAutoHyphens w:val="true"/>
      <w:spacing w:lineRule="exact" w:line="280" w:before="0" w:after="0"/>
      <w:jc w:val="start"/>
    </w:pPr>
    <w:rPr>
      <w:b/>
      <w:sz w:val="22"/>
    </w:rPr>
  </w:style>
  <w:style w:type="paragraph" w:styleId="TOC2">
    <w:name w:val="TOC2"/>
    <w:basedOn w:val="TOC1"/>
    <w:qFormat/>
    <w:pPr>
      <w:keepNext w:val="false"/>
      <w:keepLines/>
      <w:pBdr>
        <w:bottom w:val="single" w:sz="6" w:space="3" w:color="000000"/>
      </w:pBdr>
      <w:ind w:firstLine="202" w:start="0" w:end="0"/>
    </w:pPr>
    <w:rPr>
      <w:b w:val="false"/>
    </w:rPr>
  </w:style>
  <w:style w:type="paragraph" w:styleId="SPC">
    <w:name w:val="SPC"/>
    <w:basedOn w:val="Normal"/>
    <w:qFormat/>
    <w:pPr>
      <w:pBdr>
        <w:bottom w:val="single" w:sz="6" w:space="1" w:color="000000"/>
      </w:pBdr>
      <w:tabs>
        <w:tab w:val="clear" w:pos="720"/>
        <w:tab w:val="right" w:pos="1080" w:leader="none"/>
      </w:tabs>
      <w:spacing w:before="300" w:after="360"/>
      <w:ind w:hanging="72" w:start="72" w:end="-144"/>
      <w:jc w:val="start"/>
    </w:pPr>
    <w:rPr>
      <w:rFonts w:ascii="Arial Narrow" w:hAnsi="Arial Narrow" w:cs="Arial Narrow"/>
      <w:b/>
      <w:sz w:val="22"/>
    </w:rPr>
  </w:style>
  <w:style w:type="paragraph" w:styleId="GraphicTitle">
    <w:name w:val="GraphicTitle"/>
    <w:qFormat/>
    <w:pPr>
      <w:widowControl/>
      <w:bidi w:val="0"/>
      <w:spacing w:before="60" w:after="60"/>
      <w:ind w:hanging="0" w:start="-115" w:end="-115"/>
      <w:jc w:val="center"/>
    </w:pPr>
    <w:rPr>
      <w:rFonts w:ascii="Arial" w:hAnsi="Arial" w:eastAsia="Times New Roman" w:cs="Arial"/>
      <w:b/>
      <w:i/>
      <w:color w:val="auto"/>
      <w:sz w:val="16"/>
      <w:szCs w:val="20"/>
      <w:lang w:val="en-US" w:bidi="ar-SA" w:eastAsia="zh-CN"/>
    </w:rPr>
  </w:style>
  <w:style w:type="paragraph" w:styleId="TableOfContents">
    <w:name w:val="TableOfContents"/>
    <w:basedOn w:val="Normal"/>
    <w:qFormat/>
    <w:pPr>
      <w:keepNext w:val="true"/>
      <w:pageBreakBefore/>
      <w:pBdr>
        <w:bottom w:val="single" w:sz="4" w:space="1" w:color="000000"/>
      </w:pBdr>
      <w:spacing w:before="0" w:after="240"/>
      <w:jc w:val="start"/>
    </w:pPr>
    <w:rPr>
      <w:b/>
      <w:sz w:val="24"/>
    </w:rPr>
  </w:style>
  <w:style w:type="paragraph" w:styleId="Picture">
    <w:name w:val="Picture"/>
    <w:qFormat/>
    <w:pPr>
      <w:widowControl/>
      <w:bidi w:val="0"/>
      <w:spacing w:before="60" w:after="120"/>
    </w:pPr>
    <w:rPr>
      <w:rFonts w:ascii="Arial" w:hAnsi="Arial" w:eastAsia="Times New Roman" w:cs="Arial"/>
      <w:color w:val="auto"/>
      <w:sz w:val="20"/>
      <w:szCs w:val="20"/>
      <w:lang w:val="en-US" w:bidi="ar-SA" w:eastAsia="zh-CN"/>
    </w:rPr>
  </w:style>
  <w:style w:type="paragraph" w:styleId="Price">
    <w:name w:val="Price"/>
    <w:basedOn w:val="Opinion"/>
    <w:qFormat/>
    <w:pPr>
      <w:spacing w:before="0" w:after="0"/>
      <w:ind w:hanging="0" w:start="43" w:end="-115"/>
    </w:pPr>
    <w:rPr/>
  </w:style>
  <w:style w:type="paragraph" w:styleId="InsertTOC">
    <w:name w:val="InsertTOC"/>
    <w:qFormat/>
    <w:pPr>
      <w:widowControl/>
      <w:bidi w:val="0"/>
    </w:pPr>
    <w:rPr>
      <w:rFonts w:ascii="Arial" w:hAnsi="Arial" w:eastAsia="Times New Roman" w:cs="Arial"/>
      <w:b/>
      <w:caps/>
      <w:vanish/>
      <w:color w:val="FF0000"/>
      <w:sz w:val="18"/>
      <w:szCs w:val="20"/>
      <w:lang w:val="en-US" w:bidi="ar-SA" w:eastAsia="zh-CN"/>
    </w:rPr>
  </w:style>
  <w:style w:type="paragraph" w:styleId="GraphicSource">
    <w:name w:val="GraphicSource"/>
    <w:basedOn w:val="GraphicTitle"/>
    <w:qFormat/>
    <w:pPr>
      <w:spacing w:before="60" w:after="0"/>
      <w:ind w:hanging="0" w:start="0" w:end="-115"/>
      <w:jc w:val="start"/>
    </w:pPr>
    <w:rPr>
      <w:b w:val="false"/>
      <w:i w:val="false"/>
    </w:rPr>
  </w:style>
  <w:style w:type="paragraph" w:styleId="HeaderPortrait">
    <w:name w:val="HeaderPortrait"/>
    <w:basedOn w:val="HeaderMain"/>
    <w:qFormat/>
    <w:pPr>
      <w:tabs>
        <w:tab w:val="clear" w:pos="7200"/>
        <w:tab w:val="right" w:pos="9446" w:leader="none"/>
      </w:tabs>
      <w:ind w:hanging="0" w:start="0" w:end="-43"/>
    </w:pPr>
    <w:rPr/>
  </w:style>
  <w:style w:type="paragraph" w:styleId="HeaderTitleEvenPg">
    <w:name w:val="Header Title Even Pg"/>
    <w:basedOn w:val="HeaderMain"/>
    <w:qFormat/>
    <w:pPr>
      <w:spacing w:before="60" w:after="120"/>
      <w:jc w:val="end"/>
    </w:pPr>
    <w:rPr/>
  </w:style>
  <w:style w:type="paragraph" w:styleId="HeaderTitleOddPg">
    <w:name w:val="Header Title OddPg"/>
    <w:basedOn w:val="HeaderTitleEvenPg"/>
    <w:qFormat/>
    <w:pPr>
      <w:jc w:val="start"/>
    </w:pPr>
    <w:rPr/>
  </w:style>
  <w:style w:type="paragraph" w:styleId="Top">
    <w:name w:val="Top"/>
    <w:basedOn w:val="Normal"/>
    <w:qFormat/>
    <w:pPr>
      <w:pBdr>
        <w:top w:val="single" w:sz="6" w:space="1" w:color="000000"/>
      </w:pBdr>
      <w:spacing w:before="0" w:after="0"/>
      <w:jc w:val="start"/>
    </w:pPr>
    <w:rPr>
      <w:caps/>
      <w:sz w:val="16"/>
    </w:rPr>
  </w:style>
  <w:style w:type="paragraph" w:styleId="Region">
    <w:name w:val="Region"/>
    <w:qFormat/>
    <w:pPr>
      <w:widowControl/>
      <w:tabs>
        <w:tab w:val="clear" w:pos="720"/>
        <w:tab w:val="left" w:pos="2367" w:leader="none"/>
      </w:tabs>
      <w:bidi w:val="0"/>
      <w:spacing w:before="120" w:after="0"/>
      <w:ind w:hanging="0" w:start="86" w:end="0"/>
    </w:pPr>
    <w:rPr>
      <w:rFonts w:ascii="Arial Narrow" w:hAnsi="Arial Narrow" w:eastAsia="Times New Roman" w:cs="Arial Narrow"/>
      <w:b/>
      <w:color w:val="auto"/>
      <w:sz w:val="18"/>
      <w:szCs w:val="20"/>
      <w:lang w:val="en-US" w:bidi="ar-SA" w:eastAsia="zh-CN"/>
    </w:rPr>
  </w:style>
  <w:style w:type="paragraph" w:styleId="BranchList">
    <w:name w:val="BranchList"/>
    <w:basedOn w:val="Text"/>
    <w:qFormat/>
    <w:pPr/>
    <w:rPr/>
  </w:style>
  <w:style w:type="paragraph" w:styleId="BlankPage">
    <w:name w:val="BlankPage"/>
    <w:basedOn w:val="Text"/>
    <w:qFormat/>
    <w:pPr/>
    <w:rPr>
      <w:rFonts w:ascii="Palatino" w:hAnsi="Palatino" w:cs="Palatino"/>
      <w:b/>
      <w:vanish/>
      <w:color w:val="FF0000"/>
      <w:sz w:val="28"/>
    </w:rPr>
  </w:style>
  <w:style w:type="paragraph" w:styleId="FooterMain">
    <w:name w:val="FooterMain"/>
    <w:qFormat/>
    <w:pPr>
      <w:widowControl/>
      <w:pBdr>
        <w:top w:val="single" w:sz="4" w:space="1" w:color="000000"/>
      </w:pBdr>
      <w:bidi w:val="0"/>
      <w:ind w:hanging="0" w:start="-2390" w:end="0"/>
      <w:jc w:val="center"/>
    </w:pPr>
    <w:rPr>
      <w:rFonts w:ascii="Arial" w:hAnsi="Arial" w:eastAsia="Times New Roman" w:cs="Arial"/>
      <w:color w:val="auto"/>
      <w:sz w:val="20"/>
      <w:szCs w:val="20"/>
      <w:lang w:val="en-US" w:bidi="ar-SA" w:eastAsia="zh-CN"/>
    </w:rPr>
  </w:style>
  <w:style w:type="paragraph" w:styleId="officename">
    <w:name w:val="officename"/>
    <w:basedOn w:val="Office"/>
    <w:qFormat/>
    <w:pPr>
      <w:pBdr>
        <w:right w:val="single" w:sz="12" w:space="4" w:color="000000"/>
      </w:pBdr>
      <w:tabs>
        <w:tab w:val="clear" w:pos="4320"/>
        <w:tab w:val="right" w:pos="2700" w:leader="dot"/>
        <w:tab w:val="left" w:pos="5760" w:leader="none"/>
        <w:tab w:val="right" w:pos="9450" w:leader="none"/>
      </w:tabs>
      <w:spacing w:before="0" w:after="60"/>
    </w:pPr>
    <w:rPr>
      <w:rFonts w:ascii="Arial Narrow" w:hAnsi="Arial Narrow" w:cs="Arial Narrow"/>
      <w:b/>
    </w:rPr>
  </w:style>
  <w:style w:type="paragraph" w:styleId="FooterPortrait">
    <w:name w:val="FooterPortrait"/>
    <w:basedOn w:val="FooterMain"/>
    <w:qFormat/>
    <w:pPr>
      <w:ind w:hanging="0" w:start="0" w:end="0"/>
    </w:pPr>
    <w:rPr/>
  </w:style>
  <w:style w:type="paragraph" w:styleId="HeaderLandscape">
    <w:name w:val="HeaderLandscape"/>
    <w:basedOn w:val="HeaderPortrait"/>
    <w:qFormat/>
    <w:pPr>
      <w:tabs>
        <w:tab w:val="clear" w:pos="9446"/>
        <w:tab w:val="right" w:pos="13234" w:leader="none"/>
      </w:tabs>
    </w:pPr>
    <w:rPr/>
  </w:style>
  <w:style w:type="paragraph" w:styleId="MarkTable">
    <w:name w:val="MarkTable"/>
    <w:basedOn w:val="TableColHead"/>
    <w:qFormat/>
    <w:pPr/>
    <w:rPr/>
  </w:style>
  <w:style w:type="paragraph" w:styleId="TOC11">
    <w:name w:val="toc 1"/>
    <w:basedOn w:val="Normal"/>
    <w:next w:val="Normal"/>
    <w:pPr>
      <w:spacing w:lineRule="exact" w:line="280" w:before="0" w:after="0"/>
      <w:jc w:val="start"/>
    </w:pPr>
    <w:rPr>
      <w:b/>
      <w:lang w:val="en-GB"/>
    </w:rPr>
  </w:style>
  <w:style w:type="paragraph" w:styleId="AAABulletsSC">
    <w:name w:val="AAA_Bullets_SC"/>
    <w:basedOn w:val="Normal"/>
    <w:qFormat/>
    <w:pPr>
      <w:numPr>
        <w:ilvl w:val="0"/>
        <w:numId w:val="7"/>
      </w:numPr>
      <w:tabs>
        <w:tab w:val="clear" w:pos="720"/>
        <w:tab w:val="left" w:pos="0" w:leader="none"/>
      </w:tabs>
      <w:spacing w:before="60" w:after="60"/>
      <w:ind w:hanging="0" w:start="0" w:end="-14"/>
      <w:jc w:val="start"/>
    </w:pPr>
    <w:rPr>
      <w:sz w:val="22"/>
      <w:lang w:val="en-CA" w:eastAsia="en-CA"/>
    </w:rPr>
  </w:style>
  <w:style w:type="paragraph" w:styleId="FootnoteText1">
    <w:name w:val="Footnote Text1"/>
    <w:basedOn w:val="Normal"/>
    <w:qFormat/>
    <w:pPr/>
    <w:rPr/>
  </w:style>
  <w:style w:type="paragraph" w:styleId="BodyTextIndent">
    <w:name w:val="Body Text Indent"/>
    <w:basedOn w:val="Normal"/>
    <w:pPr>
      <w:spacing w:lineRule="auto" w:line="360" w:before="0" w:after="0"/>
      <w:ind w:firstLine="720" w:start="0" w:end="0"/>
      <w:jc w:val="start"/>
    </w:pPr>
    <w:rPr>
      <w:rFonts w:ascii="Times New Roman" w:hAnsi="Times New Roman" w:cs="Times New Roman"/>
    </w:rPr>
  </w:style>
  <w:style w:type="paragraph" w:styleId="BodyText2">
    <w:name w:val="Body Text 2"/>
    <w:basedOn w:val="Normal"/>
    <w:qFormat/>
    <w:pPr>
      <w:spacing w:before="0" w:after="0"/>
      <w:jc w:val="start"/>
    </w:pPr>
    <w:rPr>
      <w:rFonts w:ascii="Times New Roman" w:hAnsi="Times New Roman" w:cs="Times New Roman"/>
      <w:b/>
      <w:sz w:val="24"/>
    </w:rPr>
  </w:style>
  <w:style w:type="paragraph" w:styleId="BodyText3">
    <w:name w:val="Body Text 3"/>
    <w:basedOn w:val="Normal"/>
    <w:qFormat/>
    <w:pPr>
      <w:spacing w:before="0" w:after="0"/>
      <w:jc w:val="start"/>
    </w:pPr>
    <w:rPr>
      <w:rFonts w:ascii="Times New Roman" w:hAnsi="Times New Roman" w:cs="Times New Roman"/>
      <w:i/>
      <w:sz w:val="24"/>
    </w:rPr>
  </w:style>
  <w:style w:type="paragraph" w:styleId="ListBullet">
    <w:name w:val="List Bullet"/>
    <w:basedOn w:val="Normal"/>
    <w:qFormat/>
    <w:pPr>
      <w:numPr>
        <w:ilvl w:val="0"/>
        <w:numId w:val="2"/>
      </w:numPr>
      <w:spacing w:before="0" w:after="0"/>
      <w:jc w:val="start"/>
    </w:pPr>
    <w:rPr/>
  </w:style>
  <w:style w:type="paragraph" w:styleId="BottomBar">
    <w:name w:val="Bottom Bar"/>
    <w:basedOn w:val="Normal"/>
    <w:qFormat/>
    <w:pPr>
      <w:pBdr>
        <w:bottom w:val="single" w:sz="36" w:space="0" w:color="00FFFF"/>
      </w:pBdr>
      <w:spacing w:before="0" w:after="0"/>
      <w:jc w:val="center"/>
    </w:pPr>
    <w:rPr/>
  </w:style>
  <w:style w:type="paragraph" w:styleId="SymbolBox">
    <w:name w:val="SymbolBox"/>
    <w:basedOn w:val="Normal"/>
    <w:qFormat/>
    <w:pPr>
      <w:spacing w:before="0" w:after="0"/>
      <w:jc w:val="center"/>
    </w:pPr>
    <w:rPr>
      <w:sz w:val="8"/>
    </w:rPr>
  </w:style>
  <w:style w:type="paragraph" w:styleId="CompanyInfo">
    <w:name w:val="CompanyInfo"/>
    <w:basedOn w:val="DataBoxTitle"/>
    <w:qFormat/>
    <w:pPr>
      <w:pBdr>
        <w:bottom w:val="single" w:sz="12" w:space="6" w:color="000000"/>
      </w:pBdr>
      <w:spacing w:lineRule="auto" w:line="240" w:before="60" w:after="360"/>
      <w:ind w:hanging="72" w:start="72" w:end="-151"/>
      <w:jc w:val="start"/>
    </w:pPr>
    <w:rPr>
      <w:sz w:val="22"/>
    </w:rPr>
  </w:style>
  <w:style w:type="paragraph" w:styleId="CompanyReport">
    <w:name w:val="Company Report"/>
    <w:basedOn w:val="Head1"/>
    <w:qFormat/>
    <w:pPr/>
    <w:rPr>
      <w:sz w:val="22"/>
    </w:rPr>
  </w:style>
  <w:style w:type="paragraph" w:styleId="Body">
    <w:name w:val="Body"/>
    <w:basedOn w:val="Normal"/>
    <w:qFormat/>
    <w:pPr>
      <w:spacing w:before="0" w:after="0"/>
    </w:pPr>
    <w:rPr>
      <w:kern w:val="2"/>
      <w:sz w:val="14"/>
      <w:lang w:val="en-GB"/>
    </w:rPr>
  </w:style>
  <w:style w:type="paragraph" w:styleId="Bullet">
    <w:name w:val="Bullet"/>
    <w:basedOn w:val="BodyText"/>
    <w:qFormat/>
    <w:pPr>
      <w:numPr>
        <w:ilvl w:val="0"/>
        <w:numId w:val="5"/>
      </w:numPr>
      <w:tabs>
        <w:tab w:val="clear" w:pos="720"/>
      </w:tabs>
      <w:spacing w:lineRule="exact" w:line="240" w:before="0" w:after="200"/>
    </w:pPr>
    <w:rPr>
      <w:rFonts w:ascii="Arial" w:hAnsi="Arial" w:eastAsia="Times" w:cs="Arial"/>
      <w:b/>
      <w:color w:val="000000"/>
    </w:rPr>
  </w:style>
  <w:style w:type="paragraph" w:styleId="HeaderPage2">
    <w:name w:val="Header Page 2"/>
    <w:basedOn w:val="BodyText"/>
    <w:qFormat/>
    <w:pPr>
      <w:keepLines/>
      <w:pBdr>
        <w:bottom w:val="single" w:sz="2" w:space="1" w:color="000000"/>
      </w:pBdr>
      <w:spacing w:lineRule="atLeast" w:line="280"/>
      <w:jc w:val="end"/>
    </w:pPr>
    <w:rPr>
      <w:rFonts w:ascii="Arial" w:hAnsi="Arial" w:cs="Arial"/>
      <w:b/>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3492" w:leader="none"/>
        <w:tab w:val="right" w:pos="6984"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3.wmf"/><Relationship Id="rId8" Type="http://schemas.openxmlformats.org/officeDocument/2006/relationships/image" Target="media/image4.wmf"/><Relationship Id="rId9" Type="http://schemas.openxmlformats.org/officeDocument/2006/relationships/image" Target="media/image5.wmf"/><Relationship Id="rId10" Type="http://schemas.openxmlformats.org/officeDocument/2006/relationships/image" Target="media/image6.wmf"/><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image" Target="media/image7.wmf"/><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4.xml"/><Relationship Id="rId17" Type="http://schemas.openxmlformats.org/officeDocument/2006/relationships/footer" Target="footer5.xml"/><Relationship Id="rId18" Type="http://schemas.openxmlformats.org/officeDocument/2006/relationships/image" Target="media/image8.wmf"/><Relationship Id="rId19" Type="http://schemas.openxmlformats.org/officeDocument/2006/relationships/header" Target="header6.xml"/><Relationship Id="rId20" Type="http://schemas.openxmlformats.org/officeDocument/2006/relationships/header" Target="header7.xml"/><Relationship Id="rId21" Type="http://schemas.openxmlformats.org/officeDocument/2006/relationships/footer" Target="footer6.xml"/><Relationship Id="rId22" Type="http://schemas.openxmlformats.org/officeDocument/2006/relationships/footer" Target="footer7.xml"/><Relationship Id="rId23" Type="http://schemas.openxmlformats.org/officeDocument/2006/relationships/image" Target="media/image9.wmf"/><Relationship Id="rId24" Type="http://schemas.openxmlformats.org/officeDocument/2006/relationships/image" Target="media/image10.wmf"/><Relationship Id="rId25" Type="http://schemas.openxmlformats.org/officeDocument/2006/relationships/header" Target="header8.xml"/><Relationship Id="rId26" Type="http://schemas.openxmlformats.org/officeDocument/2006/relationships/header" Target="header9.xml"/><Relationship Id="rId27" Type="http://schemas.openxmlformats.org/officeDocument/2006/relationships/footer" Target="footer8.xml"/><Relationship Id="rId28" Type="http://schemas.openxmlformats.org/officeDocument/2006/relationships/footer" Target="footer9.xml"/><Relationship Id="rId29" Type="http://schemas.openxmlformats.org/officeDocument/2006/relationships/image" Target="media/image11.wmf"/><Relationship Id="rId30" Type="http://schemas.openxmlformats.org/officeDocument/2006/relationships/image" Target="media/image12.wmf"/><Relationship Id="rId31" Type="http://schemas.openxmlformats.org/officeDocument/2006/relationships/header" Target="header10.xml"/><Relationship Id="rId32" Type="http://schemas.openxmlformats.org/officeDocument/2006/relationships/header" Target="header11.xml"/><Relationship Id="rId33" Type="http://schemas.openxmlformats.org/officeDocument/2006/relationships/footer" Target="footer10.xml"/><Relationship Id="rId34" Type="http://schemas.openxmlformats.org/officeDocument/2006/relationships/footer" Target="footer11.xml"/><Relationship Id="rId35" Type="http://schemas.openxmlformats.org/officeDocument/2006/relationships/image" Target="media/image13.wmf"/><Relationship Id="rId36" Type="http://schemas.openxmlformats.org/officeDocument/2006/relationships/image" Target="media/image14.wmf"/><Relationship Id="rId37" Type="http://schemas.openxmlformats.org/officeDocument/2006/relationships/image" Target="media/image15.wmf"/><Relationship Id="rId38" Type="http://schemas.openxmlformats.org/officeDocument/2006/relationships/header" Target="header12.xml"/><Relationship Id="rId39" Type="http://schemas.openxmlformats.org/officeDocument/2006/relationships/header" Target="header13.xml"/><Relationship Id="rId40" Type="http://schemas.openxmlformats.org/officeDocument/2006/relationships/footer" Target="footer12.xml"/><Relationship Id="rId41" Type="http://schemas.openxmlformats.org/officeDocument/2006/relationships/footer" Target="footer13.xml"/><Relationship Id="rId42" Type="http://schemas.openxmlformats.org/officeDocument/2006/relationships/header" Target="header14.xml"/><Relationship Id="rId43" Type="http://schemas.openxmlformats.org/officeDocument/2006/relationships/header" Target="header15.xml"/><Relationship Id="rId44" Type="http://schemas.openxmlformats.org/officeDocument/2006/relationships/footer" Target="footer14.xml"/><Relationship Id="rId45" Type="http://schemas.openxmlformats.org/officeDocument/2006/relationships/footer" Target="footer15.xml"/><Relationship Id="rId46" Type="http://schemas.openxmlformats.org/officeDocument/2006/relationships/numbering" Target="numbering.xml"/><Relationship Id="rId47" Type="http://schemas.openxmlformats.org/officeDocument/2006/relationships/fontTable" Target="fontTable.xml"/><Relationship Id="rId48" Type="http://schemas.openxmlformats.org/officeDocument/2006/relationships/settings" Target="settings.xml"/><Relationship Id="rId4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wmf"/>
</Relationships>
</file>

<file path=word/_rels/header14.xml.rels><?xml version="1.0" encoding="UTF-8"?>
<Relationships xmlns="http://schemas.openxmlformats.org/package/2006/relationships"><Relationship Id="rId1" Type="http://schemas.openxmlformats.org/officeDocument/2006/relationships/image" Target="media/image16.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Self99</Template>
  <TotalTime>564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2001-08-13T08:39:00Z</dcterms:created>
  <dc:creator>Bryan Sifert</dc:creator>
  <dc:description/>
  <dc:language>en-CA</dc:language>
  <cp:lastModifiedBy>bsifert</cp:lastModifiedBy>
  <cp:lastPrinted>2001-08-20T08:27:00Z</cp:lastPrinted>
  <dcterms:modified xsi:type="dcterms:W3CDTF">2001-08-20T10:02:00Z</dcterms:modified>
  <cp:revision>78</cp:revision>
  <dc:subject>Research Report</dc:subject>
  <dc:title>Self 1997 Template</dc:title>
</cp:coreProperties>
</file>