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16.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3.wmf" ContentType="image/x-wmf"/>
  <Override PartName="/word/media/image4.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media/image9.wmf" ContentType="image/x-wmf"/>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jc w:val="center"/>
        <w:rPr>
          <w:caps w:val="false"/>
          <w:smallCaps w:val="false"/>
        </w:rPr>
      </w:pPr>
      <w:r>
        <w:rPr>
          <w:caps w:val="false"/>
          <w:smallCaps w:val="false"/>
        </w:rPr>
      </w:r>
    </w:p>
    <w:p>
      <w:pPr>
        <w:pStyle w:val="Logo"/>
        <w:jc w:val="center"/>
        <w:rPr/>
      </w:pPr>
      <w:r>
        <w:rPr>
          <w:b/>
          <w:caps w:val="false"/>
          <w:smallCaps w:val="false"/>
          <w:color w:val="000000"/>
          <w:sz w:val="28"/>
        </w:rPr>
        <w:drawing>
          <wp:inline distT="0" distB="0" distL="0" distR="0">
            <wp:extent cx="1410970" cy="397510"/>
            <wp:effectExtent l="0" t="0" r="0" b="0"/>
            <wp:docPr id="1"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2" descr="" title=""/>
                    <pic:cNvPicPr>
                      <a:picLocks noChangeAspect="1" noChangeArrowheads="1"/>
                    </pic:cNvPicPr>
                  </pic:nvPicPr>
                  <pic:blipFill>
                    <a:blip r:embed="rId2"/>
                    <a:srcRect l="-26" t="-90" r="-26" b="-90"/>
                    <a:stretch>
                      <a:fillRect/>
                    </a:stretch>
                  </pic:blipFill>
                  <pic:spPr bwMode="auto">
                    <a:xfrm>
                      <a:off x="0" y="0"/>
                      <a:ext cx="1410970" cy="397510"/>
                    </a:xfrm>
                    <a:prstGeom prst="rect">
                      <a:avLst/>
                    </a:prstGeom>
                    <a:noFill/>
                  </pic:spPr>
                </pic:pic>
              </a:graphicData>
            </a:graphic>
          </wp:inline>
        </w:drawing>
      </w:r>
      <w:r>
        <w:rPr>
          <w:b/>
          <w:color w:val="000000"/>
          <w:sz w:val="28"/>
        </w:rPr>
        <w:tab/>
      </w:r>
      <w:r>
        <w:rPr/>
        <w:t>July 2, 2001</w:t>
      </w:r>
    </w:p>
    <w:p>
      <w:pPr>
        <w:sectPr>
          <w:headerReference w:type="default" r:id="rId3"/>
          <w:headerReference w:type="first" r:id="rId4"/>
          <w:footerReference w:type="default" r:id="rId5"/>
          <w:footerReference w:type="first" r:id="rId6"/>
          <w:type w:val="nextPage"/>
          <w:pgSz w:w="12240" w:h="15840"/>
          <w:pgMar w:left="3816" w:right="1440" w:gutter="0" w:header="720" w:top="900" w:footer="360" w:bottom="1080"/>
          <w:pgNumType w:fmt="decimal"/>
          <w:formProt w:val="false"/>
          <w:titlePg/>
          <w:textDirection w:val="lrTb"/>
          <w:docGrid w:type="default" w:linePitch="360" w:charSpace="0"/>
        </w:sectPr>
      </w:pPr>
    </w:p>
    <w:tbl>
      <w:tblPr>
        <w:tblW w:w="10170" w:type="dxa"/>
        <w:jc w:val="start"/>
        <w:tblInd w:w="-2070" w:type="dxa"/>
        <w:tblLayout w:type="fixed"/>
        <w:tblCellMar>
          <w:top w:w="0" w:type="dxa"/>
          <w:start w:w="0" w:type="dxa"/>
          <w:bottom w:w="0" w:type="dxa"/>
          <w:end w:w="0" w:type="dxa"/>
        </w:tblCellMar>
      </w:tblPr>
      <w:tblGrid>
        <w:gridCol w:w="10170"/>
      </w:tblGrid>
      <w:tr>
        <w:trPr>
          <w:trHeight w:val="1110" w:hRule="exact"/>
        </w:trPr>
        <w:tc>
          <w:tcPr>
            <w:tcW w:w="10170" w:type="dxa"/>
            <w:tcBorders>
              <w:top w:val="single" w:sz="4" w:space="0" w:color="000000"/>
              <w:bottom w:val="single" w:sz="4" w:space="0" w:color="000000"/>
            </w:tcBorders>
          </w:tcPr>
          <w:p>
            <w:pPr>
              <w:pStyle w:val="HeadTitle"/>
              <w:spacing w:before="60" w:after="0"/>
              <w:ind w:start="0" w:end="0"/>
              <w:jc w:val="center"/>
              <w:rPr>
                <w:rFonts w:ascii="Arial Black" w:hAnsi="Arial Black" w:cs="Arial Black"/>
                <w:i/>
                <w:i/>
                <w:caps/>
                <w:color w:val="0000FF"/>
                <w:sz w:val="52"/>
              </w:rPr>
            </w:pPr>
            <w:r>
              <w:rPr>
                <w:rFonts w:cs="Arial Black" w:ascii="Arial Black" w:hAnsi="Arial Black"/>
                <w:i/>
                <w:caps/>
                <w:color w:val="0000FF"/>
                <w:sz w:val="52"/>
              </w:rPr>
              <w:t>Independent Power Weekly</w:t>
            </w:r>
          </w:p>
          <w:p>
            <w:pPr>
              <w:pStyle w:val="HeadTitle"/>
              <w:spacing w:before="0" w:after="0"/>
              <w:ind w:start="0" w:end="0"/>
              <w:jc w:val="center"/>
              <w:rPr>
                <w:rFonts w:ascii="Arial Black" w:hAnsi="Arial Black" w:cs="Arial Black"/>
                <w:b w:val="false"/>
                <w:caps/>
                <w:color w:val="FF0000"/>
                <w:sz w:val="20"/>
              </w:rPr>
            </w:pPr>
            <w:r>
              <w:rPr>
                <w:rFonts w:cs="Arial Black" w:ascii="Arial Black" w:hAnsi="Arial Black"/>
                <w:b w:val="false"/>
                <w:caps/>
                <w:color w:val="FF0000"/>
                <w:sz w:val="20"/>
              </w:rPr>
              <w:t>ISSUE Thirty-three</w:t>
            </w:r>
          </w:p>
          <w:p>
            <w:pPr>
              <w:pStyle w:val="HeadTitle"/>
              <w:spacing w:before="60" w:after="0"/>
              <w:ind w:start="0" w:end="0"/>
              <w:jc w:val="end"/>
              <w:rPr>
                <w:rFonts w:ascii="Arial Black" w:hAnsi="Arial Black" w:cs="Arial Black"/>
                <w:b w:val="false"/>
                <w:caps/>
                <w:color w:val="FF0000"/>
                <w:sz w:val="20"/>
              </w:rPr>
            </w:pPr>
            <w:r>
              <w:rPr>
                <w:rFonts w:cs="Arial Black" w:ascii="Arial Black" w:hAnsi="Arial Black"/>
                <w:b w:val="false"/>
                <w:caps/>
                <w:color w:val="FF0000"/>
                <w:sz w:val="20"/>
              </w:rPr>
            </w:r>
          </w:p>
        </w:tc>
      </w:tr>
    </w:tbl>
    <w:p>
      <w:pPr>
        <w:pStyle w:val="CameraReadyTableTitle"/>
        <w:spacing w:before="240" w:after="0"/>
        <w:rPr/>
      </w:pPr>
      <w:r>
        <w:drawing>
          <wp:anchor behindDoc="0" distT="0" distB="0" distL="114935" distR="114935" simplePos="0" locked="0" layoutInCell="0" allowOverlap="1" relativeHeight="13">
            <wp:simplePos x="0" y="0"/>
            <wp:positionH relativeFrom="column">
              <wp:posOffset>348615</wp:posOffset>
            </wp:positionH>
            <wp:positionV relativeFrom="paragraph">
              <wp:posOffset>391795</wp:posOffset>
            </wp:positionV>
            <wp:extent cx="3314700" cy="2132965"/>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5" t="-8" r="-5" b="-8"/>
                    <a:stretch>
                      <a:fillRect/>
                    </a:stretch>
                  </pic:blipFill>
                  <pic:spPr bwMode="auto">
                    <a:xfrm>
                      <a:off x="0" y="0"/>
                      <a:ext cx="3314700" cy="2132965"/>
                    </a:xfrm>
                    <a:prstGeom prst="rect">
                      <a:avLst/>
                    </a:prstGeom>
                    <a:noFill/>
                  </pic:spPr>
                </pic:pic>
              </a:graphicData>
            </a:graphic>
          </wp:anchor>
        </w:drawing>
      </w:r>
      <w:r>
        <w:rPr>
          <w:i/>
        </w:rPr>
        <w:t>Exhibit 1:</w:t>
      </w:r>
      <w:r>
        <w:rPr/>
        <w:t xml:space="preserve">   CSFB IPP Composite</w: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ragraph">
                  <wp:posOffset>191770</wp:posOffset>
                </wp:positionV>
                <wp:extent cx="1187450" cy="1468120"/>
                <wp:effectExtent l="0" t="0" r="0" b="0"/>
                <wp:wrapSquare wrapText="bothSides"/>
                <wp:docPr id="4" name="Frame1"/>
                <a:graphic xmlns:a="http://schemas.openxmlformats.org/drawingml/2006/main">
                  <a:graphicData uri="http://schemas.microsoft.com/office/word/2010/wordprocessingShape">
                    <wps:wsp>
                      <wps:cNvSpPr txBox="1"/>
                      <wps:spPr>
                        <a:xfrm>
                          <a:off x="0" y="0"/>
                          <a:ext cx="1187450" cy="1468120"/>
                        </a:xfrm>
                        <a:prstGeom prst="rect"/>
                        <a:solidFill>
                          <a:srgbClr val="FFFFFF">
                            <a:alpha val="0"/>
                          </a:srgbClr>
                        </a:solidFill>
                      </wps:spPr>
                      <wps:txbx>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wps:txbx>
                      <wps:bodyPr anchor="t" lIns="0" tIns="0" rIns="0" bIns="0">
                        <a:noAutofit/>
                      </wps:bodyPr>
                    </wps:wsp>
                  </a:graphicData>
                </a:graphic>
              </wp:anchor>
            </w:drawing>
          </mc:Choice>
          <mc:Fallback>
            <w:pict>
              <v:rect fillcolor="#FFFFFF" style="position:absolute;rotation:-0;width:93.5pt;height:115.6pt;mso-wrap-distance-left:0pt;mso-wrap-distance-right:0pt;mso-wrap-distance-top:0pt;mso-wrap-distance-bottom:0pt;margin-top:15.1pt;mso-position-vertical-relative:text;margin-left:57.65pt;mso-position-horizontal-relative:page">
                <v:fill opacity="0f"/>
                <v:textbox inset="0in,0in,0in,0in">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v:textbox>
                <w10:wrap type="square"/>
              </v:rect>
            </w:pict>
          </mc:Fallback>
        </mc:AlternateContent>
      </w:r>
    </w:p>
    <w:p>
      <w:pPr>
        <w:pStyle w:val="Text"/>
        <w:spacing w:before="120" w:after="0"/>
        <w:rPr>
          <w:sz w:val="16"/>
        </w:rPr>
      </w:pPr>
      <w:r>
        <w:rPr>
          <w:sz w:val="16"/>
        </w:rPr>
        <w:t>Note:  IPP Composite includes:  AES, CPN, IPR, MIR, NRG, ORN, RRI and SGR.</w:t>
      </w:r>
    </w:p>
    <w:p>
      <w:pPr>
        <w:pStyle w:val="Text"/>
        <w:pBdr>
          <w:bottom w:val="single" w:sz="4" w:space="1" w:color="000000"/>
        </w:pBdr>
        <w:spacing w:before="0" w:after="0"/>
        <w:rPr>
          <w:sz w:val="16"/>
        </w:rPr>
      </w:pPr>
      <w:r>
        <w:rPr>
          <w:sz w:val="16"/>
        </w:rPr>
        <w:t>Source:  FactSet and CSFB Estimates</w:t>
      </w:r>
    </w:p>
    <w:p>
      <w:pPr>
        <w:pStyle w:val="Head2"/>
        <w:spacing w:before="180" w:after="0"/>
        <w:rPr/>
      </w:pPr>
      <w:r>
        <w:rPr/>
        <w:t>WEEKLY PERFORMANCE</w:t>
      </w:r>
    </w:p>
    <w:p>
      <w:pPr>
        <w:pStyle w:val="CameraReadyTableTitle"/>
        <w:pBdr>
          <w:bottom w:val="single" w:sz="4" w:space="1" w:color="000000"/>
        </w:pBdr>
        <w:rPr/>
      </w:pPr>
      <w:r>
        <w:drawing>
          <wp:anchor behindDoc="0" distT="0" distB="0" distL="114935" distR="114935" simplePos="0" locked="0" layoutInCell="0" allowOverlap="1" relativeHeight="14">
            <wp:simplePos x="0" y="0"/>
            <wp:positionH relativeFrom="column">
              <wp:posOffset>0</wp:posOffset>
            </wp:positionH>
            <wp:positionV relativeFrom="paragraph">
              <wp:posOffset>279400</wp:posOffset>
            </wp:positionV>
            <wp:extent cx="4692015" cy="1613535"/>
            <wp:effectExtent l="0" t="0" r="0" b="0"/>
            <wp:wrapTopAndBottom/>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8"/>
                    <a:srcRect l="-5" t="-16" r="-5" b="-16"/>
                    <a:stretch>
                      <a:fillRect/>
                    </a:stretch>
                  </pic:blipFill>
                  <pic:spPr bwMode="auto">
                    <a:xfrm>
                      <a:off x="0" y="0"/>
                      <a:ext cx="4692015" cy="1613535"/>
                    </a:xfrm>
                    <a:prstGeom prst="rect">
                      <a:avLst/>
                    </a:prstGeom>
                    <a:noFill/>
                  </pic:spPr>
                </pic:pic>
              </a:graphicData>
            </a:graphic>
          </wp:anchor>
        </w:drawing>
      </w:r>
      <w:r>
        <w:rPr>
          <w:i/>
        </w:rPr>
        <w:t>Exhibit 2:</w:t>
      </w:r>
      <w:r>
        <w:rPr/>
        <w:t xml:space="preserve">   Independent Power Producer Performance</w:t>
      </w:r>
      <w:r>
        <mc:AlternateContent>
          <mc:Choice Requires="wps">
            <w:drawing>
              <wp:anchor behindDoc="0" distT="0" distB="0" distL="114935" distR="114935" simplePos="0" locked="0" layoutInCell="1" allowOverlap="1" relativeHeight="8">
                <wp:simplePos x="0" y="0"/>
                <wp:positionH relativeFrom="column">
                  <wp:posOffset>-1929765</wp:posOffset>
                </wp:positionH>
                <wp:positionV relativeFrom="paragraph">
                  <wp:posOffset>122555</wp:posOffset>
                </wp:positionV>
                <wp:extent cx="1756410" cy="2945130"/>
                <wp:effectExtent l="0" t="0" r="0" b="0"/>
                <wp:wrapNone/>
                <wp:docPr id="6" name="Frame2"/>
                <a:graphic xmlns:a="http://schemas.openxmlformats.org/drawingml/2006/main">
                  <a:graphicData uri="http://schemas.microsoft.com/office/word/2010/wordprocessingShape">
                    <wps:wsp>
                      <wps:cNvSpPr txBox="1"/>
                      <wps:spPr>
                        <a:xfrm>
                          <a:off x="0" y="0"/>
                          <a:ext cx="1756410" cy="2945130"/>
                        </a:xfrm>
                        <a:prstGeom prst="rect"/>
                        <a:solidFill>
                          <a:srgbClr val="FFFFFF"/>
                        </a:solidFill>
                        <a:ln w="19050">
                          <a:solidFill>
                            <a:srgbClr val="000000"/>
                          </a:solidFill>
                        </a:ln>
                      </wps:spPr>
                      <wps:txb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Valuations Remain Attractive (3)</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Q2 Earnings Preview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Review of RRI Analyst Meeting (6)</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(7)</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(8)</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P/E Analysis (9)</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(10)</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(13)</w:t>
                            </w:r>
                          </w:p>
                        </w:txbxContent>
                      </wps:txbx>
                      <wps:bodyPr anchor="t" lIns="91440" tIns="45720" rIns="91440" bIns="45720">
                        <a:noAutofit/>
                      </wps:bodyPr>
                    </wps:wsp>
                  </a:graphicData>
                </a:graphic>
              </wp:anchor>
            </w:drawing>
          </mc:Choice>
          <mc:Fallback>
            <w:pict>
              <v:rect fillcolor="#FFFFFF" strokecolor="#000000" strokeweight="1pt" style="position:absolute;rotation:-0;width:138.3pt;height:231.9pt;mso-wrap-distance-left:9.05pt;mso-wrap-distance-right:9.05pt;mso-wrap-distance-top:0pt;mso-wrap-distance-bottom:0pt;margin-top:9.65pt;mso-position-vertical-relative:text;margin-left:-151.95pt;mso-position-horizontal-relative:text">
                <v:textbo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Valuations Remain Attractive (3)</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Daily California Chronology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Q2 Earnings Preview (4)</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Review of RRI Analyst Meeting (6)</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(7)</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(8)</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P/E Analysis (9)</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(10)</w:t>
                      </w:r>
                    </w:p>
                    <w:p>
                      <w:pPr>
                        <w:pStyle w:val="Normal"/>
                        <w:numPr>
                          <w:ilvl w:val="0"/>
                          <w:numId w:val="8"/>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Bond Spreads (13)</w:t>
                      </w:r>
                    </w:p>
                  </w:txbxContent>
                </v:textbox>
                <w10:wrap type="none"/>
              </v:rect>
            </w:pict>
          </mc:Fallback>
        </mc:AlternateContent>
      </w:r>
    </w:p>
    <w:p>
      <w:pPr>
        <w:pStyle w:val="CameraReadyTableTitle"/>
        <w:spacing w:before="120" w:after="60"/>
        <w:rPr/>
      </w:pPr>
      <w:r>
        <w:drawing>
          <wp:anchor behindDoc="0" distT="0" distB="0" distL="114935" distR="114935" simplePos="0" locked="0" layoutInCell="0" allowOverlap="1" relativeHeight="17">
            <wp:simplePos x="0" y="0"/>
            <wp:positionH relativeFrom="column">
              <wp:posOffset>0</wp:posOffset>
            </wp:positionH>
            <wp:positionV relativeFrom="paragraph">
              <wp:posOffset>2010410</wp:posOffset>
            </wp:positionV>
            <wp:extent cx="4692015" cy="1783715"/>
            <wp:effectExtent l="0" t="0" r="0" b="0"/>
            <wp:wrapTopAndBottom/>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9"/>
                    <a:srcRect l="-5" t="-14" r="-5" b="-14"/>
                    <a:stretch>
                      <a:fillRect/>
                    </a:stretch>
                  </pic:blipFill>
                  <pic:spPr bwMode="auto">
                    <a:xfrm>
                      <a:off x="0" y="0"/>
                      <a:ext cx="4692015" cy="1783715"/>
                    </a:xfrm>
                    <a:prstGeom prst="rect">
                      <a:avLst/>
                    </a:prstGeom>
                    <a:noFill/>
                  </pic:spPr>
                </pic:pic>
              </a:graphicData>
            </a:graphic>
          </wp:anchor>
        </w:drawing>
      </w:r>
      <w:r>
        <w:rPr>
          <w:i/>
        </w:rPr>
        <w:t xml:space="preserve">Exhibit 3:   </w:t>
      </w:r>
      <w:r>
        <w:rPr/>
        <w:t>Utilities with Significant Unregulated Generation Assets</w:t>
      </w:r>
    </w:p>
    <w:p>
      <w:pPr>
        <w:pStyle w:val="Text"/>
        <w:spacing w:before="0" w:after="0"/>
        <w:rPr>
          <w:sz w:val="16"/>
        </w:rPr>
      </w:pPr>
      <w:r>
        <w:rPr>
          <w:sz w:val="16"/>
        </w:rPr>
        <w:t>Source: CSFB estimates, FactSet</w:t>
      </w:r>
    </w:p>
    <w:p>
      <w:pPr>
        <w:sectPr>
          <w:type w:val="continuous"/>
          <w:pgSz w:w="12240" w:h="15840"/>
          <w:pgMar w:left="3312" w:right="1195" w:gutter="0" w:header="720" w:top="900" w:footer="360" w:bottom="1080"/>
          <w:formProt w:val="false"/>
          <w:titlePg/>
          <w:textDirection w:val="lrTb"/>
          <w:docGrid w:type="default" w:linePitch="360" w:charSpace="0"/>
        </w:sectPr>
      </w:pPr>
    </w:p>
    <w:p>
      <w:pPr>
        <w:pStyle w:val="Head1"/>
        <w:rPr/>
      </w:pPr>
      <w:r>
        <w:rPr/>
        <w:t>Weekly Commentary</w:t>
      </w:r>
    </w:p>
    <w:p>
      <w:pPr>
        <w:pStyle w:val="Text"/>
        <w:rPr/>
      </w:pPr>
      <w:r>
        <w:rPr/>
        <w:t>Last week the Independent Power Producers posted their strongest stock price performance since mid-May.  Our composite was up 3.7%, outperforming the S&amp;P 500 (+0.0%), but underperforming the NASDAQ (6.6%).  Mirant was the strongest performer in the group, rising 10.9%.  Reliant Resources was the weakest, falling 2.3%.</w:t>
      </w:r>
    </w:p>
    <w:p>
      <w:pPr>
        <w:pStyle w:val="Text"/>
        <w:rPr/>
      </w:pPr>
      <w:r>
        <w:rPr/>
      </w:r>
    </w:p>
    <w:p>
      <w:pPr>
        <w:pStyle w:val="CameraReadyTableTitle"/>
        <w:spacing w:before="120" w:after="60"/>
        <w:ind w:start="-1170" w:end="0"/>
        <w:rPr>
          <w:i/>
          <w:i/>
        </w:rPr>
      </w:pPr>
      <w:r>
        <w:drawing>
          <wp:anchor behindDoc="0" distT="0" distB="0" distL="114935" distR="114935" simplePos="0" locked="0" layoutInCell="0" allowOverlap="1" relativeHeight="15">
            <wp:simplePos x="0" y="0"/>
            <wp:positionH relativeFrom="column">
              <wp:posOffset>-691515</wp:posOffset>
            </wp:positionH>
            <wp:positionV relativeFrom="paragraph">
              <wp:posOffset>282575</wp:posOffset>
            </wp:positionV>
            <wp:extent cx="5822315" cy="986155"/>
            <wp:effectExtent l="0" t="0" r="0" b="0"/>
            <wp:wrapTopAndBottom/>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0"/>
                    <a:srcRect l="-4" t="-32" r="-4" b="-32"/>
                    <a:stretch>
                      <a:fillRect/>
                    </a:stretch>
                  </pic:blipFill>
                  <pic:spPr bwMode="auto">
                    <a:xfrm>
                      <a:off x="0" y="0"/>
                      <a:ext cx="5822315" cy="986155"/>
                    </a:xfrm>
                    <a:prstGeom prst="rect">
                      <a:avLst/>
                    </a:prstGeom>
                    <a:noFill/>
                  </pic:spPr>
                </pic:pic>
              </a:graphicData>
            </a:graphic>
          </wp:anchor>
        </w:drawing>
      </w:r>
      <w:r>
        <w:rPr>
          <w:i/>
        </w:rPr>
        <w:t>Exhibit 4: Daily Performance For Week Ended 6/29/01</w:t>
      </w:r>
    </w:p>
    <w:p>
      <w:pPr>
        <w:pStyle w:val="Head2"/>
        <w:ind w:start="-1170" w:end="0"/>
        <w:rPr>
          <w:b w:val="false"/>
        </w:rPr>
      </w:pPr>
      <w:r>
        <w:rPr>
          <w:b w:val="false"/>
        </w:rPr>
      </w:r>
    </w:p>
    <w:p>
      <w:pPr>
        <w:pStyle w:val="Text"/>
        <w:pBdr>
          <w:bottom w:val="single" w:sz="4" w:space="1" w:color="000000"/>
        </w:pBdr>
        <w:spacing w:before="0" w:after="60"/>
        <w:ind w:start="-1166" w:end="0"/>
        <w:rPr>
          <w:sz w:val="16"/>
        </w:rPr>
      </w:pPr>
      <w:r>
        <w:rPr>
          <w:sz w:val="16"/>
        </w:rPr>
        <w:t>Source: CSFB, Factset</w:t>
      </w:r>
    </w:p>
    <w:p>
      <w:pPr>
        <w:pStyle w:val="Head2"/>
        <w:rPr>
          <w:sz w:val="16"/>
        </w:rPr>
      </w:pPr>
      <w:r>
        <w:rPr>
          <w:sz w:val="16"/>
        </w:rPr>
      </w:r>
    </w:p>
    <w:p>
      <w:pPr>
        <w:pStyle w:val="Head2"/>
        <w:rPr/>
      </w:pPr>
      <w:r>
        <w:rPr/>
        <w:t>Week in Detail: Focus on the Refund Issue</w:t>
      </w:r>
    </w:p>
    <w:p>
      <w:pPr>
        <w:pStyle w:val="Text"/>
        <w:rPr/>
      </w:pPr>
      <w:r>
        <w:rPr/>
        <w:t>While the IPPs show some signs of renewed strength last week, we believe “technical” end-of-the-quarter selling pressure combined with lingering political concerns prevented a more significant rally from taking place.</w:t>
      </w:r>
    </w:p>
    <w:p>
      <w:pPr>
        <w:pStyle w:val="Text"/>
        <w:rPr/>
      </w:pPr>
      <w:r>
        <w:rPr/>
        <w:t>The most visible political concern revolves around the issue of potential retroactive refunds for power generators.  The first week of a 15 day FERC ordered settlement conference was completed last week, bringing together California power generators and utilities.  The goal of the conference is to get the parties to arrive at an agreement on the issue of refunds and the repayment of past receivables.</w:t>
      </w:r>
    </w:p>
    <w:p>
      <w:pPr>
        <w:pStyle w:val="Text"/>
        <w:rPr/>
      </w:pPr>
      <w:r>
        <w:rPr>
          <w:b/>
        </w:rPr>
        <w:t>Broad Range of Negotiating Positions</w:t>
      </w:r>
      <w:r>
        <w:rPr/>
        <w:t xml:space="preserve">   The range of negotiating positions is extremely broad.  The generators continue to argue that prices charged for past sale of power were just and reasonable.  Therefore, they are not liable for any refunds.  On the opposite end of the spectrum, local California regulators and politicians that generators are liable for refunds of up to $9 billion going back to May 2000.  The FERC, which is the final arbiter on this matter, has argued that at certain times, prices charged were unjust and unreasonable.  To date FERC has ordered generators to refund or justify prices charged for nearly $125 million of past power sales that took place from January- May 2001.  Recently, FERC has hinted that it may expand its retroactive review beyond simply stage 3 emergencies to all hours.  However, FERC does not believe it has authority, under section 206 of the Federal Power Act, to order refunds on power sales prior to October 2, 2000.  </w:t>
      </w:r>
    </w:p>
    <w:p>
      <w:pPr>
        <w:pStyle w:val="Text"/>
        <w:rPr/>
      </w:pPr>
      <w:r>
        <w:rPr>
          <w:b/>
        </w:rPr>
        <w:t>CPN and MIR are Best Positioned</w:t>
      </w:r>
      <w:r>
        <w:rPr/>
        <w:t xml:space="preserve">   In our view, Calpine and Mirant face the least exposure with respect to the refund issue.  Importantly, Calpine’s name has been noticeably absent from the bulk of the investigations and lawsuits concerning potential over-charging.  Further, over the past 12 months, the company has not been an active participant in the California spot market.  Instead all of its California output which was not sold to PG&amp;E under long-term contracts, was marketed on a bilateral basis to a number of municipal and industrial entities.</w:t>
      </w:r>
    </w:p>
    <w:p>
      <w:pPr>
        <w:pStyle w:val="Text"/>
        <w:rPr/>
      </w:pPr>
      <w:r>
        <w:rPr/>
        <w:t>In the case of Mirant, while the company had been involved in the spot market over the past 12 months, the company has reserved about $295 million (75%) against its past receivables.  We regard this action as highly conservative, providing MIR considerable downside protection.</w:t>
      </w:r>
    </w:p>
    <w:p>
      <w:pPr>
        <w:pStyle w:val="Text"/>
        <w:rPr/>
      </w:pPr>
      <w:r>
        <w:rPr>
          <w:b/>
        </w:rPr>
        <w:t>Closure will be a Catalyst</w:t>
      </w:r>
      <w:r>
        <w:rPr/>
        <w:t xml:space="preserve">   In our view, any closure on this issue will be sufficient to serve as a catalyst for the entire group.  Our view is that the market’s litmus test for evaluating recent political and regulatory events must focus on their impact on forward earnings, returns and growth rates.  It is important to remember that while the prospect of refunds creates some uncertainty for the IPPs, this issue has absolutely no bearing on the forward earnings prospects for any of the companies in the sector.</w:t>
      </w:r>
    </w:p>
    <w:p>
      <w:pPr>
        <w:pStyle w:val="Text"/>
        <w:rPr/>
      </w:pPr>
      <w:r>
        <w:rPr/>
        <w:t>We believe the closure that is needed by the market could come within the next few weeks.  The settlement conference may bring some resolution to the situation.  Regardless, if no agreement is reached, FERC will issue a final decision on the matter.</w:t>
      </w:r>
    </w:p>
    <w:p>
      <w:pPr>
        <w:pStyle w:val="Text"/>
        <w:rPr/>
      </w:pPr>
      <w:r>
        <w:rPr/>
      </w:r>
    </w:p>
    <w:p>
      <w:pPr>
        <w:pStyle w:val="Text"/>
        <w:rPr/>
      </w:pPr>
      <w:r>
        <w:rPr/>
      </w:r>
    </w:p>
    <w:p>
      <w:pPr>
        <w:pStyle w:val="Head2"/>
        <w:rPr/>
      </w:pPr>
      <w:r>
        <w:rPr/>
        <w:t>Sector Valuations Remain Attractive</w:t>
      </w:r>
    </w:p>
    <w:p>
      <w:pPr>
        <w:pStyle w:val="Text"/>
        <w:rPr/>
      </w:pPr>
      <w:r>
        <w:rPr/>
        <w:t xml:space="preserve">While fixating on the various political and power market concerns, we believe the market has not focused enough on increasingly attractive current valuations.  On average, the pure play US IPPs are trading at 19.4 and 15.3 times our 2001 and 2002 EPS estimates.  This valuation represents a 14% and 25% discount to the S&amp;P 500, despite an average growth rate of 28% for the IPPs versus 6% for the S&amp;P 500.   </w:t>
      </w:r>
    </w:p>
    <w:p>
      <w:pPr>
        <w:pStyle w:val="Text"/>
        <w:rPr/>
      </w:pPr>
      <w:r>
        <w:rPr/>
      </w:r>
    </w:p>
    <w:p>
      <w:pPr>
        <w:pStyle w:val="TableTitle"/>
        <w:pBdr>
          <w:top w:val="nil"/>
        </w:pBdr>
        <w:ind w:start="-2070" w:end="0"/>
        <w:rPr/>
      </w:pPr>
      <w:r>
        <w:rPr/>
        <w:t>Exhibit 5</w:t>
      </w:r>
    </w:p>
    <w:p>
      <w:pPr>
        <w:pStyle w:val="TableTitle"/>
        <w:pBdr>
          <w:top w:val="nil"/>
          <w:bottom w:val="single" w:sz="4" w:space="1" w:color="000000"/>
        </w:pBdr>
        <w:ind w:start="-2070" w:end="0"/>
        <w:rPr/>
      </w:pPr>
      <w:r>
        <w:rPr/>
        <w:t>Pure Play US IPP Valuation: 12/29/00 vs. 6/29/01</w:t>
      </w:r>
    </w:p>
    <w:tbl>
      <w:tblPr>
        <w:tblW w:w="10061" w:type="dxa"/>
        <w:jc w:val="start"/>
        <w:tblInd w:w="-1962" w:type="dxa"/>
        <w:tblLayout w:type="fixed"/>
        <w:tblCellMar>
          <w:top w:w="0" w:type="dxa"/>
          <w:start w:w="108" w:type="dxa"/>
          <w:bottom w:w="0" w:type="dxa"/>
          <w:end w:w="108" w:type="dxa"/>
        </w:tblCellMar>
      </w:tblPr>
      <w:tblGrid>
        <w:gridCol w:w="810"/>
        <w:gridCol w:w="720"/>
        <w:gridCol w:w="810"/>
        <w:gridCol w:w="720"/>
        <w:gridCol w:w="720"/>
        <w:gridCol w:w="720"/>
        <w:gridCol w:w="450"/>
        <w:gridCol w:w="720"/>
        <w:gridCol w:w="720"/>
        <w:gridCol w:w="720"/>
        <w:gridCol w:w="720"/>
        <w:gridCol w:w="720"/>
        <w:gridCol w:w="720"/>
        <w:gridCol w:w="791"/>
      </w:tblGrid>
      <w:tr>
        <w:trPr/>
        <w:tc>
          <w:tcPr>
            <w:tcW w:w="810" w:type="dxa"/>
            <w:tcBorders/>
          </w:tcPr>
          <w:p>
            <w:pPr>
              <w:pStyle w:val="TableBody"/>
              <w:snapToGrid w:val="false"/>
              <w:rPr>
                <w:b/>
              </w:rPr>
            </w:pPr>
            <w:r>
              <w:rPr>
                <w:b/>
              </w:rPr>
            </w:r>
          </w:p>
        </w:tc>
        <w:tc>
          <w:tcPr>
            <w:tcW w:w="3690" w:type="dxa"/>
            <w:gridSpan w:val="5"/>
            <w:tcBorders>
              <w:bottom w:val="single" w:sz="4" w:space="0" w:color="000000"/>
            </w:tcBorders>
          </w:tcPr>
          <w:p>
            <w:pPr>
              <w:pStyle w:val="TableBody"/>
              <w:jc w:val="center"/>
              <w:rPr>
                <w:b/>
              </w:rPr>
            </w:pPr>
            <w:r>
              <w:rPr>
                <w:b/>
              </w:rPr>
              <w:t>December 29, 2000</w:t>
            </w:r>
          </w:p>
        </w:tc>
        <w:tc>
          <w:tcPr>
            <w:tcW w:w="450" w:type="dxa"/>
            <w:tcBorders/>
          </w:tcPr>
          <w:p>
            <w:pPr>
              <w:pStyle w:val="TableBody"/>
              <w:snapToGrid w:val="false"/>
              <w:rPr>
                <w:b/>
              </w:rPr>
            </w:pPr>
            <w:r>
              <w:rPr>
                <w:b/>
              </w:rPr>
            </w:r>
          </w:p>
        </w:tc>
        <w:tc>
          <w:tcPr>
            <w:tcW w:w="3600" w:type="dxa"/>
            <w:gridSpan w:val="5"/>
            <w:tcBorders>
              <w:bottom w:val="single" w:sz="4" w:space="0" w:color="000000"/>
            </w:tcBorders>
          </w:tcPr>
          <w:p>
            <w:pPr>
              <w:pStyle w:val="TableBody"/>
              <w:jc w:val="center"/>
              <w:rPr>
                <w:b/>
              </w:rPr>
            </w:pPr>
            <w:r>
              <w:rPr>
                <w:b/>
              </w:rPr>
              <w:t>June 29, 2001</w:t>
            </w:r>
          </w:p>
        </w:tc>
        <w:tc>
          <w:tcPr>
            <w:tcW w:w="1511" w:type="dxa"/>
            <w:gridSpan w:val="2"/>
            <w:tcBorders/>
          </w:tcPr>
          <w:p>
            <w:pPr>
              <w:pStyle w:val="TableBody"/>
              <w:jc w:val="center"/>
              <w:rPr>
                <w:b/>
              </w:rPr>
            </w:pPr>
            <w:r>
              <w:rPr>
                <w:b/>
              </w:rPr>
              <w:t>Valuation</w:t>
            </w:r>
          </w:p>
        </w:tc>
      </w:tr>
      <w:tr>
        <w:trPr/>
        <w:tc>
          <w:tcPr>
            <w:tcW w:w="810" w:type="dxa"/>
            <w:tcBorders/>
          </w:tcPr>
          <w:p>
            <w:pPr>
              <w:pStyle w:val="TableBody"/>
              <w:snapToGrid w:val="false"/>
              <w:rPr>
                <w:b/>
              </w:rPr>
            </w:pPr>
            <w:r>
              <w:rPr>
                <w:b/>
              </w:rPr>
            </w:r>
          </w:p>
        </w:tc>
        <w:tc>
          <w:tcPr>
            <w:tcW w:w="720" w:type="dxa"/>
            <w:tcBorders/>
          </w:tcPr>
          <w:p>
            <w:pPr>
              <w:pStyle w:val="TableBody"/>
              <w:snapToGrid w:val="false"/>
              <w:rPr>
                <w:b/>
              </w:rPr>
            </w:pPr>
            <w:r>
              <w:rPr>
                <w:b/>
              </w:rPr>
            </w:r>
          </w:p>
        </w:tc>
        <w:tc>
          <w:tcPr>
            <w:tcW w:w="1530" w:type="dxa"/>
            <w:gridSpan w:val="2"/>
            <w:tcBorders/>
          </w:tcPr>
          <w:p>
            <w:pPr>
              <w:pStyle w:val="TableBody"/>
              <w:jc w:val="center"/>
              <w:rPr>
                <w:b/>
              </w:rPr>
            </w:pPr>
            <w:r>
              <w:rPr>
                <w:b/>
              </w:rPr>
              <w:t>EPS</w:t>
            </w:r>
          </w:p>
        </w:tc>
        <w:tc>
          <w:tcPr>
            <w:tcW w:w="1440" w:type="dxa"/>
            <w:gridSpan w:val="2"/>
            <w:tcBorders/>
          </w:tcPr>
          <w:p>
            <w:pPr>
              <w:pStyle w:val="TableBody"/>
              <w:jc w:val="center"/>
              <w:rPr>
                <w:b/>
              </w:rPr>
            </w:pPr>
            <w:r>
              <w:rPr>
                <w:b/>
              </w:rPr>
              <w:t>P/E</w:t>
            </w:r>
          </w:p>
        </w:tc>
        <w:tc>
          <w:tcPr>
            <w:tcW w:w="450" w:type="dxa"/>
            <w:tcBorders/>
          </w:tcPr>
          <w:p>
            <w:pPr>
              <w:pStyle w:val="TableBody"/>
              <w:snapToGrid w:val="false"/>
              <w:rPr>
                <w:b/>
              </w:rPr>
            </w:pPr>
            <w:r>
              <w:rPr>
                <w:b/>
              </w:rPr>
            </w:r>
          </w:p>
        </w:tc>
        <w:tc>
          <w:tcPr>
            <w:tcW w:w="720" w:type="dxa"/>
            <w:tcBorders/>
          </w:tcPr>
          <w:p>
            <w:pPr>
              <w:pStyle w:val="TableBody"/>
              <w:snapToGrid w:val="false"/>
              <w:rPr>
                <w:b/>
              </w:rPr>
            </w:pPr>
            <w:r>
              <w:rPr>
                <w:b/>
              </w:rPr>
            </w:r>
          </w:p>
        </w:tc>
        <w:tc>
          <w:tcPr>
            <w:tcW w:w="1440" w:type="dxa"/>
            <w:gridSpan w:val="2"/>
            <w:tcBorders/>
          </w:tcPr>
          <w:p>
            <w:pPr>
              <w:pStyle w:val="TableBody"/>
              <w:jc w:val="center"/>
              <w:rPr>
                <w:b/>
              </w:rPr>
            </w:pPr>
            <w:r>
              <w:rPr>
                <w:b/>
              </w:rPr>
              <w:t>EPS</w:t>
            </w:r>
          </w:p>
        </w:tc>
        <w:tc>
          <w:tcPr>
            <w:tcW w:w="1440" w:type="dxa"/>
            <w:gridSpan w:val="2"/>
            <w:tcBorders/>
          </w:tcPr>
          <w:p>
            <w:pPr>
              <w:pStyle w:val="TableBody"/>
              <w:jc w:val="center"/>
              <w:rPr>
                <w:b/>
              </w:rPr>
            </w:pPr>
            <w:r>
              <w:rPr>
                <w:b/>
              </w:rPr>
              <w:t>P/E</w:t>
            </w:r>
          </w:p>
        </w:tc>
        <w:tc>
          <w:tcPr>
            <w:tcW w:w="1511" w:type="dxa"/>
            <w:gridSpan w:val="2"/>
            <w:tcBorders>
              <w:bottom w:val="single" w:sz="4" w:space="0" w:color="000000"/>
            </w:tcBorders>
          </w:tcPr>
          <w:p>
            <w:pPr>
              <w:pStyle w:val="TableBody"/>
              <w:jc w:val="center"/>
              <w:rPr>
                <w:b/>
              </w:rPr>
            </w:pPr>
            <w:r>
              <w:rPr>
                <w:b/>
              </w:rPr>
              <w:t>Delta</w:t>
            </w:r>
          </w:p>
        </w:tc>
      </w:tr>
      <w:tr>
        <w:trPr/>
        <w:tc>
          <w:tcPr>
            <w:tcW w:w="810" w:type="dxa"/>
            <w:tcBorders/>
          </w:tcPr>
          <w:p>
            <w:pPr>
              <w:pStyle w:val="TableBody"/>
              <w:snapToGrid w:val="false"/>
              <w:rPr>
                <w:b/>
              </w:rPr>
            </w:pPr>
            <w:r>
              <w:rPr>
                <w:b/>
              </w:rPr>
            </w:r>
          </w:p>
        </w:tc>
        <w:tc>
          <w:tcPr>
            <w:tcW w:w="720" w:type="dxa"/>
            <w:tcBorders>
              <w:bottom w:val="single" w:sz="4" w:space="0" w:color="000000"/>
            </w:tcBorders>
          </w:tcPr>
          <w:p>
            <w:pPr>
              <w:pStyle w:val="TableBody"/>
              <w:rPr>
                <w:b/>
              </w:rPr>
            </w:pPr>
            <w:r>
              <w:rPr>
                <w:b/>
              </w:rPr>
              <w:t>Price</w:t>
            </w:r>
          </w:p>
        </w:tc>
        <w:tc>
          <w:tcPr>
            <w:tcW w:w="81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450" w:type="dxa"/>
            <w:tcBorders/>
          </w:tcPr>
          <w:p>
            <w:pPr>
              <w:pStyle w:val="TableBody"/>
              <w:snapToGrid w:val="false"/>
              <w:rPr>
                <w:b/>
              </w:rPr>
            </w:pPr>
            <w:r>
              <w:rPr>
                <w:b/>
              </w:rPr>
            </w:r>
          </w:p>
        </w:tc>
        <w:tc>
          <w:tcPr>
            <w:tcW w:w="720" w:type="dxa"/>
            <w:tcBorders>
              <w:bottom w:val="single" w:sz="4" w:space="0" w:color="000000"/>
            </w:tcBorders>
          </w:tcPr>
          <w:p>
            <w:pPr>
              <w:pStyle w:val="TableBody"/>
              <w:rPr>
                <w:b/>
              </w:rPr>
            </w:pPr>
            <w:r>
              <w:rPr>
                <w:b/>
              </w:rPr>
              <w:t>Price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2001E</w:t>
            </w:r>
          </w:p>
        </w:tc>
        <w:tc>
          <w:tcPr>
            <w:tcW w:w="720" w:type="dxa"/>
            <w:tcBorders>
              <w:bottom w:val="single" w:sz="4" w:space="0" w:color="000000"/>
            </w:tcBorders>
          </w:tcPr>
          <w:p>
            <w:pPr>
              <w:pStyle w:val="TableBody"/>
              <w:rPr>
                <w:b/>
              </w:rPr>
            </w:pPr>
            <w:r>
              <w:rPr>
                <w:b/>
              </w:rPr>
              <w:t>2002E</w:t>
            </w:r>
          </w:p>
        </w:tc>
        <w:tc>
          <w:tcPr>
            <w:tcW w:w="720" w:type="dxa"/>
            <w:tcBorders>
              <w:bottom w:val="single" w:sz="4" w:space="0" w:color="000000"/>
            </w:tcBorders>
          </w:tcPr>
          <w:p>
            <w:pPr>
              <w:pStyle w:val="TableBody"/>
              <w:rPr>
                <w:b/>
              </w:rPr>
            </w:pPr>
            <w:r>
              <w:rPr>
                <w:b/>
              </w:rPr>
              <w:t>2001</w:t>
            </w:r>
          </w:p>
        </w:tc>
        <w:tc>
          <w:tcPr>
            <w:tcW w:w="791" w:type="dxa"/>
            <w:tcBorders>
              <w:bottom w:val="single" w:sz="4" w:space="0" w:color="000000"/>
            </w:tcBorders>
          </w:tcPr>
          <w:p>
            <w:pPr>
              <w:pStyle w:val="TableBody"/>
              <w:rPr>
                <w:b/>
              </w:rPr>
            </w:pPr>
            <w:r>
              <w:rPr>
                <w:b/>
              </w:rPr>
              <w:t>2002</w:t>
            </w:r>
          </w:p>
        </w:tc>
      </w:tr>
      <w:tr>
        <w:trPr/>
        <w:tc>
          <w:tcPr>
            <w:tcW w:w="810" w:type="dxa"/>
            <w:tcBorders/>
          </w:tcPr>
          <w:p>
            <w:pPr>
              <w:pStyle w:val="TableBody"/>
              <w:rPr/>
            </w:pPr>
            <w:r>
              <w:rPr/>
              <w:t>AES</w:t>
            </w:r>
          </w:p>
        </w:tc>
        <w:tc>
          <w:tcPr>
            <w:tcW w:w="720" w:type="dxa"/>
            <w:tcBorders/>
          </w:tcPr>
          <w:p>
            <w:pPr>
              <w:pStyle w:val="TableBody"/>
              <w:rPr/>
            </w:pPr>
            <w:r>
              <w:rPr/>
              <w:t>$55.38</w:t>
            </w:r>
          </w:p>
        </w:tc>
        <w:tc>
          <w:tcPr>
            <w:tcW w:w="810" w:type="dxa"/>
            <w:tcBorders/>
          </w:tcPr>
          <w:p>
            <w:pPr>
              <w:pStyle w:val="TableBody"/>
              <w:jc w:val="center"/>
              <w:rPr/>
            </w:pPr>
            <w:r>
              <w:rPr/>
              <w:t>$1.89</w:t>
            </w:r>
          </w:p>
        </w:tc>
        <w:tc>
          <w:tcPr>
            <w:tcW w:w="720" w:type="dxa"/>
            <w:tcBorders/>
          </w:tcPr>
          <w:p>
            <w:pPr>
              <w:pStyle w:val="TableBody"/>
              <w:jc w:val="center"/>
              <w:rPr/>
            </w:pPr>
            <w:r>
              <w:rPr/>
              <w:t>$2.50</w:t>
            </w:r>
          </w:p>
        </w:tc>
        <w:tc>
          <w:tcPr>
            <w:tcW w:w="720" w:type="dxa"/>
            <w:tcBorders/>
          </w:tcPr>
          <w:p>
            <w:pPr>
              <w:pStyle w:val="TableBody"/>
              <w:jc w:val="center"/>
              <w:rPr/>
            </w:pPr>
            <w:r>
              <w:rPr/>
              <w:t>29.3 x</w:t>
            </w:r>
          </w:p>
        </w:tc>
        <w:tc>
          <w:tcPr>
            <w:tcW w:w="720" w:type="dxa"/>
            <w:tcBorders/>
          </w:tcPr>
          <w:p>
            <w:pPr>
              <w:pStyle w:val="TableBody"/>
              <w:jc w:val="center"/>
              <w:rPr/>
            </w:pPr>
            <w:r>
              <w:rPr/>
              <w:t>22.2 x</w:t>
            </w:r>
          </w:p>
        </w:tc>
        <w:tc>
          <w:tcPr>
            <w:tcW w:w="450" w:type="dxa"/>
            <w:tcBorders/>
          </w:tcPr>
          <w:p>
            <w:pPr>
              <w:pStyle w:val="TableBody"/>
              <w:snapToGrid w:val="false"/>
              <w:rPr/>
            </w:pPr>
            <w:r>
              <w:rPr/>
            </w:r>
          </w:p>
        </w:tc>
        <w:tc>
          <w:tcPr>
            <w:tcW w:w="720" w:type="dxa"/>
            <w:tcBorders/>
          </w:tcPr>
          <w:p>
            <w:pPr>
              <w:pStyle w:val="TableBody"/>
              <w:tabs>
                <w:tab w:val="clear" w:pos="720"/>
                <w:tab w:val="decimal" w:pos="252" w:leader="none"/>
              </w:tabs>
              <w:rPr/>
            </w:pPr>
            <w:r>
              <w:rPr/>
              <w:t>$43.05</w:t>
            </w:r>
          </w:p>
        </w:tc>
        <w:tc>
          <w:tcPr>
            <w:tcW w:w="720" w:type="dxa"/>
            <w:tcBorders/>
          </w:tcPr>
          <w:p>
            <w:pPr>
              <w:pStyle w:val="TableBody"/>
              <w:jc w:val="center"/>
              <w:rPr/>
            </w:pPr>
            <w:r>
              <w:rPr/>
              <w:t>$1.89</w:t>
            </w:r>
          </w:p>
        </w:tc>
        <w:tc>
          <w:tcPr>
            <w:tcW w:w="720" w:type="dxa"/>
            <w:tcBorders/>
          </w:tcPr>
          <w:p>
            <w:pPr>
              <w:pStyle w:val="TableBody"/>
              <w:jc w:val="center"/>
              <w:rPr/>
            </w:pPr>
            <w:r>
              <w:rPr/>
              <w:t>$2.50</w:t>
            </w:r>
          </w:p>
        </w:tc>
        <w:tc>
          <w:tcPr>
            <w:tcW w:w="720" w:type="dxa"/>
            <w:tcBorders/>
          </w:tcPr>
          <w:p>
            <w:pPr>
              <w:pStyle w:val="TableBody"/>
              <w:jc w:val="center"/>
              <w:rPr/>
            </w:pPr>
            <w:r>
              <w:rPr/>
              <w:t>22.8X</w:t>
            </w:r>
          </w:p>
        </w:tc>
        <w:tc>
          <w:tcPr>
            <w:tcW w:w="720" w:type="dxa"/>
            <w:tcBorders/>
          </w:tcPr>
          <w:p>
            <w:pPr>
              <w:pStyle w:val="TableBody"/>
              <w:jc w:val="center"/>
              <w:rPr/>
            </w:pPr>
            <w:r>
              <w:rPr/>
              <w:t>17.2X</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CPN</w:t>
            </w:r>
          </w:p>
        </w:tc>
        <w:tc>
          <w:tcPr>
            <w:tcW w:w="720" w:type="dxa"/>
            <w:tcBorders/>
          </w:tcPr>
          <w:p>
            <w:pPr>
              <w:pStyle w:val="TableBody"/>
              <w:rPr/>
            </w:pPr>
            <w:r>
              <w:rPr/>
              <w:t>45.06</w:t>
            </w:r>
          </w:p>
        </w:tc>
        <w:tc>
          <w:tcPr>
            <w:tcW w:w="810" w:type="dxa"/>
            <w:tcBorders/>
          </w:tcPr>
          <w:p>
            <w:pPr>
              <w:pStyle w:val="TableBody"/>
              <w:jc w:val="center"/>
              <w:rPr/>
            </w:pPr>
            <w:r>
              <w:rPr/>
              <w:t>1.20</w:t>
            </w:r>
          </w:p>
        </w:tc>
        <w:tc>
          <w:tcPr>
            <w:tcW w:w="720" w:type="dxa"/>
            <w:tcBorders/>
          </w:tcPr>
          <w:p>
            <w:pPr>
              <w:pStyle w:val="TableBody"/>
              <w:jc w:val="center"/>
              <w:rPr/>
            </w:pPr>
            <w:r>
              <w:rPr/>
              <w:t>1.53</w:t>
            </w:r>
          </w:p>
        </w:tc>
        <w:tc>
          <w:tcPr>
            <w:tcW w:w="720" w:type="dxa"/>
            <w:tcBorders/>
          </w:tcPr>
          <w:p>
            <w:pPr>
              <w:pStyle w:val="TableBody"/>
              <w:jc w:val="center"/>
              <w:rPr/>
            </w:pPr>
            <w:r>
              <w:rPr/>
              <w:t>37.6</w:t>
            </w:r>
          </w:p>
        </w:tc>
        <w:tc>
          <w:tcPr>
            <w:tcW w:w="720" w:type="dxa"/>
            <w:tcBorders/>
          </w:tcPr>
          <w:p>
            <w:pPr>
              <w:pStyle w:val="TableBody"/>
              <w:jc w:val="center"/>
              <w:rPr/>
            </w:pPr>
            <w:r>
              <w:rPr/>
              <w:t>29.5</w:t>
            </w:r>
          </w:p>
        </w:tc>
        <w:tc>
          <w:tcPr>
            <w:tcW w:w="450" w:type="dxa"/>
            <w:tcBorders/>
          </w:tcPr>
          <w:p>
            <w:pPr>
              <w:pStyle w:val="TableBody"/>
              <w:snapToGrid w:val="false"/>
              <w:rPr/>
            </w:pPr>
            <w:r>
              <w:rPr/>
            </w:r>
          </w:p>
        </w:tc>
        <w:tc>
          <w:tcPr>
            <w:tcW w:w="720" w:type="dxa"/>
            <w:tcBorders/>
          </w:tcPr>
          <w:p>
            <w:pPr>
              <w:pStyle w:val="TableBody"/>
              <w:tabs>
                <w:tab w:val="clear" w:pos="720"/>
                <w:tab w:val="decimal" w:pos="252" w:leader="none"/>
              </w:tabs>
              <w:rPr/>
            </w:pPr>
            <w:r>
              <w:rPr/>
              <w:t>37.80</w:t>
            </w:r>
          </w:p>
        </w:tc>
        <w:tc>
          <w:tcPr>
            <w:tcW w:w="720" w:type="dxa"/>
            <w:tcBorders/>
          </w:tcPr>
          <w:p>
            <w:pPr>
              <w:pStyle w:val="TableBody"/>
              <w:jc w:val="center"/>
              <w:rPr/>
            </w:pPr>
            <w:r>
              <w:rPr/>
              <w:t>1.90</w:t>
            </w:r>
          </w:p>
        </w:tc>
        <w:tc>
          <w:tcPr>
            <w:tcW w:w="720" w:type="dxa"/>
            <w:tcBorders/>
          </w:tcPr>
          <w:p>
            <w:pPr>
              <w:pStyle w:val="TableBody"/>
              <w:jc w:val="center"/>
              <w:rPr/>
            </w:pPr>
            <w:r>
              <w:rPr/>
              <w:t>2.27</w:t>
            </w:r>
          </w:p>
        </w:tc>
        <w:tc>
          <w:tcPr>
            <w:tcW w:w="720" w:type="dxa"/>
            <w:tcBorders/>
          </w:tcPr>
          <w:p>
            <w:pPr>
              <w:pStyle w:val="TableBody"/>
              <w:jc w:val="center"/>
              <w:rPr/>
            </w:pPr>
            <w:r>
              <w:rPr/>
              <w:t>19.9</w:t>
            </w:r>
          </w:p>
        </w:tc>
        <w:tc>
          <w:tcPr>
            <w:tcW w:w="720" w:type="dxa"/>
            <w:tcBorders/>
          </w:tcPr>
          <w:p>
            <w:pPr>
              <w:pStyle w:val="TableBody"/>
              <w:jc w:val="center"/>
              <w:rPr/>
            </w:pPr>
            <w:r>
              <w:rPr/>
              <w:t>16.7</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MIR</w:t>
            </w:r>
          </w:p>
        </w:tc>
        <w:tc>
          <w:tcPr>
            <w:tcW w:w="720" w:type="dxa"/>
            <w:tcBorders/>
          </w:tcPr>
          <w:p>
            <w:pPr>
              <w:pStyle w:val="TableBody"/>
              <w:rPr/>
            </w:pPr>
            <w:r>
              <w:rPr/>
              <w:t>28.31</w:t>
            </w:r>
          </w:p>
        </w:tc>
        <w:tc>
          <w:tcPr>
            <w:tcW w:w="810" w:type="dxa"/>
            <w:tcBorders/>
          </w:tcPr>
          <w:p>
            <w:pPr>
              <w:pStyle w:val="TableBody"/>
              <w:jc w:val="center"/>
              <w:rPr/>
            </w:pPr>
            <w:r>
              <w:rPr/>
              <w:t>1.10</w:t>
            </w:r>
          </w:p>
        </w:tc>
        <w:tc>
          <w:tcPr>
            <w:tcW w:w="720" w:type="dxa"/>
            <w:tcBorders/>
          </w:tcPr>
          <w:p>
            <w:pPr>
              <w:pStyle w:val="TableBody"/>
              <w:jc w:val="center"/>
              <w:rPr/>
            </w:pPr>
            <w:r>
              <w:rPr/>
              <w:t>1.35</w:t>
            </w:r>
          </w:p>
        </w:tc>
        <w:tc>
          <w:tcPr>
            <w:tcW w:w="720" w:type="dxa"/>
            <w:tcBorders/>
          </w:tcPr>
          <w:p>
            <w:pPr>
              <w:pStyle w:val="TableBody"/>
              <w:jc w:val="center"/>
              <w:rPr/>
            </w:pPr>
            <w:r>
              <w:rPr/>
              <w:t>25.7</w:t>
            </w:r>
          </w:p>
        </w:tc>
        <w:tc>
          <w:tcPr>
            <w:tcW w:w="720" w:type="dxa"/>
            <w:tcBorders/>
          </w:tcPr>
          <w:p>
            <w:pPr>
              <w:pStyle w:val="TableBody"/>
              <w:jc w:val="center"/>
              <w:rPr/>
            </w:pPr>
            <w:r>
              <w:rPr/>
              <w:t>21.0</w:t>
            </w:r>
          </w:p>
        </w:tc>
        <w:tc>
          <w:tcPr>
            <w:tcW w:w="450" w:type="dxa"/>
            <w:tcBorders/>
          </w:tcPr>
          <w:p>
            <w:pPr>
              <w:pStyle w:val="TableBody"/>
              <w:snapToGrid w:val="false"/>
              <w:rPr/>
            </w:pPr>
            <w:r>
              <w:rPr/>
            </w:r>
          </w:p>
        </w:tc>
        <w:tc>
          <w:tcPr>
            <w:tcW w:w="720" w:type="dxa"/>
            <w:tcBorders/>
          </w:tcPr>
          <w:p>
            <w:pPr>
              <w:pStyle w:val="TableBody"/>
              <w:tabs>
                <w:tab w:val="clear" w:pos="720"/>
                <w:tab w:val="decimal" w:pos="252" w:leader="none"/>
              </w:tabs>
              <w:rPr/>
            </w:pPr>
            <w:r>
              <w:rPr/>
              <w:t>34.40</w:t>
            </w:r>
          </w:p>
        </w:tc>
        <w:tc>
          <w:tcPr>
            <w:tcW w:w="720" w:type="dxa"/>
            <w:tcBorders/>
          </w:tcPr>
          <w:p>
            <w:pPr>
              <w:pStyle w:val="TableBody"/>
              <w:jc w:val="center"/>
              <w:rPr/>
            </w:pPr>
            <w:r>
              <w:rPr/>
              <w:t>1.90</w:t>
            </w:r>
          </w:p>
        </w:tc>
        <w:tc>
          <w:tcPr>
            <w:tcW w:w="720" w:type="dxa"/>
            <w:tcBorders/>
          </w:tcPr>
          <w:p>
            <w:pPr>
              <w:pStyle w:val="TableBody"/>
              <w:jc w:val="center"/>
              <w:rPr/>
            </w:pPr>
            <w:r>
              <w:rPr/>
              <w:t>2.28</w:t>
            </w:r>
          </w:p>
        </w:tc>
        <w:tc>
          <w:tcPr>
            <w:tcW w:w="720" w:type="dxa"/>
            <w:tcBorders/>
          </w:tcPr>
          <w:p>
            <w:pPr>
              <w:pStyle w:val="TableBody"/>
              <w:jc w:val="center"/>
              <w:rPr/>
            </w:pPr>
            <w:r>
              <w:rPr/>
              <w:t>18.1</w:t>
            </w:r>
          </w:p>
        </w:tc>
        <w:tc>
          <w:tcPr>
            <w:tcW w:w="720" w:type="dxa"/>
            <w:tcBorders/>
          </w:tcPr>
          <w:p>
            <w:pPr>
              <w:pStyle w:val="TableBody"/>
              <w:jc w:val="center"/>
              <w:rPr/>
            </w:pPr>
            <w:r>
              <w:rPr/>
              <w:t>15.1</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tcPr>
          <w:p>
            <w:pPr>
              <w:pStyle w:val="TableBody"/>
              <w:rPr/>
            </w:pPr>
            <w:r>
              <w:rPr/>
              <w:t>NRG</w:t>
            </w:r>
          </w:p>
        </w:tc>
        <w:tc>
          <w:tcPr>
            <w:tcW w:w="720" w:type="dxa"/>
            <w:tcBorders/>
          </w:tcPr>
          <w:p>
            <w:pPr>
              <w:pStyle w:val="TableBody"/>
              <w:rPr/>
            </w:pPr>
            <w:r>
              <w:rPr/>
              <w:t>27.81</w:t>
            </w:r>
          </w:p>
        </w:tc>
        <w:tc>
          <w:tcPr>
            <w:tcW w:w="810" w:type="dxa"/>
            <w:tcBorders/>
          </w:tcPr>
          <w:p>
            <w:pPr>
              <w:pStyle w:val="TableBody"/>
              <w:jc w:val="center"/>
              <w:rPr/>
            </w:pPr>
            <w:r>
              <w:rPr/>
              <w:t>1.25</w:t>
            </w:r>
          </w:p>
        </w:tc>
        <w:tc>
          <w:tcPr>
            <w:tcW w:w="720" w:type="dxa"/>
            <w:tcBorders/>
          </w:tcPr>
          <w:p>
            <w:pPr>
              <w:pStyle w:val="TableBody"/>
              <w:jc w:val="center"/>
              <w:rPr/>
            </w:pPr>
            <w:r>
              <w:rPr/>
              <w:t>1.50</w:t>
            </w:r>
          </w:p>
        </w:tc>
        <w:tc>
          <w:tcPr>
            <w:tcW w:w="720" w:type="dxa"/>
            <w:tcBorders/>
          </w:tcPr>
          <w:p>
            <w:pPr>
              <w:pStyle w:val="TableBody"/>
              <w:jc w:val="center"/>
              <w:rPr/>
            </w:pPr>
            <w:r>
              <w:rPr/>
              <w:t>22.3</w:t>
            </w:r>
          </w:p>
        </w:tc>
        <w:tc>
          <w:tcPr>
            <w:tcW w:w="720" w:type="dxa"/>
            <w:tcBorders/>
          </w:tcPr>
          <w:p>
            <w:pPr>
              <w:pStyle w:val="TableBody"/>
              <w:jc w:val="center"/>
              <w:rPr/>
            </w:pPr>
            <w:r>
              <w:rPr/>
              <w:t>18.5</w:t>
            </w:r>
          </w:p>
        </w:tc>
        <w:tc>
          <w:tcPr>
            <w:tcW w:w="450" w:type="dxa"/>
            <w:tcBorders/>
          </w:tcPr>
          <w:p>
            <w:pPr>
              <w:pStyle w:val="TableBody"/>
              <w:snapToGrid w:val="false"/>
              <w:rPr/>
            </w:pPr>
            <w:r>
              <w:rPr/>
            </w:r>
          </w:p>
        </w:tc>
        <w:tc>
          <w:tcPr>
            <w:tcW w:w="720" w:type="dxa"/>
            <w:tcBorders/>
          </w:tcPr>
          <w:p>
            <w:pPr>
              <w:pStyle w:val="TableBody"/>
              <w:tabs>
                <w:tab w:val="clear" w:pos="720"/>
                <w:tab w:val="decimal" w:pos="252" w:leader="none"/>
              </w:tabs>
              <w:rPr/>
            </w:pPr>
            <w:r>
              <w:rPr/>
              <w:t>22.08</w:t>
            </w:r>
          </w:p>
        </w:tc>
        <w:tc>
          <w:tcPr>
            <w:tcW w:w="720" w:type="dxa"/>
            <w:tcBorders/>
          </w:tcPr>
          <w:p>
            <w:pPr>
              <w:pStyle w:val="TableBody"/>
              <w:jc w:val="center"/>
              <w:rPr/>
            </w:pPr>
            <w:r>
              <w:rPr/>
              <w:t>1.35</w:t>
            </w:r>
          </w:p>
        </w:tc>
        <w:tc>
          <w:tcPr>
            <w:tcW w:w="720" w:type="dxa"/>
            <w:tcBorders/>
          </w:tcPr>
          <w:p>
            <w:pPr>
              <w:pStyle w:val="TableBody"/>
              <w:jc w:val="center"/>
              <w:rPr/>
            </w:pPr>
            <w:r>
              <w:rPr/>
              <w:t>1.75</w:t>
            </w:r>
          </w:p>
        </w:tc>
        <w:tc>
          <w:tcPr>
            <w:tcW w:w="720" w:type="dxa"/>
            <w:tcBorders/>
          </w:tcPr>
          <w:p>
            <w:pPr>
              <w:pStyle w:val="TableBody"/>
              <w:jc w:val="center"/>
              <w:rPr/>
            </w:pPr>
            <w:r>
              <w:rPr/>
              <w:t>16.4</w:t>
            </w:r>
          </w:p>
        </w:tc>
        <w:tc>
          <w:tcPr>
            <w:tcW w:w="720" w:type="dxa"/>
            <w:tcBorders/>
          </w:tcPr>
          <w:p>
            <w:pPr>
              <w:pStyle w:val="TableBody"/>
              <w:jc w:val="center"/>
              <w:rPr/>
            </w:pPr>
            <w:r>
              <w:rPr/>
              <w:t>12.6</w:t>
            </w:r>
          </w:p>
        </w:tc>
        <w:tc>
          <w:tcPr>
            <w:tcW w:w="720" w:type="dxa"/>
            <w:tcBorders/>
          </w:tcPr>
          <w:p>
            <w:pPr>
              <w:pStyle w:val="TableBody"/>
              <w:snapToGrid w:val="false"/>
              <w:jc w:val="center"/>
              <w:rPr/>
            </w:pPr>
            <w:r>
              <w:rPr/>
            </w:r>
          </w:p>
        </w:tc>
        <w:tc>
          <w:tcPr>
            <w:tcW w:w="791" w:type="dxa"/>
            <w:tcBorders/>
          </w:tcPr>
          <w:p>
            <w:pPr>
              <w:pStyle w:val="TableBody"/>
              <w:snapToGrid w:val="false"/>
              <w:jc w:val="center"/>
              <w:rPr/>
            </w:pPr>
            <w:r>
              <w:rPr/>
            </w:r>
          </w:p>
        </w:tc>
      </w:tr>
      <w:tr>
        <w:trPr/>
        <w:tc>
          <w:tcPr>
            <w:tcW w:w="810" w:type="dxa"/>
            <w:tcBorders>
              <w:bottom w:val="single" w:sz="4" w:space="0" w:color="000000"/>
            </w:tcBorders>
          </w:tcPr>
          <w:p>
            <w:pPr>
              <w:pStyle w:val="TableBody"/>
              <w:rPr/>
            </w:pPr>
            <w:r>
              <w:rPr/>
              <w:t>ORN</w:t>
            </w:r>
          </w:p>
        </w:tc>
        <w:tc>
          <w:tcPr>
            <w:tcW w:w="720" w:type="dxa"/>
            <w:tcBorders>
              <w:bottom w:val="single" w:sz="4" w:space="0" w:color="000000"/>
            </w:tcBorders>
          </w:tcPr>
          <w:p>
            <w:pPr>
              <w:pStyle w:val="TableBody"/>
              <w:rPr/>
            </w:pPr>
            <w:r>
              <w:rPr/>
              <w:t>24.63</w:t>
            </w:r>
          </w:p>
        </w:tc>
        <w:tc>
          <w:tcPr>
            <w:tcW w:w="810" w:type="dxa"/>
            <w:tcBorders>
              <w:bottom w:val="single" w:sz="4" w:space="0" w:color="000000"/>
            </w:tcBorders>
          </w:tcPr>
          <w:p>
            <w:pPr>
              <w:pStyle w:val="TableBody"/>
              <w:jc w:val="center"/>
              <w:rPr/>
            </w:pPr>
            <w:r>
              <w:rPr/>
              <w:t>1.15</w:t>
            </w:r>
          </w:p>
        </w:tc>
        <w:tc>
          <w:tcPr>
            <w:tcW w:w="720" w:type="dxa"/>
            <w:tcBorders>
              <w:bottom w:val="single" w:sz="4" w:space="0" w:color="000000"/>
            </w:tcBorders>
          </w:tcPr>
          <w:p>
            <w:pPr>
              <w:pStyle w:val="TableBody"/>
              <w:jc w:val="center"/>
              <w:rPr/>
            </w:pPr>
            <w:r>
              <w:rPr/>
              <w:t>1.50</w:t>
            </w:r>
          </w:p>
        </w:tc>
        <w:tc>
          <w:tcPr>
            <w:tcW w:w="720" w:type="dxa"/>
            <w:tcBorders>
              <w:bottom w:val="single" w:sz="4" w:space="0" w:color="000000"/>
            </w:tcBorders>
          </w:tcPr>
          <w:p>
            <w:pPr>
              <w:pStyle w:val="TableBody"/>
              <w:jc w:val="center"/>
              <w:rPr/>
            </w:pPr>
            <w:r>
              <w:rPr/>
              <w:t>21.4</w:t>
            </w:r>
          </w:p>
        </w:tc>
        <w:tc>
          <w:tcPr>
            <w:tcW w:w="720" w:type="dxa"/>
            <w:tcBorders>
              <w:bottom w:val="single" w:sz="4" w:space="0" w:color="000000"/>
            </w:tcBorders>
          </w:tcPr>
          <w:p>
            <w:pPr>
              <w:pStyle w:val="TableBody"/>
              <w:jc w:val="center"/>
              <w:rPr/>
            </w:pPr>
            <w:r>
              <w:rPr/>
              <w:t>16.4</w:t>
            </w:r>
          </w:p>
        </w:tc>
        <w:tc>
          <w:tcPr>
            <w:tcW w:w="450" w:type="dxa"/>
            <w:tcBorders/>
          </w:tcPr>
          <w:p>
            <w:pPr>
              <w:pStyle w:val="TableBody"/>
              <w:snapToGrid w:val="false"/>
              <w:rPr/>
            </w:pPr>
            <w:r>
              <w:rPr/>
            </w:r>
          </w:p>
        </w:tc>
        <w:tc>
          <w:tcPr>
            <w:tcW w:w="720" w:type="dxa"/>
            <w:tcBorders>
              <w:bottom w:val="single" w:sz="4" w:space="0" w:color="000000"/>
            </w:tcBorders>
          </w:tcPr>
          <w:p>
            <w:pPr>
              <w:pStyle w:val="TableBody"/>
              <w:tabs>
                <w:tab w:val="clear" w:pos="720"/>
                <w:tab w:val="decimal" w:pos="252" w:leader="none"/>
              </w:tabs>
              <w:rPr/>
            </w:pPr>
            <w:r>
              <w:rPr/>
              <w:t>23.81</w:t>
            </w:r>
          </w:p>
        </w:tc>
        <w:tc>
          <w:tcPr>
            <w:tcW w:w="720" w:type="dxa"/>
            <w:tcBorders>
              <w:bottom w:val="single" w:sz="4" w:space="0" w:color="000000"/>
            </w:tcBorders>
          </w:tcPr>
          <w:p>
            <w:pPr>
              <w:pStyle w:val="TableBody"/>
              <w:jc w:val="center"/>
              <w:rPr/>
            </w:pPr>
            <w:r>
              <w:rPr/>
              <w:t>1.20</w:t>
            </w:r>
          </w:p>
        </w:tc>
        <w:tc>
          <w:tcPr>
            <w:tcW w:w="720" w:type="dxa"/>
            <w:tcBorders>
              <w:bottom w:val="single" w:sz="4" w:space="0" w:color="000000"/>
            </w:tcBorders>
          </w:tcPr>
          <w:p>
            <w:pPr>
              <w:pStyle w:val="TableBody"/>
              <w:jc w:val="center"/>
              <w:rPr/>
            </w:pPr>
            <w:r>
              <w:rPr/>
              <w:t>1.60</w:t>
            </w:r>
          </w:p>
        </w:tc>
        <w:tc>
          <w:tcPr>
            <w:tcW w:w="720" w:type="dxa"/>
            <w:tcBorders>
              <w:bottom w:val="single" w:sz="4" w:space="0" w:color="000000"/>
            </w:tcBorders>
          </w:tcPr>
          <w:p>
            <w:pPr>
              <w:pStyle w:val="TableBody"/>
              <w:jc w:val="center"/>
              <w:rPr/>
            </w:pPr>
            <w:r>
              <w:rPr/>
              <w:t>19.8</w:t>
            </w:r>
          </w:p>
        </w:tc>
        <w:tc>
          <w:tcPr>
            <w:tcW w:w="720" w:type="dxa"/>
            <w:tcBorders>
              <w:bottom w:val="single" w:sz="4" w:space="0" w:color="000000"/>
            </w:tcBorders>
          </w:tcPr>
          <w:p>
            <w:pPr>
              <w:pStyle w:val="TableBody"/>
              <w:jc w:val="center"/>
              <w:rPr/>
            </w:pPr>
            <w:r>
              <w:rPr/>
              <w:t>14.9</w:t>
            </w:r>
          </w:p>
        </w:tc>
        <w:tc>
          <w:tcPr>
            <w:tcW w:w="720" w:type="dxa"/>
            <w:tcBorders>
              <w:bottom w:val="single" w:sz="4" w:space="0" w:color="000000"/>
            </w:tcBorders>
          </w:tcPr>
          <w:p>
            <w:pPr>
              <w:pStyle w:val="TableBody"/>
              <w:snapToGrid w:val="false"/>
              <w:jc w:val="center"/>
              <w:rPr/>
            </w:pPr>
            <w:r>
              <w:rPr/>
            </w:r>
          </w:p>
        </w:tc>
        <w:tc>
          <w:tcPr>
            <w:tcW w:w="791" w:type="dxa"/>
            <w:tcBorders>
              <w:bottom w:val="single" w:sz="4" w:space="0" w:color="000000"/>
            </w:tcBorders>
          </w:tcPr>
          <w:p>
            <w:pPr>
              <w:pStyle w:val="TableBody"/>
              <w:snapToGrid w:val="false"/>
              <w:jc w:val="center"/>
              <w:rPr/>
            </w:pPr>
            <w:r>
              <w:rPr/>
            </w:r>
          </w:p>
        </w:tc>
      </w:tr>
      <w:tr>
        <w:trPr/>
        <w:tc>
          <w:tcPr>
            <w:tcW w:w="810" w:type="dxa"/>
            <w:tcBorders/>
          </w:tcPr>
          <w:p>
            <w:pPr>
              <w:pStyle w:val="TableBody"/>
              <w:rPr>
                <w:b/>
              </w:rPr>
            </w:pPr>
            <w:r>
              <w:rPr>
                <w:b/>
              </w:rPr>
              <w:t>Average</w:t>
            </w:r>
          </w:p>
        </w:tc>
        <w:tc>
          <w:tcPr>
            <w:tcW w:w="720" w:type="dxa"/>
            <w:tcBorders/>
          </w:tcPr>
          <w:p>
            <w:pPr>
              <w:pStyle w:val="TableBody"/>
              <w:rPr>
                <w:b/>
              </w:rPr>
            </w:pPr>
            <w:r>
              <w:rPr>
                <w:b/>
              </w:rPr>
              <w:t>$36.24</w:t>
            </w:r>
          </w:p>
        </w:tc>
        <w:tc>
          <w:tcPr>
            <w:tcW w:w="810" w:type="dxa"/>
            <w:tcBorders/>
          </w:tcPr>
          <w:p>
            <w:pPr>
              <w:pStyle w:val="TableBody"/>
              <w:jc w:val="center"/>
              <w:rPr>
                <w:b/>
              </w:rPr>
            </w:pPr>
            <w:r>
              <w:rPr>
                <w:b/>
              </w:rPr>
              <w:t>$1.32</w:t>
            </w:r>
          </w:p>
        </w:tc>
        <w:tc>
          <w:tcPr>
            <w:tcW w:w="720" w:type="dxa"/>
            <w:tcBorders/>
          </w:tcPr>
          <w:p>
            <w:pPr>
              <w:pStyle w:val="TableBody"/>
              <w:jc w:val="center"/>
              <w:rPr>
                <w:b/>
              </w:rPr>
            </w:pPr>
            <w:r>
              <w:rPr>
                <w:b/>
              </w:rPr>
              <w:t>$1.68</w:t>
            </w:r>
          </w:p>
        </w:tc>
        <w:tc>
          <w:tcPr>
            <w:tcW w:w="720" w:type="dxa"/>
            <w:tcBorders/>
          </w:tcPr>
          <w:p>
            <w:pPr>
              <w:pStyle w:val="TableBody"/>
              <w:jc w:val="center"/>
              <w:rPr>
                <w:b/>
              </w:rPr>
            </w:pPr>
            <w:r>
              <w:rPr>
                <w:b/>
              </w:rPr>
              <w:t>27.3 x</w:t>
            </w:r>
          </w:p>
        </w:tc>
        <w:tc>
          <w:tcPr>
            <w:tcW w:w="720" w:type="dxa"/>
            <w:tcBorders/>
          </w:tcPr>
          <w:p>
            <w:pPr>
              <w:pStyle w:val="TableBody"/>
              <w:jc w:val="center"/>
              <w:rPr>
                <w:b/>
              </w:rPr>
            </w:pPr>
            <w:r>
              <w:rPr>
                <w:b/>
              </w:rPr>
              <w:t>21.5 x</w:t>
            </w:r>
          </w:p>
        </w:tc>
        <w:tc>
          <w:tcPr>
            <w:tcW w:w="450" w:type="dxa"/>
            <w:tcBorders/>
          </w:tcPr>
          <w:p>
            <w:pPr>
              <w:pStyle w:val="TableBody"/>
              <w:snapToGrid w:val="false"/>
              <w:rPr>
                <w:b/>
              </w:rPr>
            </w:pPr>
            <w:r>
              <w:rPr>
                <w:b/>
              </w:rPr>
            </w:r>
          </w:p>
        </w:tc>
        <w:tc>
          <w:tcPr>
            <w:tcW w:w="720" w:type="dxa"/>
            <w:tcBorders/>
          </w:tcPr>
          <w:p>
            <w:pPr>
              <w:pStyle w:val="TableBody"/>
              <w:tabs>
                <w:tab w:val="clear" w:pos="720"/>
                <w:tab w:val="decimal" w:pos="252" w:leader="none"/>
              </w:tabs>
              <w:rPr>
                <w:b/>
              </w:rPr>
            </w:pPr>
            <w:r>
              <w:rPr>
                <w:b/>
              </w:rPr>
              <w:t>$32.22</w:t>
            </w:r>
          </w:p>
        </w:tc>
        <w:tc>
          <w:tcPr>
            <w:tcW w:w="720" w:type="dxa"/>
            <w:tcBorders/>
          </w:tcPr>
          <w:p>
            <w:pPr>
              <w:pStyle w:val="TableBody"/>
              <w:jc w:val="center"/>
              <w:rPr>
                <w:b/>
              </w:rPr>
            </w:pPr>
            <w:r>
              <w:rPr>
                <w:b/>
              </w:rPr>
              <w:t>$1.65</w:t>
            </w:r>
          </w:p>
        </w:tc>
        <w:tc>
          <w:tcPr>
            <w:tcW w:w="720" w:type="dxa"/>
            <w:tcBorders/>
          </w:tcPr>
          <w:p>
            <w:pPr>
              <w:pStyle w:val="TableBody"/>
              <w:jc w:val="center"/>
              <w:rPr>
                <w:b/>
              </w:rPr>
            </w:pPr>
            <w:r>
              <w:rPr>
                <w:b/>
              </w:rPr>
              <w:t>$2.08</w:t>
            </w:r>
          </w:p>
        </w:tc>
        <w:tc>
          <w:tcPr>
            <w:tcW w:w="720" w:type="dxa"/>
            <w:tcBorders/>
          </w:tcPr>
          <w:p>
            <w:pPr>
              <w:pStyle w:val="TableBody"/>
              <w:jc w:val="center"/>
              <w:rPr>
                <w:b/>
              </w:rPr>
            </w:pPr>
            <w:r>
              <w:rPr>
                <w:b/>
              </w:rPr>
              <w:t>19.4x</w:t>
            </w:r>
          </w:p>
        </w:tc>
        <w:tc>
          <w:tcPr>
            <w:tcW w:w="720" w:type="dxa"/>
            <w:tcBorders/>
          </w:tcPr>
          <w:p>
            <w:pPr>
              <w:pStyle w:val="TableBody"/>
              <w:jc w:val="center"/>
              <w:rPr>
                <w:b/>
              </w:rPr>
            </w:pPr>
            <w:r>
              <w:rPr>
                <w:b/>
              </w:rPr>
              <w:t>15.3x</w:t>
            </w:r>
          </w:p>
        </w:tc>
        <w:tc>
          <w:tcPr>
            <w:tcW w:w="720" w:type="dxa"/>
            <w:tcBorders/>
          </w:tcPr>
          <w:p>
            <w:pPr>
              <w:pStyle w:val="TableBody"/>
              <w:jc w:val="center"/>
              <w:rPr>
                <w:b/>
              </w:rPr>
            </w:pPr>
            <w:r>
              <w:rPr>
                <w:b/>
              </w:rPr>
              <w:t>28.9%</w:t>
            </w:r>
          </w:p>
        </w:tc>
        <w:tc>
          <w:tcPr>
            <w:tcW w:w="791" w:type="dxa"/>
            <w:tcBorders/>
          </w:tcPr>
          <w:p>
            <w:pPr>
              <w:pStyle w:val="TableBody"/>
              <w:jc w:val="center"/>
              <w:rPr>
                <w:b/>
              </w:rPr>
            </w:pPr>
            <w:r>
              <w:rPr>
                <w:b/>
              </w:rPr>
              <w:t>28.9%</w:t>
            </w:r>
          </w:p>
        </w:tc>
      </w:tr>
    </w:tbl>
    <w:p>
      <w:pPr>
        <w:pStyle w:val="Text"/>
        <w:pBdr>
          <w:bottom w:val="single" w:sz="4" w:space="1" w:color="000000"/>
        </w:pBdr>
        <w:spacing w:before="120" w:after="120"/>
        <w:ind w:start="-2074" w:end="0"/>
        <w:rPr>
          <w:rFonts w:ascii="Arial Narrow" w:hAnsi="Arial Narrow" w:cs="Arial Narrow"/>
          <w:sz w:val="16"/>
        </w:rPr>
      </w:pPr>
      <w:r>
        <w:rPr>
          <w:rFonts w:cs="Arial Narrow" w:ascii="Arial Narrow" w:hAnsi="Arial Narrow"/>
          <w:sz w:val="16"/>
        </w:rPr>
        <w:t>Source: CSFB</w:t>
      </w:r>
    </w:p>
    <w:p>
      <w:pPr>
        <w:pStyle w:val="Text"/>
        <w:rPr>
          <w:rFonts w:ascii="Arial Narrow" w:hAnsi="Arial Narrow" w:cs="Arial Narrow"/>
          <w:sz w:val="16"/>
        </w:rPr>
      </w:pPr>
      <w:r>
        <w:rPr>
          <w:rFonts w:cs="Arial Narrow" w:ascii="Arial Narrow" w:hAnsi="Arial Narrow"/>
          <w:sz w:val="16"/>
        </w:rPr>
      </w:r>
    </w:p>
    <w:p>
      <w:pPr>
        <w:pStyle w:val="Text"/>
        <w:rPr/>
      </w:pPr>
      <w:r>
        <w:rPr>
          <w:b/>
        </w:rPr>
        <w:t>Embedded Expectations are Low</w:t>
      </w:r>
      <w:r>
        <w:rPr/>
        <w:t xml:space="preserve">   We believe the uncertainties surrounding re-regulation and political backlash are already embedded in the stock prices.  While the pure play US IPP share prices have fallen 11% on average, our 2001 and 2002 EPS estimates have increased nearly 25% and 24%.  Consequently, over the period the average P/E multiple has declined by about 29%, based on both 2001 and 2002 EPS.</w:t>
      </w:r>
    </w:p>
    <w:p>
      <w:pPr>
        <w:pStyle w:val="Text"/>
        <w:rPr/>
      </w:pPr>
      <w:r>
        <w:rPr/>
        <w:t>We draw 2 conclusions from this data:</w:t>
      </w:r>
    </w:p>
    <w:p>
      <w:pPr>
        <w:pStyle w:val="Text"/>
        <w:ind w:start="720" w:end="0"/>
        <w:rPr/>
      </w:pPr>
      <w:r>
        <w:rPr>
          <w:b/>
        </w:rPr>
        <w:t xml:space="preserve">1. Stock Prices Reflect Normalized Power Market Conditions   </w:t>
      </w:r>
      <w:r>
        <w:rPr/>
        <w:t>One of the main drivers behind rising earnings estimates since the beginning of the year has been higher than expected power prices.  To the extent that stock price performance has not kept pace with rising earnings estimates, it is apparent that current stock prices reflect a more normalized power market environment.</w:t>
      </w:r>
    </w:p>
    <w:p>
      <w:pPr>
        <w:pStyle w:val="Text"/>
        <w:ind w:start="720" w:end="0"/>
        <w:rPr/>
      </w:pPr>
      <w:r>
        <w:rPr>
          <w:b/>
        </w:rPr>
        <w:t>2. Re-regulation and Backlash Uncertainty Already Reflected in Stock Prices</w:t>
      </w:r>
      <w:r>
        <w:rPr/>
        <w:t xml:space="preserve">   In our view, the valuation compression also indicates that many of the political risks identified by investors are already priced into the stocks.  </w:t>
      </w:r>
    </w:p>
    <w:p>
      <w:pPr>
        <w:pStyle w:val="Text"/>
        <w:rPr/>
      </w:pPr>
      <w:r>
        <w:rPr/>
      </w:r>
    </w:p>
    <w:p>
      <w:pPr>
        <w:pStyle w:val="Text"/>
        <w:rPr/>
      </w:pPr>
      <w:r>
        <w:rPr/>
      </w:r>
    </w:p>
    <w:p>
      <w:pPr>
        <w:pStyle w:val="Text"/>
        <w:rPr/>
      </w:pPr>
      <w:r>
        <w:rPr/>
      </w:r>
    </w:p>
    <w:p>
      <w:pPr>
        <w:pStyle w:val="CameraReadyTableTitle"/>
        <w:rPr/>
      </w:pPr>
      <w:r>
        <w:rPr/>
        <w:t>Exhibit 6: Daily California Chronology</w:t>
      </w:r>
    </w:p>
    <w:tbl>
      <w:tblPr>
        <w:tblW w:w="8010" w:type="dxa"/>
        <w:jc w:val="start"/>
        <w:tblInd w:w="30" w:type="dxa"/>
        <w:tblLayout w:type="fixed"/>
        <w:tblCellMar>
          <w:top w:w="0" w:type="dxa"/>
          <w:start w:w="30" w:type="dxa"/>
          <w:bottom w:w="0" w:type="dxa"/>
          <w:end w:w="30" w:type="dxa"/>
        </w:tblCellMar>
      </w:tblPr>
      <w:tblGrid>
        <w:gridCol w:w="1350"/>
        <w:gridCol w:w="6660"/>
      </w:tblGrid>
      <w:tr>
        <w:trPr>
          <w:trHeight w:val="288" w:hRule="atLeast"/>
        </w:trPr>
        <w:tc>
          <w:tcPr>
            <w:tcW w:w="135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Date</w:t>
            </w:r>
          </w:p>
        </w:tc>
        <w:tc>
          <w:tcPr>
            <w:tcW w:w="6660" w:type="dxa"/>
            <w:tcBorders>
              <w:bottom w:val="single" w:sz="4" w:space="0" w:color="000000"/>
            </w:tcBorders>
          </w:tcPr>
          <w:p>
            <w:pPr>
              <w:pStyle w:val="Normal"/>
              <w:spacing w:before="120" w:after="0"/>
              <w:rPr>
                <w:rFonts w:ascii="Arial Narrow" w:hAnsi="Arial Narrow" w:cs="Arial Narrow"/>
                <w:b/>
                <w:color w:val="000000"/>
              </w:rPr>
            </w:pPr>
            <w:r>
              <w:rPr>
                <w:rFonts w:cs="Arial Narrow" w:ascii="Arial Narrow" w:hAnsi="Arial Narrow"/>
                <w:b/>
                <w:color w:val="000000"/>
              </w:rPr>
              <w:t>Event</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Monday  6/25</w:t>
            </w:r>
          </w:p>
        </w:tc>
        <w:tc>
          <w:tcPr>
            <w:tcW w:w="6660" w:type="dxa"/>
            <w:tcBorders/>
          </w:tcPr>
          <w:p>
            <w:pPr>
              <w:pStyle w:val="Normal"/>
              <w:numPr>
                <w:ilvl w:val="0"/>
                <w:numId w:val="6"/>
              </w:numPr>
              <w:spacing w:before="40" w:after="40"/>
              <w:jc w:val="start"/>
              <w:rPr>
                <w:rFonts w:ascii="Arial Narrow" w:hAnsi="Arial Narrow" w:cs="Arial Narrow"/>
                <w:b/>
                <w:color w:val="000000"/>
                <w:sz w:val="18"/>
              </w:rPr>
            </w:pPr>
            <w:r>
              <w:rPr>
                <w:rFonts w:cs="Arial Narrow" w:ascii="Arial Narrow" w:hAnsi="Arial Narrow"/>
                <w:b/>
                <w:color w:val="000000"/>
                <w:sz w:val="18"/>
              </w:rPr>
              <w:t>FERC Settlement Conference, bringing together California power generators, utilities and state officials, began in Washington.</w:t>
            </w:r>
          </w:p>
          <w:p>
            <w:pPr>
              <w:pStyle w:val="Normal"/>
              <w:numPr>
                <w:ilvl w:val="0"/>
                <w:numId w:val="6"/>
              </w:numPr>
              <w:spacing w:before="40" w:after="40"/>
              <w:jc w:val="start"/>
              <w:rPr>
                <w:rFonts w:ascii="Arial Narrow" w:hAnsi="Arial Narrow" w:cs="Arial Narrow"/>
                <w:b/>
                <w:color w:val="000000"/>
                <w:sz w:val="18"/>
              </w:rPr>
            </w:pPr>
            <w:r>
              <w:rPr>
                <w:rFonts w:cs="Arial Narrow" w:ascii="Arial Narrow" w:hAnsi="Arial Narrow"/>
                <w:b/>
                <w:color w:val="000000"/>
                <w:sz w:val="18"/>
              </w:rPr>
              <w:t xml:space="preserve">FERC Commissioner Pat Wood said that FERC will investigate </w:t>
            </w:r>
            <w:r>
              <w:rPr>
                <w:rFonts w:cs="Arial Narrow" w:ascii="Arial Narrow" w:hAnsi="Arial Narrow"/>
                <w:color w:val="000000"/>
                <w:sz w:val="18"/>
              </w:rPr>
              <w:t xml:space="preserve">California's natural gas infrastructure to determine why gas prices into the state are so much higher than in other areas of the country.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Tuesday  6/26</w:t>
            </w:r>
          </w:p>
        </w:tc>
        <w:tc>
          <w:tcPr>
            <w:tcW w:w="6660" w:type="dxa"/>
            <w:tcBorders/>
          </w:tcPr>
          <w:p>
            <w:pPr>
              <w:pStyle w:val="Normal"/>
              <w:numPr>
                <w:ilvl w:val="0"/>
                <w:numId w:val="6"/>
              </w:numPr>
              <w:spacing w:before="40" w:after="40"/>
              <w:jc w:val="start"/>
              <w:rPr>
                <w:rFonts w:ascii="Arial Narrow" w:hAnsi="Arial Narrow" w:cs="Arial Narrow"/>
                <w:color w:val="000000"/>
                <w:sz w:val="18"/>
              </w:rPr>
            </w:pPr>
            <w:r>
              <w:rPr>
                <w:rFonts w:cs="Arial Narrow" w:ascii="Arial Narrow" w:hAnsi="Arial Narrow"/>
                <w:b/>
                <w:color w:val="000000"/>
                <w:sz w:val="18"/>
              </w:rPr>
              <w:t xml:space="preserve">-California closed on $4.3 billion bridge loan to finance power purchases. </w:t>
            </w:r>
          </w:p>
        </w:tc>
      </w:tr>
      <w:tr>
        <w:trPr>
          <w:trHeight w:val="247"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Wednesday  6/27</w:t>
            </w:r>
          </w:p>
        </w:tc>
        <w:tc>
          <w:tcPr>
            <w:tcW w:w="6660" w:type="dxa"/>
            <w:tcBorders/>
          </w:tcPr>
          <w:p>
            <w:pPr>
              <w:pStyle w:val="Normal"/>
              <w:numPr>
                <w:ilvl w:val="0"/>
                <w:numId w:val="6"/>
              </w:numPr>
              <w:spacing w:before="40" w:after="40"/>
              <w:jc w:val="start"/>
              <w:rPr>
                <w:rFonts w:ascii="Arial Narrow" w:hAnsi="Arial Narrow" w:cs="Arial Narrow"/>
                <w:color w:val="000000"/>
                <w:sz w:val="18"/>
              </w:rPr>
            </w:pPr>
            <w:r>
              <w:rPr>
                <w:rFonts w:cs="Arial Narrow" w:ascii="Arial Narrow" w:hAnsi="Arial Narrow"/>
                <w:b/>
                <w:color w:val="000000"/>
                <w:sz w:val="18"/>
              </w:rPr>
              <w:t>The CPUC suspended until July 3 a vote on whether it will end the state’s retail customer choice program.</w:t>
            </w:r>
          </w:p>
        </w:tc>
      </w:tr>
      <w:tr>
        <w:trPr>
          <w:trHeight w:val="540" w:hRule="atLeast"/>
        </w:trPr>
        <w:tc>
          <w:tcPr>
            <w:tcW w:w="1350" w:type="dxa"/>
            <w:tcBorders/>
          </w:tcPr>
          <w:p>
            <w:pPr>
              <w:pStyle w:val="Normal"/>
              <w:spacing w:before="0" w:after="120"/>
              <w:jc w:val="start"/>
              <w:rPr>
                <w:rFonts w:ascii="Arial Narrow" w:hAnsi="Arial Narrow" w:cs="Arial Narrow"/>
                <w:color w:val="000000"/>
              </w:rPr>
            </w:pPr>
            <w:r>
              <w:rPr>
                <w:rFonts w:cs="Arial Narrow" w:ascii="Arial Narrow" w:hAnsi="Arial Narrow"/>
                <w:color w:val="000000"/>
              </w:rPr>
              <w:t>Thursday  6/28</w:t>
            </w:r>
          </w:p>
        </w:tc>
        <w:tc>
          <w:tcPr>
            <w:tcW w:w="6660" w:type="dxa"/>
            <w:tcBorders/>
          </w:tcPr>
          <w:p>
            <w:pPr>
              <w:pStyle w:val="Normal"/>
              <w:numPr>
                <w:ilvl w:val="0"/>
                <w:numId w:val="6"/>
              </w:numPr>
              <w:spacing w:before="40" w:after="40"/>
              <w:jc w:val="start"/>
              <w:rPr>
                <w:rFonts w:ascii="Arial Narrow" w:hAnsi="Arial Narrow" w:cs="Arial Narrow"/>
                <w:b/>
                <w:color w:val="000000"/>
                <w:sz w:val="18"/>
              </w:rPr>
            </w:pPr>
            <w:r>
              <w:rPr>
                <w:rFonts w:eastAsia="Arial Narrow" w:cs="Arial Narrow" w:ascii="Arial Narrow" w:hAnsi="Arial Narrow"/>
                <w:b/>
                <w:color w:val="000000"/>
                <w:sz w:val="18"/>
              </w:rPr>
              <w:t xml:space="preserve"> </w:t>
            </w:r>
            <w:r>
              <w:rPr>
                <w:rFonts w:cs="Arial Narrow" w:ascii="Arial Narrow" w:hAnsi="Arial Narrow"/>
                <w:b/>
                <w:color w:val="000000"/>
                <w:sz w:val="18"/>
              </w:rPr>
              <w:t xml:space="preserve">The California Senate Select Committee to Investigate Price Manipulation found Enron and Mirant in contempt after they refused to provide documents that had been previously requested.  </w:t>
            </w:r>
          </w:p>
        </w:tc>
      </w:tr>
      <w:tr>
        <w:trPr>
          <w:trHeight w:val="247" w:hRule="atLeast"/>
        </w:trPr>
        <w:tc>
          <w:tcPr>
            <w:tcW w:w="1350" w:type="dxa"/>
            <w:tcBorders>
              <w:bottom w:val="single" w:sz="4" w:space="0" w:color="000000"/>
            </w:tcBorders>
          </w:tcPr>
          <w:p>
            <w:pPr>
              <w:pStyle w:val="Normal"/>
              <w:spacing w:before="0" w:after="120"/>
              <w:jc w:val="start"/>
              <w:rPr>
                <w:rFonts w:ascii="Arial Narrow" w:hAnsi="Arial Narrow" w:cs="Arial Narrow"/>
                <w:color w:val="000000"/>
              </w:rPr>
            </w:pPr>
            <w:r>
              <w:rPr>
                <w:rFonts w:cs="Arial Narrow" w:ascii="Arial Narrow" w:hAnsi="Arial Narrow"/>
                <w:color w:val="000000"/>
              </w:rPr>
              <w:t>Friday  6/29</w:t>
            </w:r>
          </w:p>
        </w:tc>
        <w:tc>
          <w:tcPr>
            <w:tcW w:w="6660" w:type="dxa"/>
            <w:tcBorders>
              <w:bottom w:val="single" w:sz="4" w:space="0" w:color="000000"/>
            </w:tcBorders>
          </w:tcPr>
          <w:p>
            <w:pPr>
              <w:pStyle w:val="Normal"/>
              <w:spacing w:before="40" w:after="40"/>
              <w:jc w:val="start"/>
              <w:rPr>
                <w:rFonts w:ascii="Arial Narrow" w:hAnsi="Arial Narrow" w:cs="Arial Narrow"/>
                <w:color w:val="000000"/>
                <w:sz w:val="18"/>
              </w:rPr>
            </w:pPr>
            <w:r>
              <w:rPr>
                <w:rFonts w:cs="Arial Narrow" w:ascii="Arial Narrow" w:hAnsi="Arial Narrow"/>
                <w:color w:val="000000"/>
                <w:sz w:val="18"/>
              </w:rPr>
              <w:t>No Significant Events</w:t>
            </w:r>
          </w:p>
        </w:tc>
      </w:tr>
    </w:tbl>
    <w:p>
      <w:pPr>
        <w:pStyle w:val="Text"/>
        <w:rPr/>
      </w:pPr>
      <w:r>
        <w:rPr/>
      </w:r>
    </w:p>
    <w:p>
      <w:pPr>
        <w:pStyle w:val="Head2"/>
        <w:rPr/>
      </w:pPr>
      <w:r>
        <w:rPr/>
        <w:t>Looking Ahead: Hearing on Windfall Profits Tax Bill Delayed Until July 9</w:t>
      </w:r>
    </w:p>
    <w:p>
      <w:pPr>
        <w:pStyle w:val="Text"/>
        <w:rPr/>
      </w:pPr>
      <w:r>
        <w:rPr/>
        <w:t xml:space="preserve">On July 9, the California Assembly Revenue and Taxation Committee will consider SB 1X—the power generator windfall profits tax bill.  This hearing was originally scheduled to take place on July 2.  Our contacts in Sacramento indicate that the bill does not have broad support and expect the bill to “die” at some point in the legislative process.  </w:t>
      </w:r>
    </w:p>
    <w:p>
      <w:pPr>
        <w:pStyle w:val="Text"/>
        <w:rPr/>
      </w:pPr>
      <w:r>
        <w:rPr/>
        <w:t xml:space="preserve">On September 10 and 11, CSFB will host a Power Generation Supply Chain Conference at the Plaza Hotel in New York City.  It is designed to provide investors with a wholistic perspective of all aspects of the sector—from coal and natural gas companies, to equipment and construction service providers, to the power producers themselves.  Please contact us if you would like additional information.  </w:t>
      </w:r>
    </w:p>
    <w:p>
      <w:pPr>
        <w:pStyle w:val="CameraReadyTableTitle"/>
        <w:rPr/>
      </w:pPr>
      <w:r>
        <w:rPr>
          <w:i/>
        </w:rPr>
        <w:t xml:space="preserve">Exhibit 7: </w:t>
      </w:r>
      <w:r>
        <w:rPr/>
        <w:t>Upcoming Conference Calls and Events</w:t>
      </w:r>
    </w:p>
    <w:tbl>
      <w:tblPr>
        <w:tblW w:w="7920" w:type="dxa"/>
        <w:jc w:val="start"/>
        <w:tblInd w:w="30" w:type="dxa"/>
        <w:tblLayout w:type="fixed"/>
        <w:tblCellMar>
          <w:top w:w="0" w:type="dxa"/>
          <w:start w:w="30" w:type="dxa"/>
          <w:bottom w:w="0" w:type="dxa"/>
          <w:end w:w="30" w:type="dxa"/>
        </w:tblCellMar>
      </w:tblPr>
      <w:tblGrid>
        <w:gridCol w:w="900"/>
        <w:gridCol w:w="4140"/>
        <w:gridCol w:w="1350"/>
        <w:gridCol w:w="1530"/>
      </w:tblGrid>
      <w:tr>
        <w:trPr>
          <w:trHeight w:val="247" w:hRule="atLeast"/>
        </w:trPr>
        <w:tc>
          <w:tcPr>
            <w:tcW w:w="90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Date</w:t>
            </w:r>
          </w:p>
        </w:tc>
        <w:tc>
          <w:tcPr>
            <w:tcW w:w="414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Description</w:t>
            </w:r>
          </w:p>
        </w:tc>
        <w:tc>
          <w:tcPr>
            <w:tcW w:w="1350" w:type="dxa"/>
            <w:tcBorders/>
          </w:tcPr>
          <w:p>
            <w:pPr>
              <w:pStyle w:val="Normal"/>
              <w:spacing w:before="120" w:after="0"/>
              <w:jc w:val="center"/>
              <w:rPr>
                <w:rFonts w:ascii="Arial Narrow" w:hAnsi="Arial Narrow" w:cs="Arial Narrow"/>
                <w:b/>
                <w:color w:val="000000"/>
              </w:rPr>
            </w:pPr>
            <w:r>
              <w:rPr>
                <w:rFonts w:cs="Arial Narrow" w:ascii="Arial Narrow" w:hAnsi="Arial Narrow"/>
                <w:b/>
                <w:color w:val="000000"/>
              </w:rPr>
              <w:br/>
              <w:t>Time</w:t>
            </w:r>
          </w:p>
        </w:tc>
        <w:tc>
          <w:tcPr>
            <w:tcW w:w="1530" w:type="dxa"/>
            <w:tcBorders/>
          </w:tcPr>
          <w:p>
            <w:pPr>
              <w:pStyle w:val="Normal"/>
              <w:spacing w:before="120" w:after="0"/>
              <w:jc w:val="center"/>
              <w:rPr/>
            </w:pPr>
            <w:r>
              <w:rPr>
                <w:rFonts w:cs="Arial Narrow" w:ascii="Arial Narrow" w:hAnsi="Arial Narrow"/>
                <w:b/>
                <w:color w:val="000000"/>
              </w:rPr>
              <w:t xml:space="preserve">Location </w:t>
              <w:br/>
              <w:t xml:space="preserve"> or Dial-in</w:t>
            </w:r>
          </w:p>
        </w:tc>
      </w:tr>
      <w:tr>
        <w:trPr>
          <w:trHeight w:val="247" w:hRule="atLeast"/>
        </w:trPr>
        <w:tc>
          <w:tcPr>
            <w:tcW w:w="900" w:type="dxa"/>
            <w:tcBorders>
              <w:top w:val="single" w:sz="4" w:space="0" w:color="000000"/>
              <w:bottom w:val="single" w:sz="4" w:space="0" w:color="000000"/>
            </w:tcBorders>
          </w:tcPr>
          <w:p>
            <w:pPr>
              <w:pStyle w:val="TableBody"/>
              <w:rPr/>
            </w:pPr>
            <w:r>
              <w:rPr/>
              <w:t>7/9</w:t>
            </w:r>
          </w:p>
        </w:tc>
        <w:tc>
          <w:tcPr>
            <w:tcW w:w="4140" w:type="dxa"/>
            <w:tcBorders>
              <w:top w:val="single" w:sz="4" w:space="0" w:color="000000"/>
              <w:bottom w:val="single" w:sz="4" w:space="0" w:color="000000"/>
            </w:tcBorders>
          </w:tcPr>
          <w:p>
            <w:pPr>
              <w:pStyle w:val="TableBody"/>
              <w:rPr/>
            </w:pPr>
            <w:r>
              <w:rPr>
                <w:b/>
              </w:rPr>
              <w:t>California Windfall Profits Tax Bill—SB 1X-- to be Heard by Assembly Revenue and Taxation Committee</w:t>
            </w:r>
          </w:p>
        </w:tc>
        <w:tc>
          <w:tcPr>
            <w:tcW w:w="1350" w:type="dxa"/>
            <w:tcBorders>
              <w:top w:val="single" w:sz="4" w:space="0" w:color="000000"/>
              <w:bottom w:val="single" w:sz="4" w:space="0" w:color="000000"/>
            </w:tcBorders>
          </w:tcPr>
          <w:p>
            <w:pPr>
              <w:pStyle w:val="TableBody"/>
              <w:snapToGrid w:val="false"/>
              <w:jc w:val="center"/>
              <w:rPr>
                <w:b/>
              </w:rPr>
            </w:pPr>
            <w:r>
              <w:rPr>
                <w:b/>
              </w:rPr>
            </w:r>
          </w:p>
        </w:tc>
        <w:tc>
          <w:tcPr>
            <w:tcW w:w="1530" w:type="dxa"/>
            <w:tcBorders>
              <w:top w:val="single" w:sz="4" w:space="0" w:color="000000"/>
              <w:bottom w:val="single" w:sz="4" w:space="0" w:color="000000"/>
            </w:tcBorders>
          </w:tcPr>
          <w:p>
            <w:pPr>
              <w:pStyle w:val="TableBody"/>
              <w:jc w:val="center"/>
              <w:rPr/>
            </w:pPr>
            <w:r>
              <w:rPr/>
              <w:t>Sacramento, CA</w:t>
            </w:r>
          </w:p>
        </w:tc>
      </w:tr>
      <w:tr>
        <w:trPr>
          <w:trHeight w:val="247" w:hRule="atLeast"/>
        </w:trPr>
        <w:tc>
          <w:tcPr>
            <w:tcW w:w="900" w:type="dxa"/>
            <w:tcBorders>
              <w:top w:val="single" w:sz="4" w:space="0" w:color="000000"/>
              <w:bottom w:val="single" w:sz="4" w:space="0" w:color="000000"/>
            </w:tcBorders>
          </w:tcPr>
          <w:p>
            <w:pPr>
              <w:pStyle w:val="TableBody"/>
              <w:rPr/>
            </w:pPr>
            <w:r>
              <w:rPr/>
              <w:t>9/10-9/11</w:t>
            </w:r>
          </w:p>
        </w:tc>
        <w:tc>
          <w:tcPr>
            <w:tcW w:w="4140" w:type="dxa"/>
            <w:tcBorders>
              <w:top w:val="single" w:sz="4" w:space="0" w:color="000000"/>
              <w:bottom w:val="single" w:sz="4" w:space="0" w:color="000000"/>
            </w:tcBorders>
          </w:tcPr>
          <w:p>
            <w:pPr>
              <w:pStyle w:val="TableBody"/>
              <w:rPr>
                <w:b/>
              </w:rPr>
            </w:pPr>
            <w:r>
              <w:rPr>
                <w:b/>
              </w:rPr>
              <w:t>CSFB Power Generation Supply Chain Conference</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New York, NY</w:t>
            </w:r>
          </w:p>
        </w:tc>
      </w:tr>
    </w:tbl>
    <w:p>
      <w:pPr>
        <w:pStyle w:val="Head2"/>
        <w:rPr/>
      </w:pPr>
      <w:r>
        <w:rPr/>
      </w:r>
    </w:p>
    <w:p>
      <w:pPr>
        <w:pStyle w:val="Text"/>
        <w:rPr/>
      </w:pPr>
      <w:r>
        <w:rPr/>
      </w:r>
    </w:p>
    <w:p>
      <w:pPr>
        <w:pStyle w:val="Head2"/>
        <w:rPr/>
      </w:pPr>
      <w:r>
        <w:rPr/>
        <w:t>Second Quarter Earnings Preview</w:t>
      </w:r>
    </w:p>
    <w:p>
      <w:pPr>
        <w:pStyle w:val="Text"/>
        <w:rPr/>
      </w:pPr>
      <w:r>
        <w:rPr/>
        <w:t>The bulk of the IPPs will report second quarter earnings during the weeks of July 23 and July 30.  Below we review our estimates and expectations for the industry.  Generally, we expect solid growth across the sector driven by recent acquisition and development activity.  In particular, we believe Calpine and Black Hills offer the greatest potential for upside EPS surprises.</w:t>
      </w:r>
    </w:p>
    <w:p>
      <w:pPr>
        <w:pStyle w:val="CameraReadyTableTitle"/>
        <w:pBdr>
          <w:bottom w:val="single" w:sz="6" w:space="2" w:color="000000"/>
        </w:pBdr>
        <w:ind w:start="-1260" w:end="0"/>
        <w:rPr/>
      </w:pPr>
      <w:r>
        <w:rPr/>
        <w:t>Exhibit 8:  Earnings Estimates for Q2 2001 and Fiscal 2001</w:t>
      </w:r>
    </w:p>
    <w:tbl>
      <w:tblPr>
        <w:tblW w:w="9180" w:type="dxa"/>
        <w:jc w:val="start"/>
        <w:tblInd w:w="-1152" w:type="dxa"/>
        <w:tblLayout w:type="fixed"/>
        <w:tblCellMar>
          <w:top w:w="0" w:type="dxa"/>
          <w:start w:w="108" w:type="dxa"/>
          <w:bottom w:w="0" w:type="dxa"/>
          <w:end w:w="108" w:type="dxa"/>
        </w:tblCellMar>
      </w:tblPr>
      <w:tblGrid>
        <w:gridCol w:w="1440"/>
        <w:gridCol w:w="1080"/>
        <w:gridCol w:w="990"/>
        <w:gridCol w:w="990"/>
        <w:gridCol w:w="1260"/>
        <w:gridCol w:w="1080"/>
        <w:gridCol w:w="1080"/>
        <w:gridCol w:w="1260"/>
      </w:tblGrid>
      <w:tr>
        <w:trPr/>
        <w:tc>
          <w:tcPr>
            <w:tcW w:w="1440" w:type="dxa"/>
            <w:tcBorders>
              <w:bottom w:val="single" w:sz="4" w:space="0" w:color="000000"/>
            </w:tcBorders>
          </w:tcPr>
          <w:p>
            <w:pPr>
              <w:pStyle w:val="TableColHead"/>
              <w:rPr/>
            </w:pPr>
            <w:r>
              <w:rPr/>
              <w:br/>
              <w:br/>
              <w:t>Company</w:t>
            </w:r>
          </w:p>
        </w:tc>
        <w:tc>
          <w:tcPr>
            <w:tcW w:w="1080" w:type="dxa"/>
            <w:tcBorders>
              <w:bottom w:val="single" w:sz="4" w:space="0" w:color="000000"/>
            </w:tcBorders>
          </w:tcPr>
          <w:p>
            <w:pPr>
              <w:pStyle w:val="TableColHead"/>
              <w:jc w:val="center"/>
              <w:rPr/>
            </w:pPr>
            <w:r>
              <w:rPr/>
              <w:br/>
              <w:t>Date</w:t>
              <w:br/>
              <w:t>Reporting</w:t>
            </w:r>
          </w:p>
        </w:tc>
        <w:tc>
          <w:tcPr>
            <w:tcW w:w="990" w:type="dxa"/>
            <w:tcBorders>
              <w:bottom w:val="single" w:sz="4" w:space="0" w:color="000000"/>
            </w:tcBorders>
          </w:tcPr>
          <w:p>
            <w:pPr>
              <w:pStyle w:val="TableColHead"/>
              <w:snapToGrid w:val="false"/>
              <w:jc w:val="center"/>
              <w:rPr/>
            </w:pPr>
            <w:r>
              <w:rPr/>
            </w:r>
          </w:p>
          <w:p>
            <w:pPr>
              <w:pStyle w:val="TableColHead"/>
              <w:jc w:val="center"/>
              <w:rPr/>
            </w:pPr>
            <w:r>
              <w:rPr/>
              <w:t>Q2 00A</w:t>
              <w:br/>
              <w:t>EPS</w:t>
            </w:r>
          </w:p>
        </w:tc>
        <w:tc>
          <w:tcPr>
            <w:tcW w:w="990" w:type="dxa"/>
            <w:tcBorders>
              <w:bottom w:val="single" w:sz="4" w:space="0" w:color="000000"/>
            </w:tcBorders>
          </w:tcPr>
          <w:p>
            <w:pPr>
              <w:pStyle w:val="TableColHead"/>
              <w:jc w:val="center"/>
              <w:rPr/>
            </w:pPr>
            <w:r>
              <w:rPr/>
              <w:t>Q2’01</w:t>
            </w:r>
          </w:p>
          <w:p>
            <w:pPr>
              <w:pStyle w:val="TableColHead"/>
              <w:jc w:val="center"/>
              <w:rPr/>
            </w:pPr>
            <w:r>
              <w:rPr/>
              <w:t>CSFB</w:t>
              <w:br/>
              <w:t>Estimate</w:t>
            </w:r>
          </w:p>
        </w:tc>
        <w:tc>
          <w:tcPr>
            <w:tcW w:w="1260" w:type="dxa"/>
            <w:tcBorders>
              <w:bottom w:val="single" w:sz="4" w:space="0" w:color="000000"/>
            </w:tcBorders>
          </w:tcPr>
          <w:p>
            <w:pPr>
              <w:pStyle w:val="TableColHead"/>
              <w:jc w:val="center"/>
              <w:rPr/>
            </w:pPr>
            <w:r>
              <w:rPr/>
              <w:t>Q2’01</w:t>
            </w:r>
          </w:p>
          <w:p>
            <w:pPr>
              <w:pStyle w:val="TableColHead"/>
              <w:jc w:val="center"/>
              <w:rPr/>
            </w:pPr>
            <w:r>
              <w:rPr/>
              <w:t>Consensus</w:t>
              <w:br/>
              <w:t>Estimate</w:t>
            </w:r>
          </w:p>
        </w:tc>
        <w:tc>
          <w:tcPr>
            <w:tcW w:w="1080" w:type="dxa"/>
            <w:tcBorders>
              <w:bottom w:val="single" w:sz="4" w:space="0" w:color="000000"/>
            </w:tcBorders>
          </w:tcPr>
          <w:p>
            <w:pPr>
              <w:pStyle w:val="TableColHead"/>
              <w:jc w:val="center"/>
              <w:rPr/>
            </w:pPr>
            <w:r>
              <w:rPr/>
              <w:t>2000</w:t>
              <w:br/>
              <w:t>Actual</w:t>
              <w:br/>
              <w:t>EPS</w:t>
            </w:r>
          </w:p>
        </w:tc>
        <w:tc>
          <w:tcPr>
            <w:tcW w:w="1080" w:type="dxa"/>
            <w:tcBorders>
              <w:bottom w:val="single" w:sz="4" w:space="0" w:color="000000"/>
            </w:tcBorders>
          </w:tcPr>
          <w:p>
            <w:pPr>
              <w:pStyle w:val="TableColHead"/>
              <w:jc w:val="center"/>
              <w:rPr/>
            </w:pPr>
            <w:r>
              <w:rPr/>
              <w:t>2001</w:t>
              <w:br/>
              <w:t>CSFB</w:t>
              <w:br/>
              <w:t>Estimate</w:t>
            </w:r>
          </w:p>
        </w:tc>
        <w:tc>
          <w:tcPr>
            <w:tcW w:w="1260" w:type="dxa"/>
            <w:tcBorders>
              <w:bottom w:val="single" w:sz="4" w:space="0" w:color="000000"/>
            </w:tcBorders>
          </w:tcPr>
          <w:p>
            <w:pPr>
              <w:pStyle w:val="TableColHead"/>
              <w:jc w:val="center"/>
              <w:rPr/>
            </w:pPr>
            <w:r>
              <w:rPr/>
              <w:t>2001</w:t>
              <w:br/>
              <w:t>Consensus</w:t>
              <w:br/>
              <w:t>Estimate</w:t>
            </w:r>
          </w:p>
        </w:tc>
      </w:tr>
      <w:tr>
        <w:trPr/>
        <w:tc>
          <w:tcPr>
            <w:tcW w:w="1440" w:type="dxa"/>
            <w:tcBorders/>
          </w:tcPr>
          <w:p>
            <w:pPr>
              <w:pStyle w:val="TableBody"/>
              <w:spacing w:before="20" w:after="20"/>
              <w:rPr/>
            </w:pPr>
            <w:r>
              <w:rPr/>
              <w:t>AES</w:t>
            </w:r>
          </w:p>
        </w:tc>
        <w:tc>
          <w:tcPr>
            <w:tcW w:w="1080" w:type="dxa"/>
            <w:tcBorders/>
          </w:tcPr>
          <w:p>
            <w:pPr>
              <w:pStyle w:val="TableBody"/>
              <w:spacing w:before="20" w:after="20"/>
              <w:jc w:val="center"/>
              <w:rPr/>
            </w:pPr>
            <w:r>
              <w:rPr/>
              <w:t>7/26</w:t>
            </w:r>
          </w:p>
        </w:tc>
        <w:tc>
          <w:tcPr>
            <w:tcW w:w="990" w:type="dxa"/>
            <w:tcBorders/>
          </w:tcPr>
          <w:p>
            <w:pPr>
              <w:pStyle w:val="TableBody"/>
              <w:spacing w:before="20" w:after="20"/>
              <w:jc w:val="center"/>
              <w:rPr/>
            </w:pPr>
            <w:r>
              <w:rPr/>
              <w:t>$0.25</w:t>
            </w:r>
          </w:p>
        </w:tc>
        <w:tc>
          <w:tcPr>
            <w:tcW w:w="990" w:type="dxa"/>
            <w:tcBorders/>
          </w:tcPr>
          <w:p>
            <w:pPr>
              <w:pStyle w:val="TableBody"/>
              <w:spacing w:before="20" w:after="20"/>
              <w:jc w:val="center"/>
              <w:rPr/>
            </w:pPr>
            <w:r>
              <w:rPr/>
              <w:t>$0.29</w:t>
            </w:r>
          </w:p>
        </w:tc>
        <w:tc>
          <w:tcPr>
            <w:tcW w:w="1260" w:type="dxa"/>
            <w:tcBorders/>
          </w:tcPr>
          <w:p>
            <w:pPr>
              <w:pStyle w:val="TableBody"/>
              <w:spacing w:before="20" w:after="20"/>
              <w:jc w:val="center"/>
              <w:rPr/>
            </w:pPr>
            <w:r>
              <w:rPr/>
              <w:t>$0.30</w:t>
            </w:r>
          </w:p>
        </w:tc>
        <w:tc>
          <w:tcPr>
            <w:tcW w:w="1080" w:type="dxa"/>
            <w:tcBorders/>
          </w:tcPr>
          <w:p>
            <w:pPr>
              <w:pStyle w:val="TableBody"/>
              <w:spacing w:before="20" w:after="20"/>
              <w:jc w:val="center"/>
              <w:rPr/>
            </w:pPr>
            <w:r>
              <w:rPr/>
              <w:t>$0.96</w:t>
            </w:r>
          </w:p>
        </w:tc>
        <w:tc>
          <w:tcPr>
            <w:tcW w:w="1080" w:type="dxa"/>
            <w:tcBorders/>
          </w:tcPr>
          <w:p>
            <w:pPr>
              <w:pStyle w:val="TableBody"/>
              <w:spacing w:before="20" w:after="20"/>
              <w:jc w:val="center"/>
              <w:rPr/>
            </w:pPr>
            <w:r>
              <w:rPr/>
              <w:t>$1.46</w:t>
            </w:r>
          </w:p>
        </w:tc>
        <w:tc>
          <w:tcPr>
            <w:tcW w:w="1260" w:type="dxa"/>
            <w:tcBorders/>
          </w:tcPr>
          <w:p>
            <w:pPr>
              <w:pStyle w:val="TableBody"/>
              <w:spacing w:before="20" w:after="20"/>
              <w:jc w:val="center"/>
              <w:rPr/>
            </w:pPr>
            <w:r>
              <w:rPr/>
              <w:t>$1.84</w:t>
            </w:r>
          </w:p>
        </w:tc>
      </w:tr>
      <w:tr>
        <w:trPr/>
        <w:tc>
          <w:tcPr>
            <w:tcW w:w="1440" w:type="dxa"/>
            <w:tcBorders/>
          </w:tcPr>
          <w:p>
            <w:pPr>
              <w:pStyle w:val="TableBody"/>
              <w:spacing w:before="20" w:after="20"/>
              <w:rPr/>
            </w:pPr>
            <w:r>
              <w:rPr/>
              <w:t>Black Hills</w:t>
            </w:r>
          </w:p>
        </w:tc>
        <w:tc>
          <w:tcPr>
            <w:tcW w:w="1080" w:type="dxa"/>
            <w:tcBorders/>
          </w:tcPr>
          <w:p>
            <w:pPr>
              <w:pStyle w:val="TableBody"/>
              <w:spacing w:before="20" w:after="20"/>
              <w:jc w:val="center"/>
              <w:rPr/>
            </w:pPr>
            <w:r>
              <w:rPr/>
              <w:t>End of July</w:t>
            </w:r>
          </w:p>
        </w:tc>
        <w:tc>
          <w:tcPr>
            <w:tcW w:w="990" w:type="dxa"/>
            <w:tcBorders/>
          </w:tcPr>
          <w:p>
            <w:pPr>
              <w:pStyle w:val="TableBody"/>
              <w:spacing w:before="20" w:after="20"/>
              <w:jc w:val="center"/>
              <w:rPr/>
            </w:pPr>
            <w:r>
              <w:rPr/>
              <w:t>0.38</w:t>
            </w:r>
          </w:p>
        </w:tc>
        <w:tc>
          <w:tcPr>
            <w:tcW w:w="990" w:type="dxa"/>
            <w:tcBorders/>
          </w:tcPr>
          <w:p>
            <w:pPr>
              <w:pStyle w:val="TableBody"/>
              <w:spacing w:before="20" w:after="20"/>
              <w:jc w:val="center"/>
              <w:rPr/>
            </w:pPr>
            <w:r>
              <w:rPr/>
              <w:t>0.90</w:t>
            </w:r>
          </w:p>
        </w:tc>
        <w:tc>
          <w:tcPr>
            <w:tcW w:w="1260" w:type="dxa"/>
            <w:tcBorders/>
          </w:tcPr>
          <w:p>
            <w:pPr>
              <w:pStyle w:val="TableBody"/>
              <w:spacing w:before="20" w:after="20"/>
              <w:jc w:val="center"/>
              <w:rPr/>
            </w:pPr>
            <w:r>
              <w:rPr/>
              <w:t>0.91</w:t>
            </w:r>
          </w:p>
        </w:tc>
        <w:tc>
          <w:tcPr>
            <w:tcW w:w="1080" w:type="dxa"/>
            <w:tcBorders/>
          </w:tcPr>
          <w:p>
            <w:pPr>
              <w:pStyle w:val="TableBody"/>
              <w:spacing w:before="20" w:after="20"/>
              <w:jc w:val="center"/>
              <w:rPr/>
            </w:pPr>
            <w:r>
              <w:rPr/>
              <w:t>2.37</w:t>
            </w:r>
          </w:p>
        </w:tc>
        <w:tc>
          <w:tcPr>
            <w:tcW w:w="1080" w:type="dxa"/>
            <w:tcBorders/>
          </w:tcPr>
          <w:p>
            <w:pPr>
              <w:pStyle w:val="TableBody"/>
              <w:spacing w:before="20" w:after="20"/>
              <w:jc w:val="center"/>
              <w:rPr/>
            </w:pPr>
            <w:r>
              <w:rPr/>
              <w:t>3.07</w:t>
            </w:r>
          </w:p>
        </w:tc>
        <w:tc>
          <w:tcPr>
            <w:tcW w:w="1260" w:type="dxa"/>
            <w:tcBorders/>
          </w:tcPr>
          <w:p>
            <w:pPr>
              <w:pStyle w:val="TableBody"/>
              <w:spacing w:before="20" w:after="20"/>
              <w:jc w:val="center"/>
              <w:rPr/>
            </w:pPr>
            <w:r>
              <w:rPr/>
              <w:t>3.68</w:t>
            </w:r>
          </w:p>
        </w:tc>
      </w:tr>
      <w:tr>
        <w:trPr/>
        <w:tc>
          <w:tcPr>
            <w:tcW w:w="1440" w:type="dxa"/>
            <w:tcBorders/>
          </w:tcPr>
          <w:p>
            <w:pPr>
              <w:pStyle w:val="TableBody"/>
              <w:spacing w:before="20" w:after="20"/>
              <w:rPr/>
            </w:pPr>
            <w:r>
              <w:rPr/>
              <w:t>Calpine</w:t>
            </w:r>
          </w:p>
        </w:tc>
        <w:tc>
          <w:tcPr>
            <w:tcW w:w="1080" w:type="dxa"/>
            <w:tcBorders/>
          </w:tcPr>
          <w:p>
            <w:pPr>
              <w:pStyle w:val="TableBody"/>
              <w:spacing w:before="20" w:after="20"/>
              <w:jc w:val="center"/>
              <w:rPr/>
            </w:pPr>
            <w:r>
              <w:rPr/>
              <w:t>7/26</w:t>
            </w:r>
          </w:p>
        </w:tc>
        <w:tc>
          <w:tcPr>
            <w:tcW w:w="990" w:type="dxa"/>
            <w:tcBorders/>
          </w:tcPr>
          <w:p>
            <w:pPr>
              <w:pStyle w:val="TableBody"/>
              <w:spacing w:before="20" w:after="20"/>
              <w:jc w:val="center"/>
              <w:rPr/>
            </w:pPr>
            <w:r>
              <w:rPr/>
              <w:t>0.19</w:t>
            </w:r>
          </w:p>
        </w:tc>
        <w:tc>
          <w:tcPr>
            <w:tcW w:w="990" w:type="dxa"/>
            <w:tcBorders/>
          </w:tcPr>
          <w:p>
            <w:pPr>
              <w:pStyle w:val="TableBody"/>
              <w:spacing w:before="20" w:after="20"/>
              <w:jc w:val="center"/>
              <w:rPr/>
            </w:pPr>
            <w:r>
              <w:rPr/>
              <w:t>0.30</w:t>
            </w:r>
          </w:p>
        </w:tc>
        <w:tc>
          <w:tcPr>
            <w:tcW w:w="1260" w:type="dxa"/>
            <w:tcBorders/>
          </w:tcPr>
          <w:p>
            <w:pPr>
              <w:pStyle w:val="TableBody"/>
              <w:spacing w:before="20" w:after="20"/>
              <w:jc w:val="center"/>
              <w:rPr/>
            </w:pPr>
            <w:r>
              <w:rPr/>
              <w:t>0.30</w:t>
            </w:r>
          </w:p>
        </w:tc>
        <w:tc>
          <w:tcPr>
            <w:tcW w:w="1080" w:type="dxa"/>
            <w:tcBorders/>
          </w:tcPr>
          <w:p>
            <w:pPr>
              <w:pStyle w:val="TableBody"/>
              <w:spacing w:before="20" w:after="20"/>
              <w:jc w:val="center"/>
              <w:rPr/>
            </w:pPr>
            <w:r>
              <w:rPr/>
              <w:t>1.11</w:t>
            </w:r>
          </w:p>
        </w:tc>
        <w:tc>
          <w:tcPr>
            <w:tcW w:w="1080" w:type="dxa"/>
            <w:tcBorders/>
          </w:tcPr>
          <w:p>
            <w:pPr>
              <w:pStyle w:val="TableBody"/>
              <w:spacing w:before="20" w:after="20"/>
              <w:jc w:val="center"/>
              <w:rPr/>
            </w:pPr>
            <w:r>
              <w:rPr/>
              <w:t>1.90</w:t>
            </w:r>
          </w:p>
        </w:tc>
        <w:tc>
          <w:tcPr>
            <w:tcW w:w="1260" w:type="dxa"/>
            <w:tcBorders/>
          </w:tcPr>
          <w:p>
            <w:pPr>
              <w:pStyle w:val="TableBody"/>
              <w:spacing w:before="20" w:after="20"/>
              <w:jc w:val="center"/>
              <w:rPr/>
            </w:pPr>
            <w:r>
              <w:rPr/>
              <w:t>1.89</w:t>
            </w:r>
          </w:p>
        </w:tc>
      </w:tr>
      <w:tr>
        <w:trPr/>
        <w:tc>
          <w:tcPr>
            <w:tcW w:w="1440" w:type="dxa"/>
            <w:tcBorders/>
          </w:tcPr>
          <w:p>
            <w:pPr>
              <w:pStyle w:val="TableBody"/>
              <w:spacing w:before="20" w:after="20"/>
              <w:rPr/>
            </w:pPr>
            <w:r>
              <w:rPr/>
              <w:t>Global Power</w:t>
            </w:r>
          </w:p>
        </w:tc>
        <w:tc>
          <w:tcPr>
            <w:tcW w:w="1080" w:type="dxa"/>
            <w:tcBorders/>
          </w:tcPr>
          <w:p>
            <w:pPr>
              <w:pStyle w:val="TableBody"/>
              <w:spacing w:before="20" w:after="20"/>
              <w:jc w:val="center"/>
              <w:rPr/>
            </w:pPr>
            <w:r>
              <w:rPr/>
              <w:t>End of July</w:t>
            </w:r>
          </w:p>
        </w:tc>
        <w:tc>
          <w:tcPr>
            <w:tcW w:w="990" w:type="dxa"/>
            <w:tcBorders/>
          </w:tcPr>
          <w:p>
            <w:pPr>
              <w:pStyle w:val="TableBody"/>
              <w:spacing w:before="20" w:after="20"/>
              <w:jc w:val="center"/>
              <w:rPr/>
            </w:pPr>
            <w:r>
              <w:rPr/>
              <w:t>---</w:t>
            </w:r>
          </w:p>
        </w:tc>
        <w:tc>
          <w:tcPr>
            <w:tcW w:w="990" w:type="dxa"/>
            <w:tcBorders/>
          </w:tcPr>
          <w:p>
            <w:pPr>
              <w:pStyle w:val="TableBody"/>
              <w:spacing w:before="20" w:after="20"/>
              <w:jc w:val="center"/>
              <w:rPr/>
            </w:pPr>
            <w:r>
              <w:rPr/>
              <w:t>0.20</w:t>
            </w:r>
          </w:p>
        </w:tc>
        <w:tc>
          <w:tcPr>
            <w:tcW w:w="1260" w:type="dxa"/>
            <w:tcBorders/>
          </w:tcPr>
          <w:p>
            <w:pPr>
              <w:pStyle w:val="TableBody"/>
              <w:spacing w:before="20" w:after="20"/>
              <w:jc w:val="center"/>
              <w:rPr/>
            </w:pPr>
            <w:r>
              <w:rPr/>
              <w:t>0.20</w:t>
            </w:r>
          </w:p>
        </w:tc>
        <w:tc>
          <w:tcPr>
            <w:tcW w:w="1080" w:type="dxa"/>
            <w:tcBorders/>
          </w:tcPr>
          <w:p>
            <w:pPr>
              <w:pStyle w:val="TableBody"/>
              <w:spacing w:before="20" w:after="20"/>
              <w:jc w:val="center"/>
              <w:rPr/>
            </w:pPr>
            <w:r>
              <w:rPr/>
              <w:t>0.50</w:t>
            </w:r>
          </w:p>
        </w:tc>
        <w:tc>
          <w:tcPr>
            <w:tcW w:w="1080" w:type="dxa"/>
            <w:tcBorders/>
          </w:tcPr>
          <w:p>
            <w:pPr>
              <w:pStyle w:val="TableBody"/>
              <w:spacing w:before="20" w:after="20"/>
              <w:jc w:val="center"/>
              <w:rPr/>
            </w:pPr>
            <w:r>
              <w:rPr/>
              <w:t>0.85</w:t>
            </w:r>
          </w:p>
        </w:tc>
        <w:tc>
          <w:tcPr>
            <w:tcW w:w="1260" w:type="dxa"/>
            <w:tcBorders/>
          </w:tcPr>
          <w:p>
            <w:pPr>
              <w:pStyle w:val="TableBody"/>
              <w:spacing w:before="20" w:after="20"/>
              <w:jc w:val="center"/>
              <w:rPr/>
            </w:pPr>
            <w:r>
              <w:rPr/>
              <w:t>0.84</w:t>
            </w:r>
          </w:p>
        </w:tc>
      </w:tr>
      <w:tr>
        <w:trPr/>
        <w:tc>
          <w:tcPr>
            <w:tcW w:w="1440" w:type="dxa"/>
            <w:tcBorders/>
          </w:tcPr>
          <w:p>
            <w:pPr>
              <w:pStyle w:val="TableBody"/>
              <w:spacing w:before="20" w:after="20"/>
              <w:rPr/>
            </w:pPr>
            <w:r>
              <w:rPr/>
              <w:t>Mirant</w:t>
            </w:r>
          </w:p>
        </w:tc>
        <w:tc>
          <w:tcPr>
            <w:tcW w:w="1080" w:type="dxa"/>
            <w:tcBorders/>
          </w:tcPr>
          <w:p>
            <w:pPr>
              <w:pStyle w:val="TableBody"/>
              <w:spacing w:before="20" w:after="20"/>
              <w:jc w:val="center"/>
              <w:rPr/>
            </w:pPr>
            <w:r>
              <w:rPr/>
              <w:t>7/31</w:t>
            </w:r>
          </w:p>
        </w:tc>
        <w:tc>
          <w:tcPr>
            <w:tcW w:w="990" w:type="dxa"/>
            <w:tcBorders/>
          </w:tcPr>
          <w:p>
            <w:pPr>
              <w:pStyle w:val="TableBody"/>
              <w:spacing w:before="20" w:after="20"/>
              <w:jc w:val="center"/>
              <w:rPr/>
            </w:pPr>
            <w:r>
              <w:rPr/>
              <w:t>0.25</w:t>
            </w:r>
          </w:p>
        </w:tc>
        <w:tc>
          <w:tcPr>
            <w:tcW w:w="990" w:type="dxa"/>
            <w:tcBorders/>
          </w:tcPr>
          <w:p>
            <w:pPr>
              <w:pStyle w:val="TableBody"/>
              <w:spacing w:before="20" w:after="20"/>
              <w:jc w:val="center"/>
              <w:rPr/>
            </w:pPr>
            <w:r>
              <w:rPr/>
              <w:t>0.43</w:t>
            </w:r>
          </w:p>
        </w:tc>
        <w:tc>
          <w:tcPr>
            <w:tcW w:w="1260" w:type="dxa"/>
            <w:tcBorders/>
          </w:tcPr>
          <w:p>
            <w:pPr>
              <w:pStyle w:val="TableBody"/>
              <w:spacing w:before="20" w:after="20"/>
              <w:jc w:val="center"/>
              <w:rPr/>
            </w:pPr>
            <w:r>
              <w:rPr/>
              <w:t>0.45</w:t>
            </w:r>
          </w:p>
        </w:tc>
        <w:tc>
          <w:tcPr>
            <w:tcW w:w="1080" w:type="dxa"/>
            <w:tcBorders/>
          </w:tcPr>
          <w:p>
            <w:pPr>
              <w:pStyle w:val="TableBody"/>
              <w:spacing w:before="20" w:after="20"/>
              <w:jc w:val="center"/>
              <w:rPr/>
            </w:pPr>
            <w:r>
              <w:rPr/>
              <w:t>0.98</w:t>
            </w:r>
          </w:p>
        </w:tc>
        <w:tc>
          <w:tcPr>
            <w:tcW w:w="1080" w:type="dxa"/>
            <w:tcBorders/>
          </w:tcPr>
          <w:p>
            <w:pPr>
              <w:pStyle w:val="TableBody"/>
              <w:spacing w:before="20" w:after="20"/>
              <w:jc w:val="center"/>
              <w:rPr/>
            </w:pPr>
            <w:r>
              <w:rPr/>
              <w:t>1.90</w:t>
            </w:r>
          </w:p>
        </w:tc>
        <w:tc>
          <w:tcPr>
            <w:tcW w:w="1260" w:type="dxa"/>
            <w:tcBorders/>
          </w:tcPr>
          <w:p>
            <w:pPr>
              <w:pStyle w:val="TableBody"/>
              <w:spacing w:before="20" w:after="20"/>
              <w:jc w:val="center"/>
              <w:rPr/>
            </w:pPr>
            <w:r>
              <w:rPr/>
              <w:t>1.93</w:t>
            </w:r>
          </w:p>
        </w:tc>
      </w:tr>
      <w:tr>
        <w:trPr/>
        <w:tc>
          <w:tcPr>
            <w:tcW w:w="1440" w:type="dxa"/>
            <w:tcBorders/>
          </w:tcPr>
          <w:p>
            <w:pPr>
              <w:pStyle w:val="TableBody"/>
              <w:spacing w:before="20" w:after="20"/>
              <w:rPr/>
            </w:pPr>
            <w:r>
              <w:rPr/>
              <w:t>NRG Energy</w:t>
            </w:r>
          </w:p>
        </w:tc>
        <w:tc>
          <w:tcPr>
            <w:tcW w:w="1080" w:type="dxa"/>
            <w:tcBorders/>
          </w:tcPr>
          <w:p>
            <w:pPr>
              <w:pStyle w:val="TableBody"/>
              <w:spacing w:before="20" w:after="20"/>
              <w:jc w:val="center"/>
              <w:rPr/>
            </w:pPr>
            <w:r>
              <w:rPr/>
              <w:t>7/25</w:t>
            </w:r>
          </w:p>
        </w:tc>
        <w:tc>
          <w:tcPr>
            <w:tcW w:w="990" w:type="dxa"/>
            <w:tcBorders/>
          </w:tcPr>
          <w:p>
            <w:pPr>
              <w:pStyle w:val="TableBody"/>
              <w:spacing w:before="20" w:after="20"/>
              <w:jc w:val="center"/>
              <w:rPr/>
            </w:pPr>
            <w:r>
              <w:rPr/>
              <w:t>0.28</w:t>
            </w:r>
          </w:p>
        </w:tc>
        <w:tc>
          <w:tcPr>
            <w:tcW w:w="990" w:type="dxa"/>
            <w:tcBorders/>
          </w:tcPr>
          <w:p>
            <w:pPr>
              <w:pStyle w:val="TableBody"/>
              <w:spacing w:before="20" w:after="20"/>
              <w:jc w:val="center"/>
              <w:rPr/>
            </w:pPr>
            <w:r>
              <w:rPr/>
              <w:t>0.22</w:t>
            </w:r>
          </w:p>
        </w:tc>
        <w:tc>
          <w:tcPr>
            <w:tcW w:w="1260" w:type="dxa"/>
            <w:tcBorders/>
          </w:tcPr>
          <w:p>
            <w:pPr>
              <w:pStyle w:val="TableBody"/>
              <w:spacing w:before="20" w:after="20"/>
              <w:jc w:val="center"/>
              <w:rPr/>
            </w:pPr>
            <w:r>
              <w:rPr/>
              <w:t>0.23</w:t>
            </w:r>
          </w:p>
        </w:tc>
        <w:tc>
          <w:tcPr>
            <w:tcW w:w="1080" w:type="dxa"/>
            <w:tcBorders/>
          </w:tcPr>
          <w:p>
            <w:pPr>
              <w:pStyle w:val="TableBody"/>
              <w:spacing w:before="20" w:after="20"/>
              <w:jc w:val="center"/>
              <w:rPr/>
            </w:pPr>
            <w:r>
              <w:rPr/>
              <w:t>1.10</w:t>
            </w:r>
          </w:p>
        </w:tc>
        <w:tc>
          <w:tcPr>
            <w:tcW w:w="1080" w:type="dxa"/>
            <w:tcBorders/>
          </w:tcPr>
          <w:p>
            <w:pPr>
              <w:pStyle w:val="TableBody"/>
              <w:spacing w:before="20" w:after="20"/>
              <w:jc w:val="center"/>
              <w:rPr/>
            </w:pPr>
            <w:r>
              <w:rPr/>
              <w:t>1.35</w:t>
            </w:r>
          </w:p>
        </w:tc>
        <w:tc>
          <w:tcPr>
            <w:tcW w:w="1260" w:type="dxa"/>
            <w:tcBorders/>
          </w:tcPr>
          <w:p>
            <w:pPr>
              <w:pStyle w:val="TableBody"/>
              <w:spacing w:before="20" w:after="20"/>
              <w:jc w:val="center"/>
              <w:rPr/>
            </w:pPr>
            <w:r>
              <w:rPr/>
              <w:t>1.36</w:t>
            </w:r>
          </w:p>
        </w:tc>
      </w:tr>
      <w:tr>
        <w:trPr/>
        <w:tc>
          <w:tcPr>
            <w:tcW w:w="1440" w:type="dxa"/>
            <w:tcBorders/>
          </w:tcPr>
          <w:p>
            <w:pPr>
              <w:pStyle w:val="TableBody"/>
              <w:spacing w:before="20" w:after="20"/>
              <w:rPr/>
            </w:pPr>
            <w:r>
              <w:rPr/>
              <w:t>Orion Power</w:t>
            </w:r>
          </w:p>
        </w:tc>
        <w:tc>
          <w:tcPr>
            <w:tcW w:w="1080" w:type="dxa"/>
            <w:tcBorders/>
          </w:tcPr>
          <w:p>
            <w:pPr>
              <w:pStyle w:val="TableBody"/>
              <w:spacing w:before="20" w:after="20"/>
              <w:jc w:val="center"/>
              <w:rPr/>
            </w:pPr>
            <w:r>
              <w:rPr/>
              <w:t>8/1</w:t>
            </w:r>
          </w:p>
        </w:tc>
        <w:tc>
          <w:tcPr>
            <w:tcW w:w="990" w:type="dxa"/>
            <w:tcBorders/>
          </w:tcPr>
          <w:p>
            <w:pPr>
              <w:pStyle w:val="TableBody"/>
              <w:spacing w:before="20" w:after="20"/>
              <w:jc w:val="center"/>
              <w:rPr/>
            </w:pPr>
            <w:r>
              <w:rPr/>
              <w:t>0.26</w:t>
            </w:r>
          </w:p>
        </w:tc>
        <w:tc>
          <w:tcPr>
            <w:tcW w:w="990" w:type="dxa"/>
            <w:tcBorders/>
          </w:tcPr>
          <w:p>
            <w:pPr>
              <w:pStyle w:val="TableBody"/>
              <w:spacing w:before="20" w:after="20"/>
              <w:jc w:val="center"/>
              <w:rPr/>
            </w:pPr>
            <w:r>
              <w:rPr/>
              <w:t>0.18</w:t>
            </w:r>
          </w:p>
        </w:tc>
        <w:tc>
          <w:tcPr>
            <w:tcW w:w="1260" w:type="dxa"/>
            <w:tcBorders/>
          </w:tcPr>
          <w:p>
            <w:pPr>
              <w:pStyle w:val="TableBody"/>
              <w:spacing w:before="20" w:after="20"/>
              <w:jc w:val="center"/>
              <w:rPr/>
            </w:pPr>
            <w:r>
              <w:rPr/>
              <w:t>0.18</w:t>
            </w:r>
          </w:p>
        </w:tc>
        <w:tc>
          <w:tcPr>
            <w:tcW w:w="1080" w:type="dxa"/>
            <w:tcBorders/>
          </w:tcPr>
          <w:p>
            <w:pPr>
              <w:pStyle w:val="TableBody"/>
              <w:spacing w:before="20" w:after="20"/>
              <w:jc w:val="center"/>
              <w:rPr/>
            </w:pPr>
            <w:r>
              <w:rPr/>
              <w:t>0.62</w:t>
            </w:r>
          </w:p>
        </w:tc>
        <w:tc>
          <w:tcPr>
            <w:tcW w:w="1080" w:type="dxa"/>
            <w:tcBorders/>
          </w:tcPr>
          <w:p>
            <w:pPr>
              <w:pStyle w:val="TableBody"/>
              <w:spacing w:before="20" w:after="20"/>
              <w:jc w:val="center"/>
              <w:rPr/>
            </w:pPr>
            <w:r>
              <w:rPr/>
              <w:t>1.20</w:t>
            </w:r>
          </w:p>
        </w:tc>
        <w:tc>
          <w:tcPr>
            <w:tcW w:w="1260" w:type="dxa"/>
            <w:tcBorders/>
          </w:tcPr>
          <w:p>
            <w:pPr>
              <w:pStyle w:val="TableBody"/>
              <w:spacing w:before="20" w:after="20"/>
              <w:jc w:val="center"/>
              <w:rPr/>
            </w:pPr>
            <w:r>
              <w:rPr/>
              <w:t>1.16</w:t>
            </w:r>
          </w:p>
        </w:tc>
      </w:tr>
      <w:tr>
        <w:trPr/>
        <w:tc>
          <w:tcPr>
            <w:tcW w:w="1440" w:type="dxa"/>
            <w:tcBorders/>
          </w:tcPr>
          <w:p>
            <w:pPr>
              <w:pStyle w:val="TableBody"/>
              <w:spacing w:before="20" w:after="20"/>
              <w:rPr/>
            </w:pPr>
            <w:r>
              <w:rPr/>
              <w:t>Reliant Resources</w:t>
            </w:r>
          </w:p>
        </w:tc>
        <w:tc>
          <w:tcPr>
            <w:tcW w:w="1080" w:type="dxa"/>
            <w:tcBorders/>
          </w:tcPr>
          <w:p>
            <w:pPr>
              <w:pStyle w:val="TableBody"/>
              <w:spacing w:before="20" w:after="20"/>
              <w:jc w:val="center"/>
              <w:rPr/>
            </w:pPr>
            <w:r>
              <w:rPr/>
              <w:t>7/19</w:t>
            </w:r>
          </w:p>
        </w:tc>
        <w:tc>
          <w:tcPr>
            <w:tcW w:w="990" w:type="dxa"/>
            <w:tcBorders/>
          </w:tcPr>
          <w:p>
            <w:pPr>
              <w:pStyle w:val="TableBody"/>
              <w:snapToGrid w:val="false"/>
              <w:spacing w:before="20" w:after="20"/>
              <w:jc w:val="center"/>
              <w:rPr/>
            </w:pPr>
            <w:r>
              <w:rPr/>
            </w:r>
          </w:p>
        </w:tc>
        <w:tc>
          <w:tcPr>
            <w:tcW w:w="990" w:type="dxa"/>
            <w:tcBorders/>
          </w:tcPr>
          <w:p>
            <w:pPr>
              <w:pStyle w:val="TableBody"/>
              <w:spacing w:before="20" w:after="20"/>
              <w:jc w:val="center"/>
              <w:rPr/>
            </w:pPr>
            <w:r>
              <w:rPr/>
              <w:t>0.43</w:t>
            </w:r>
          </w:p>
        </w:tc>
        <w:tc>
          <w:tcPr>
            <w:tcW w:w="1260" w:type="dxa"/>
            <w:tcBorders/>
          </w:tcPr>
          <w:p>
            <w:pPr>
              <w:pStyle w:val="TableBody"/>
              <w:snapToGrid w:val="false"/>
              <w:spacing w:before="20" w:after="20"/>
              <w:jc w:val="center"/>
              <w:rPr/>
            </w:pPr>
            <w:r>
              <w:rPr/>
            </w:r>
          </w:p>
        </w:tc>
        <w:tc>
          <w:tcPr>
            <w:tcW w:w="1080" w:type="dxa"/>
            <w:tcBorders/>
          </w:tcPr>
          <w:p>
            <w:pPr>
              <w:pStyle w:val="TableBody"/>
              <w:spacing w:before="20" w:after="20"/>
              <w:jc w:val="center"/>
              <w:rPr/>
            </w:pPr>
            <w:r>
              <w:rPr/>
              <w:t>1.32</w:t>
            </w:r>
          </w:p>
        </w:tc>
        <w:tc>
          <w:tcPr>
            <w:tcW w:w="1080" w:type="dxa"/>
            <w:tcBorders/>
          </w:tcPr>
          <w:p>
            <w:pPr>
              <w:pStyle w:val="TableBody"/>
              <w:spacing w:before="20" w:after="20"/>
              <w:jc w:val="center"/>
              <w:rPr/>
            </w:pPr>
            <w:r>
              <w:rPr/>
              <w:t>1.57</w:t>
            </w:r>
          </w:p>
        </w:tc>
        <w:tc>
          <w:tcPr>
            <w:tcW w:w="1260" w:type="dxa"/>
            <w:tcBorders/>
          </w:tcPr>
          <w:p>
            <w:pPr>
              <w:pStyle w:val="TableBody"/>
              <w:spacing w:before="20" w:after="20"/>
              <w:jc w:val="center"/>
              <w:rPr/>
            </w:pPr>
            <w:r>
              <w:rPr/>
              <w:t>1.65</w:t>
            </w:r>
          </w:p>
        </w:tc>
      </w:tr>
      <w:tr>
        <w:trPr/>
        <w:tc>
          <w:tcPr>
            <w:tcW w:w="1440" w:type="dxa"/>
            <w:tcBorders>
              <w:bottom w:val="single" w:sz="4" w:space="0" w:color="000000"/>
            </w:tcBorders>
          </w:tcPr>
          <w:p>
            <w:pPr>
              <w:pStyle w:val="TableBody"/>
              <w:spacing w:before="20" w:after="20"/>
              <w:rPr/>
            </w:pPr>
            <w:r>
              <w:rPr/>
              <w:t>Shaw Group</w:t>
            </w:r>
            <w:r>
              <w:rPr>
                <w:vertAlign w:val="superscript"/>
              </w:rPr>
              <w:t>1</w:t>
            </w:r>
          </w:p>
        </w:tc>
        <w:tc>
          <w:tcPr>
            <w:tcW w:w="1080" w:type="dxa"/>
            <w:tcBorders>
              <w:bottom w:val="single" w:sz="4" w:space="0" w:color="000000"/>
            </w:tcBorders>
          </w:tcPr>
          <w:p>
            <w:pPr>
              <w:pStyle w:val="TableBody"/>
              <w:spacing w:before="20" w:after="20"/>
              <w:jc w:val="center"/>
              <w:rPr/>
            </w:pPr>
            <w:r>
              <w:rPr/>
              <w:t>7/10</w:t>
            </w:r>
          </w:p>
        </w:tc>
        <w:tc>
          <w:tcPr>
            <w:tcW w:w="990" w:type="dxa"/>
            <w:tcBorders>
              <w:bottom w:val="single" w:sz="4" w:space="0" w:color="000000"/>
            </w:tcBorders>
          </w:tcPr>
          <w:p>
            <w:pPr>
              <w:pStyle w:val="TableBody"/>
              <w:spacing w:before="20" w:after="20"/>
              <w:jc w:val="center"/>
              <w:rPr/>
            </w:pPr>
            <w:r>
              <w:rPr/>
              <w:t>0.23</w:t>
            </w:r>
          </w:p>
        </w:tc>
        <w:tc>
          <w:tcPr>
            <w:tcW w:w="990" w:type="dxa"/>
            <w:tcBorders>
              <w:bottom w:val="single" w:sz="4" w:space="0" w:color="000000"/>
            </w:tcBorders>
          </w:tcPr>
          <w:p>
            <w:pPr>
              <w:pStyle w:val="TableBody"/>
              <w:spacing w:before="20" w:after="20"/>
              <w:jc w:val="center"/>
              <w:rPr/>
            </w:pPr>
            <w:r>
              <w:rPr/>
              <w:t>0.42</w:t>
            </w:r>
          </w:p>
        </w:tc>
        <w:tc>
          <w:tcPr>
            <w:tcW w:w="1260" w:type="dxa"/>
            <w:tcBorders>
              <w:bottom w:val="single" w:sz="4" w:space="0" w:color="000000"/>
            </w:tcBorders>
          </w:tcPr>
          <w:p>
            <w:pPr>
              <w:pStyle w:val="TableBody"/>
              <w:spacing w:before="20" w:after="20"/>
              <w:jc w:val="center"/>
              <w:rPr/>
            </w:pPr>
            <w:r>
              <w:rPr/>
              <w:t>0.40</w:t>
            </w:r>
          </w:p>
        </w:tc>
        <w:tc>
          <w:tcPr>
            <w:tcW w:w="1080" w:type="dxa"/>
            <w:tcBorders>
              <w:bottom w:val="single" w:sz="4" w:space="0" w:color="000000"/>
            </w:tcBorders>
          </w:tcPr>
          <w:p>
            <w:pPr>
              <w:pStyle w:val="TableBody"/>
              <w:spacing w:before="20" w:after="20"/>
              <w:jc w:val="center"/>
              <w:rPr/>
            </w:pPr>
            <w:r>
              <w:rPr/>
              <w:t>0.97</w:t>
            </w:r>
          </w:p>
        </w:tc>
        <w:tc>
          <w:tcPr>
            <w:tcW w:w="1080" w:type="dxa"/>
            <w:tcBorders>
              <w:bottom w:val="single" w:sz="4" w:space="0" w:color="000000"/>
            </w:tcBorders>
          </w:tcPr>
          <w:p>
            <w:pPr>
              <w:pStyle w:val="TableBody"/>
              <w:spacing w:before="20" w:after="20"/>
              <w:jc w:val="center"/>
              <w:rPr/>
            </w:pPr>
            <w:r>
              <w:rPr/>
              <w:t>1.45</w:t>
            </w:r>
          </w:p>
        </w:tc>
        <w:tc>
          <w:tcPr>
            <w:tcW w:w="1260" w:type="dxa"/>
            <w:tcBorders>
              <w:bottom w:val="single" w:sz="4" w:space="0" w:color="000000"/>
            </w:tcBorders>
          </w:tcPr>
          <w:p>
            <w:pPr>
              <w:pStyle w:val="TableBody"/>
              <w:spacing w:before="20" w:after="20"/>
              <w:jc w:val="center"/>
              <w:rPr/>
            </w:pPr>
            <w:r>
              <w:rPr/>
              <w:t>1.42</w:t>
            </w:r>
          </w:p>
        </w:tc>
      </w:tr>
    </w:tbl>
    <w:p>
      <w:pPr>
        <w:pStyle w:val="Text"/>
        <w:spacing w:before="120" w:after="40"/>
        <w:ind w:start="-1267" w:end="0"/>
        <w:rPr>
          <w:sz w:val="16"/>
        </w:rPr>
      </w:pPr>
      <w:r>
        <w:rPr>
          <w:sz w:val="16"/>
        </w:rPr>
        <w:t xml:space="preserve">1)  Shaw Group’s fiscal year ends on August 31. </w:t>
      </w:r>
    </w:p>
    <w:p>
      <w:pPr>
        <w:pStyle w:val="Text"/>
        <w:pBdr>
          <w:bottom w:val="single" w:sz="4" w:space="1" w:color="000000"/>
        </w:pBdr>
        <w:ind w:start="-1267" w:end="0"/>
        <w:rPr>
          <w:sz w:val="16"/>
        </w:rPr>
      </w:pPr>
      <w:r>
        <w:rPr>
          <w:sz w:val="16"/>
        </w:rPr>
        <w:t>Source: CSFB Estimates, Company Reports</w:t>
      </w:r>
    </w:p>
    <w:p>
      <w:pPr>
        <w:pStyle w:val="Text"/>
        <w:rPr/>
      </w:pPr>
      <w:r>
        <w:rPr>
          <w:b/>
        </w:rPr>
        <w:t>AES</w:t>
      </w:r>
      <w:r>
        <w:rPr/>
        <w:t xml:space="preserve">    AES will report earnings on July 26.  Our second quarter estimate is $0.29 per share, 16% above last year’s $0.25.  Expected positive drivers of earnings per share include: </w:t>
      </w:r>
      <w:r>
        <w:rPr>
          <w:b/>
        </w:rPr>
        <w:t>1)</w:t>
      </w:r>
      <w:r>
        <w:rPr/>
        <w:t xml:space="preserve">  Acquisitions which closed during 2000 including Gener (South America), EDC (Venezuela), Tiete (Brazil) and KMR Power (Columbia); </w:t>
      </w:r>
      <w:r>
        <w:rPr>
          <w:b/>
        </w:rPr>
        <w:t>2)</w:t>
      </w:r>
      <w:r>
        <w:rPr/>
        <w:t xml:space="preserve"> Acquisitions which closed in 2001 including IPALCO (USA) and Ottana (Italy, 140 MW);  </w:t>
      </w:r>
      <w:r>
        <w:rPr>
          <w:b/>
        </w:rPr>
        <w:t>3)</w:t>
      </w:r>
      <w:r>
        <w:rPr/>
        <w:t xml:space="preserve"> The commencement of operations of Fifoots Point (UK, 360MW) and Meridia III (Mexico, 266 MW); and, </w:t>
      </w:r>
      <w:r>
        <w:rPr>
          <w:b/>
        </w:rPr>
        <w:t>3)</w:t>
      </w:r>
      <w:r>
        <w:rPr/>
        <w:t xml:space="preserve">  The acquisition of additional ownership in Alicura (Argentina ,1,000 MW).</w:t>
      </w:r>
    </w:p>
    <w:p>
      <w:pPr>
        <w:pStyle w:val="Text"/>
        <w:rPr/>
      </w:pPr>
      <w:r>
        <w:rPr>
          <w:b/>
        </w:rPr>
        <w:t>Black Hills</w:t>
      </w:r>
      <w:r>
        <w:rPr/>
        <w:t xml:space="preserve">    Black Hills will report results near the end of July.  Our second quarter estimate is $0.90 per share, 137% above the $0.38 per share earned last year.  Expected drivers of earnings per share include:  </w:t>
      </w:r>
      <w:r>
        <w:rPr>
          <w:b/>
        </w:rPr>
        <w:t>1)</w:t>
      </w:r>
      <w:r>
        <w:rPr/>
        <w:t xml:space="preserve"> Strong Western power prices in April and May; </w:t>
      </w:r>
      <w:r>
        <w:rPr>
          <w:b/>
        </w:rPr>
        <w:t>2)</w:t>
      </w:r>
      <w:r>
        <w:rPr/>
        <w:t xml:space="preserve"> Higher natural gas and oil prices; </w:t>
      </w:r>
      <w:r>
        <w:rPr>
          <w:b/>
        </w:rPr>
        <w:t>3)</w:t>
      </w:r>
      <w:r>
        <w:rPr/>
        <w:t xml:space="preserve"> Acquisitions that closed in Q3 2000 including Arapahoe Unit 5 (40 MW, Colorado), Arapahoe Unit 6 (40 MW, Colorado), Valmont 7 (40 MW, Colorado) and the New York hydro assets (39 MW, New York); and </w:t>
      </w:r>
      <w:r>
        <w:rPr>
          <w:b/>
        </w:rPr>
        <w:t>4)</w:t>
      </w:r>
      <w:r>
        <w:rPr/>
        <w:t xml:space="preserve"> Customer growth at its communications business.</w:t>
      </w:r>
    </w:p>
    <w:p>
      <w:pPr>
        <w:pStyle w:val="Text"/>
        <w:rPr/>
      </w:pPr>
      <w:r>
        <w:rPr>
          <w:b/>
        </w:rPr>
        <w:t>Calpine</w:t>
      </w:r>
      <w:r>
        <w:rPr/>
        <w:t xml:space="preserve">    Calpine will report results on July 26.  Our second quarter estimate is $0.30 per share, 58% above the $0.19 per share earned last year.  Expected drivers of earnings per share include:  </w:t>
      </w:r>
      <w:r>
        <w:rPr>
          <w:b/>
        </w:rPr>
        <w:t>1)</w:t>
      </w:r>
      <w:r>
        <w:rPr/>
        <w:t xml:space="preserve"> Strong power prices; </w:t>
      </w:r>
      <w:r>
        <w:rPr>
          <w:b/>
        </w:rPr>
        <w:t>2)</w:t>
      </w:r>
      <w:r>
        <w:rPr/>
        <w:t xml:space="preserve"> Acquisitions that closed in 2000 including SkyGen, and the remaining interest in partially owned assets (EMI, Kennedy, Stony Brook, Auburndale, Agnews, Aidlin); </w:t>
      </w:r>
      <w:r>
        <w:rPr>
          <w:b/>
        </w:rPr>
        <w:t>3)</w:t>
      </w:r>
      <w:r>
        <w:rPr/>
        <w:t xml:space="preserve"> Several natural gas reserve acquisitions including Encal; and, </w:t>
      </w:r>
      <w:r>
        <w:rPr>
          <w:b/>
        </w:rPr>
        <w:t>4)</w:t>
      </w:r>
      <w:r>
        <w:rPr/>
        <w:t xml:space="preserve">  The commencement of operation of over 3,000 MW including Hidalgo (Texas, 394 MW), the Pasadena Expansion (Texas, 545 MW), Rumford (Maine, 251 MW), Tiverton (Rhode Island, 240 MW), Westbrook (Maine, 525 MW), South Point (Arizona, 540 MW), and Lost Pines 1 (Texas, 500 MW).</w:t>
      </w:r>
    </w:p>
    <w:p>
      <w:pPr>
        <w:pStyle w:val="Text"/>
        <w:rPr/>
      </w:pPr>
      <w:r>
        <w:rPr>
          <w:b/>
        </w:rPr>
        <w:t>Mirant</w:t>
      </w:r>
      <w:r>
        <w:rPr/>
        <w:t xml:space="preserve">    Mirant will report earnings July 31.  Our second quarter estimate is $0.43, 72% above the $0.25 per share earned last year.  Expected drivers of earnings per share include: </w:t>
      </w:r>
      <w:r>
        <w:rPr>
          <w:b/>
        </w:rPr>
        <w:t>1)</w:t>
      </w:r>
      <w:r>
        <w:rPr/>
        <w:t xml:space="preserve"> Strong power prices; </w:t>
      </w:r>
      <w:r>
        <w:rPr>
          <w:b/>
        </w:rPr>
        <w:t>2)</w:t>
      </w:r>
      <w:r>
        <w:rPr/>
        <w:t xml:space="preserve"> Acquisitions that closed in 2000 including PEPCO (Mid-Atlantic, 5,154 MW) and Hyder (UK); and, </w:t>
      </w:r>
      <w:r>
        <w:rPr>
          <w:b/>
        </w:rPr>
        <w:t>3)</w:t>
      </w:r>
      <w:r>
        <w:rPr/>
        <w:t xml:space="preserve"> The commencement of operation of plants in 2000, including Neehah (Wisconsin, 302 MW) and Units 1 and 2 of Mirant Texas (Texas, 308 MW).</w:t>
      </w:r>
    </w:p>
    <w:p>
      <w:pPr>
        <w:pStyle w:val="Text"/>
        <w:rPr>
          <w:b/>
        </w:rPr>
      </w:pPr>
      <w:r>
        <w:rPr>
          <w:b/>
        </w:rPr>
        <w:t>NRG Energy</w:t>
      </w:r>
      <w:r>
        <w:rPr/>
        <w:t xml:space="preserve">    NRG Energy will report earnings on July 25.  Our second quarter estimate is $0.22.  Expected primary drivers of earnings per share include: :  </w:t>
      </w:r>
      <w:r>
        <w:rPr>
          <w:b/>
        </w:rPr>
        <w:t>1)</w:t>
      </w:r>
      <w:r>
        <w:rPr/>
        <w:t xml:space="preserve">  Strong power prices; </w:t>
      </w:r>
      <w:r>
        <w:rPr>
          <w:b/>
        </w:rPr>
        <w:t>2)</w:t>
      </w:r>
      <w:r>
        <w:rPr/>
        <w:t xml:space="preserve">  Acquisitions that closed in 2000, including Flinders (Australia, 760 MW); </w:t>
      </w:r>
      <w:r>
        <w:rPr>
          <w:b/>
        </w:rPr>
        <w:t>3)</w:t>
      </w:r>
      <w:r>
        <w:rPr/>
        <w:t xml:space="preserve">  Acquisitions that closed in 2001 including LS Power (Various) and Audrain (Missouri, 640 MW); and, </w:t>
      </w:r>
      <w:r>
        <w:rPr>
          <w:b/>
        </w:rPr>
        <w:t>4)</w:t>
      </w:r>
      <w:r>
        <w:rPr/>
        <w:t xml:space="preserve">  Projects that reached commercial operation during 2000 and early 2001 including Bulo Bulo (Latin America, 87 MW) and Sterlington (Louisiana, 125 MW).</w:t>
      </w:r>
    </w:p>
    <w:p>
      <w:pPr>
        <w:pStyle w:val="Text"/>
        <w:rPr/>
      </w:pPr>
      <w:r>
        <w:rPr>
          <w:b/>
        </w:rPr>
        <w:t>Orion Power</w:t>
      </w:r>
      <w:r>
        <w:rPr/>
        <w:t xml:space="preserve">    Orion Power will report earnings on July 19.  Our second quarter estimate is $0.18.  Expected drivers of earnings per share include: </w:t>
      </w:r>
      <w:r>
        <w:rPr>
          <w:b/>
        </w:rPr>
        <w:t>1)</w:t>
      </w:r>
      <w:r>
        <w:rPr/>
        <w:t xml:space="preserve">  Strong power prices and </w:t>
      </w:r>
      <w:r>
        <w:rPr>
          <w:b/>
        </w:rPr>
        <w:t>2)</w:t>
      </w:r>
      <w:r>
        <w:rPr/>
        <w:t xml:space="preserve"> a full quarter of the acquisition of the Midwest assets  (2,614 MW) from Duquesne Light that closed on April 28, 2000.</w:t>
      </w:r>
    </w:p>
    <w:p>
      <w:pPr>
        <w:pStyle w:val="Text"/>
        <w:rPr/>
      </w:pPr>
      <w:r>
        <w:rPr>
          <w:b/>
        </w:rPr>
        <w:t>Reliant Resources</w:t>
      </w:r>
      <w:r>
        <w:rPr/>
        <w:t xml:space="preserve">    Reliant Resources will tentatively report results on XX.  Our second quarter estimate is $0.43.  Expected drivers of earnings per share include:  </w:t>
      </w:r>
      <w:r>
        <w:rPr>
          <w:b/>
        </w:rPr>
        <w:t>1)</w:t>
      </w:r>
      <w:r>
        <w:rPr/>
        <w:t xml:space="preserve"> Strong power prices and </w:t>
      </w:r>
      <w:r>
        <w:rPr>
          <w:b/>
        </w:rPr>
        <w:t>2)</w:t>
      </w:r>
      <w:r>
        <w:rPr/>
        <w:t xml:space="preserve"> a full quarter of operation of the Mid-Atlantic assets (4,262 MW) acquired in May 2000 form Sithe.</w:t>
      </w:r>
    </w:p>
    <w:p>
      <w:pPr>
        <w:pStyle w:val="Text"/>
        <w:rPr/>
      </w:pPr>
      <w:r>
        <w:rPr>
          <w:b/>
        </w:rPr>
        <w:t>Shaw Group</w:t>
      </w:r>
      <w:r>
        <w:rPr/>
        <w:t xml:space="preserve">    The Shaw Group will report fiscal third quarter earnings on July 10.  Our third quarter estimate is $0.42, 83% above the $0.23 per share earned last year.  Expected drivers of earnings per share are primarily </w:t>
      </w:r>
      <w:r>
        <w:rPr>
          <w:b/>
        </w:rPr>
        <w:t>1)</w:t>
      </w:r>
      <w:r>
        <w:rPr/>
        <w:t xml:space="preserve"> the rate of execution of power and process backlog, and </w:t>
      </w:r>
      <w:r>
        <w:rPr>
          <w:b/>
        </w:rPr>
        <w:t>2)</w:t>
      </w:r>
      <w:r>
        <w:rPr/>
        <w:t xml:space="preserve"> the mix of revenues between engineering and design, construction, and fabrication.</w:t>
      </w:r>
    </w:p>
    <w:p>
      <w:pPr>
        <w:pStyle w:val="Head2"/>
        <w:rPr/>
      </w:pPr>
      <w:r>
        <w:rPr/>
        <w:t>Reliant Resources Hosts First Major Analyst Meeting</w:t>
      </w:r>
    </w:p>
    <w:p>
      <w:pPr>
        <w:pStyle w:val="Text"/>
        <w:numPr>
          <w:ilvl w:val="0"/>
          <w:numId w:val="5"/>
        </w:numPr>
        <w:rPr/>
      </w:pPr>
      <w:r>
        <w:rPr/>
        <w:t>On June 26, 2001, RRI held its first major full day analyst seminar in Houston, Texas.</w:t>
      </w:r>
    </w:p>
    <w:p>
      <w:pPr>
        <w:pStyle w:val="Text"/>
        <w:numPr>
          <w:ilvl w:val="0"/>
          <w:numId w:val="9"/>
        </w:numPr>
        <w:rPr/>
      </w:pPr>
      <w:r>
        <w:rPr/>
        <w:t>RRI’s business plan remains on track.  Management reiterated comfort with earnings guidance of $1.60-$1.70 pro forma for 2001 and $2.00-$2.10 for 2002.  Conservatively, our 2001 and 2002 estimates remain $1.57 and $1.95.</w:t>
      </w:r>
    </w:p>
    <w:p>
      <w:pPr>
        <w:pStyle w:val="Text"/>
        <w:numPr>
          <w:ilvl w:val="0"/>
          <w:numId w:val="4"/>
        </w:numPr>
        <w:rPr/>
      </w:pPr>
      <w:r>
        <w:rPr/>
        <w:t>RRI noted that the FERC’s recent market mitigation order for the Western markets will not impact its ability to achieve its earnings objectives.  Importantly, the company’s Western assets are substantially hedged in 2001 and more than 50% hedged in 2002.</w:t>
      </w:r>
    </w:p>
    <w:p>
      <w:pPr>
        <w:pStyle w:val="Text"/>
        <w:numPr>
          <w:ilvl w:val="0"/>
          <w:numId w:val="7"/>
        </w:numPr>
        <w:rPr/>
      </w:pPr>
      <w:r>
        <w:rPr/>
        <w:t>Having said that, expanded price controls will limit volatility and therefore trading and marketing upside going forward.  Regardless, other sources of upside in the business remain.  In particular, management noted that recent regulatory decisions and soft Texas power market conditions will allow for enhanced performance at RRI’s retail unit.  The company is now targeting $173 million of EBIT from retail in 2002, double the $86 million reflected in our model.</w:t>
      </w:r>
    </w:p>
    <w:p>
      <w:pPr>
        <w:pStyle w:val="Normal"/>
        <w:jc w:val="start"/>
        <w:rPr>
          <w:b/>
        </w:rPr>
      </w:pPr>
      <w:r>
        <w:rPr>
          <w:b/>
        </w:rPr>
      </w:r>
    </w:p>
    <w:p>
      <w:pPr>
        <w:pStyle w:val="Head1"/>
        <w:rPr/>
      </w:pPr>
      <w:r>
        <w:rPr/>
        <w:t xml:space="preserve">Recent Headlines </w:t>
      </w:r>
    </w:p>
    <w:p>
      <w:pPr>
        <w:pStyle w:val="Text"/>
        <w:keepNext w:val="true"/>
        <w:numPr>
          <w:ilvl w:val="0"/>
          <w:numId w:val="12"/>
        </w:numPr>
        <w:tabs>
          <w:tab w:val="clear" w:pos="720"/>
        </w:tabs>
        <w:ind w:hanging="360" w:start="360" w:end="0"/>
        <w:rPr>
          <w:b/>
          <w:color w:val="000000"/>
          <w:sz w:val="22"/>
        </w:rPr>
      </w:pPr>
      <w:r>
        <w:rPr>
          <w:b/>
          <w:color w:val="000000"/>
          <w:sz w:val="22"/>
        </w:rPr>
        <w:t>CDWR Ends Contract Negotiations with AES</w:t>
      </w:r>
    </w:p>
    <w:p>
      <w:pPr>
        <w:pStyle w:val="Text"/>
        <w:rPr/>
      </w:pPr>
      <w:r>
        <w:rPr>
          <w:b/>
        </w:rPr>
        <w:t>Overview:</w:t>
      </w:r>
      <w:r>
        <w:rPr/>
        <w:t xml:space="preserve"> Last week the California Department of Water Resources (CDWR) terminated negotiations with AES for a contract to purchase all the output from the company’s Huntington Beach units 3 and 4 (450 MW).  The plants, which are under construction, are expected to begin operation by late Summer.  AES will now attempt to find another buyer for the power.  Management had indicated that earnings from these projects would help mitigate the shortfall created by power rationing in Brazil.  We had projected that they would contribute $0.03 per share in 2001 and $0.06 in 2002.  </w:t>
      </w:r>
      <w:r>
        <w:rPr>
          <w:i/>
        </w:rPr>
        <w:t>We believe it is important for investors to track AES’s progress in remarketing this capacity.</w:t>
      </w:r>
    </w:p>
    <w:p>
      <w:pPr>
        <w:pStyle w:val="Text"/>
        <w:keepNext w:val="true"/>
        <w:numPr>
          <w:ilvl w:val="0"/>
          <w:numId w:val="12"/>
        </w:numPr>
        <w:tabs>
          <w:tab w:val="clear" w:pos="720"/>
        </w:tabs>
        <w:ind w:hanging="360" w:start="360" w:end="0"/>
        <w:rPr>
          <w:b/>
          <w:color w:val="000000"/>
          <w:sz w:val="22"/>
        </w:rPr>
      </w:pPr>
      <w:r>
        <w:rPr>
          <w:b/>
          <w:color w:val="000000"/>
          <w:sz w:val="22"/>
        </w:rPr>
        <w:t>Mirant Files $3 Billion Shelf Registration</w:t>
      </w:r>
    </w:p>
    <w:p>
      <w:pPr>
        <w:pStyle w:val="Text"/>
        <w:rPr/>
      </w:pPr>
      <w:r>
        <w:rPr>
          <w:b/>
        </w:rPr>
        <w:t>Overview:</w:t>
      </w:r>
      <w:r>
        <w:rPr/>
        <w:t xml:space="preserve"> On June 28, Mirant filed a shelf registration statement relating to new financing of $3 billion of securities to be offered by Mirant and 16,200,000 shares of common stock to be offered by selling shareholders.  Such a filing does not indicate that any financings are imminent.  Rather, it is meant to give MIR maximum flexibility should it wish to access the capital markets in the future.</w:t>
      </w:r>
    </w:p>
    <w:p>
      <w:pPr>
        <w:pStyle w:val="Text"/>
        <w:keepNext w:val="true"/>
        <w:numPr>
          <w:ilvl w:val="0"/>
          <w:numId w:val="12"/>
        </w:numPr>
        <w:tabs>
          <w:tab w:val="clear" w:pos="720"/>
        </w:tabs>
        <w:ind w:hanging="360" w:start="360" w:end="0"/>
        <w:rPr>
          <w:b/>
          <w:color w:val="000000"/>
          <w:sz w:val="22"/>
        </w:rPr>
      </w:pPr>
      <w:r>
        <w:rPr>
          <w:b/>
          <w:color w:val="000000"/>
          <w:sz w:val="22"/>
        </w:rPr>
        <w:t>NRG Closes on Acquisition of Delaware Assets from Conectiv</w:t>
      </w:r>
    </w:p>
    <w:p>
      <w:pPr>
        <w:pStyle w:val="Text"/>
        <w:rPr/>
      </w:pPr>
      <w:r>
        <w:rPr>
          <w:b/>
        </w:rPr>
        <w:t>Overview:</w:t>
      </w:r>
      <w:r>
        <w:rPr/>
        <w:t xml:space="preserve">  On June 25, NRG Energy closed in 1,081 MW of power plants from Delmarva P&amp;L, a subsidiary of Conectiv.  As part of the agreement, NRG entered into purchase power contracts with Delmarva Power to provide energy and capacity for the Delmarva Peninsula.  Further, NRG extended its signed purchase agreement for an additional 794 MW of assets it intends to acquire from Conectiv subsidiary, Atlantic City Electric Company.  NRG expects to receive New Jersey BPU approval in the third quarter 2001 for the purchase of these assets. </w:t>
      </w:r>
    </w:p>
    <w:p>
      <w:pPr>
        <w:pStyle w:val="Text"/>
        <w:keepNext w:val="true"/>
        <w:numPr>
          <w:ilvl w:val="0"/>
          <w:numId w:val="12"/>
        </w:numPr>
        <w:tabs>
          <w:tab w:val="clear" w:pos="720"/>
        </w:tabs>
        <w:spacing w:before="120" w:after="120"/>
        <w:ind w:hanging="360" w:start="360" w:end="0"/>
        <w:rPr>
          <w:b/>
          <w:color w:val="000000"/>
          <w:sz w:val="22"/>
        </w:rPr>
      </w:pPr>
      <w:r>
        <w:rPr>
          <w:b/>
          <w:color w:val="000000"/>
          <w:sz w:val="22"/>
        </w:rPr>
        <w:t>NRG Closes on Hungarian Asset Acquisition</w:t>
      </w:r>
    </w:p>
    <w:p>
      <w:pPr>
        <w:pStyle w:val="Text"/>
        <w:rPr/>
      </w:pPr>
      <w:r>
        <w:rPr>
          <w:b/>
        </w:rPr>
        <w:t xml:space="preserve">Overview: </w:t>
      </w:r>
      <w:r>
        <w:rPr/>
        <w:t xml:space="preserve">On July 1, 2001, NRG announced that it completed the acquisition of the Csepel I and II (505 MW) from PowerGen.  NRG announced that it would acquire these units in April 2001.  Last month, management disclosed that this acquisition would require a $118 million equity injection and would contribute $0.06 to EPS on an annualized basis.  </w:t>
      </w:r>
    </w:p>
    <w:p>
      <w:pPr>
        <w:pStyle w:val="Text"/>
        <w:keepNext w:val="true"/>
        <w:numPr>
          <w:ilvl w:val="0"/>
          <w:numId w:val="12"/>
        </w:numPr>
        <w:tabs>
          <w:tab w:val="clear" w:pos="720"/>
        </w:tabs>
        <w:ind w:hanging="360" w:start="360" w:end="0"/>
        <w:rPr>
          <w:b/>
          <w:color w:val="000000"/>
          <w:sz w:val="22"/>
        </w:rPr>
      </w:pPr>
      <w:r>
        <w:rPr>
          <w:b/>
          <w:sz w:val="22"/>
        </w:rPr>
        <w:t>IPR’s Hays Power Station Begins Operation</w:t>
      </w:r>
    </w:p>
    <w:p>
      <w:pPr>
        <w:pStyle w:val="Normal"/>
        <w:autoSpaceDE w:val="false"/>
        <w:spacing w:before="0" w:after="0"/>
        <w:jc w:val="start"/>
        <w:rPr/>
      </w:pPr>
      <w:r>
        <w:rPr>
          <w:b/>
        </w:rPr>
        <w:t>Overview:</w:t>
      </w:r>
      <w:r>
        <w:rPr/>
        <w:t xml:space="preserve">  On June 27, International Power announced that the first unit of its 1,100 MW Hays development project in Texas began operation.  With the operation of this plant, IPR currently has 2,185 MW of generating capacity in the United States.  Management stated that the company remains on target to have the second units of both Hays and Blackstone (in MA) in operation during the Summer of 2001.  </w:t>
      </w:r>
    </w:p>
    <w:p>
      <w:pPr>
        <w:pStyle w:val="NB"/>
        <w:pBdr>
          <w:top w:val="single" w:sz="4" w:space="1" w:color="000000"/>
        </w:pBdr>
        <w:spacing w:before="0" w:after="60"/>
        <w:rPr/>
      </w:pPr>
      <w:r>
        <w:rPr>
          <w:b/>
        </w:rPr>
        <w:t>N.B.:</w:t>
      </w:r>
      <w:r>
        <w:rPr/>
        <w:t xml:space="preserve"> CREDIT SUISSE FIRST BOSTON CORPORATION may have, within the last three years, served as a manager or co-manager of a public offering of securities for or makes a primary market in issues of any or all of the companies mentioned.</w:t>
      </w:r>
    </w:p>
    <w:p>
      <w:pPr>
        <w:sectPr>
          <w:headerReference w:type="default" r:id="rId11"/>
          <w:footerReference w:type="default" r:id="rId12"/>
          <w:type w:val="nextPage"/>
          <w:pgSz w:w="12240" w:h="15840"/>
          <w:pgMar w:left="3150" w:right="1195" w:gutter="0" w:header="547" w:top="1440" w:footer="360" w:bottom="1080"/>
          <w:pgNumType w:fmt="decimal"/>
          <w:formProt w:val="false"/>
          <w:textDirection w:val="lrTb"/>
          <w:docGrid w:type="default" w:linePitch="360" w:charSpace="0"/>
        </w:sectPr>
        <w:pStyle w:val="NB"/>
        <w:pBdr>
          <w:top w:val="nil"/>
        </w:pBdr>
        <w:spacing w:before="0" w:after="60"/>
        <w:rPr/>
      </w:pPr>
      <w:r>
        <w:rPr/>
        <w:t xml:space="preserve">Companies mentioned: AES Corporation (AES, Strong Buy,), Calpine (CPN, Strong Buy), Dynegy (DYN), Edison International (EIX,  Hold), International Power (IPR), NRG Energy (NRG, Buy), Orion Power (ORN,  Buy), PG&amp;E (PCG, Hold), Mirant Corporation (MIR, Buy), Reliant Resources (RRI, Buy) </w:t>
      </w:r>
    </w:p>
    <w:p>
      <w:pPr>
        <w:pStyle w:val="CameraReadyTableTitle"/>
        <w:pBdr>
          <w:bottom w:val="single" w:sz="4" w:space="1" w:color="000000"/>
        </w:pBdr>
        <w:rPr>
          <w:i/>
          <w:i/>
        </w:rPr>
      </w:pPr>
      <w:r>
        <w:drawing>
          <wp:anchor behindDoc="0" distT="0" distB="0" distL="114935" distR="114935" simplePos="0" locked="0" layoutInCell="0" allowOverlap="1" relativeHeight="18">
            <wp:simplePos x="0" y="0"/>
            <wp:positionH relativeFrom="column">
              <wp:posOffset>0</wp:posOffset>
            </wp:positionH>
            <wp:positionV relativeFrom="paragraph">
              <wp:posOffset>165100</wp:posOffset>
            </wp:positionV>
            <wp:extent cx="7023735" cy="5134610"/>
            <wp:effectExtent l="0" t="0" r="0" b="0"/>
            <wp:wrapTopAndBottom/>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3"/>
                    <a:srcRect l="-3" t="-5" r="-3" b="-5"/>
                    <a:stretch>
                      <a:fillRect/>
                    </a:stretch>
                  </pic:blipFill>
                  <pic:spPr bwMode="auto">
                    <a:xfrm>
                      <a:off x="0" y="0"/>
                      <a:ext cx="7023735" cy="5134610"/>
                    </a:xfrm>
                    <a:prstGeom prst="rect">
                      <a:avLst/>
                    </a:prstGeom>
                    <a:noFill/>
                  </pic:spPr>
                </pic:pic>
              </a:graphicData>
            </a:graphic>
          </wp:anchor>
        </w:drawing>
      </w:r>
      <w:r>
        <w:rPr>
          <w:i/>
        </w:rPr>
        <w:t xml:space="preserve">Exhibit 9: </w:t>
      </w:r>
      <w:r>
        <w:rPr/>
        <w:t>Independent Power Producer Valuation</w:t>
      </w:r>
    </w:p>
    <w:p>
      <w:pPr>
        <w:sectPr>
          <w:headerReference w:type="default" r:id="rId14"/>
          <w:headerReference w:type="first" r:id="rId15"/>
          <w:footerReference w:type="default" r:id="rId16"/>
          <w:footerReference w:type="first" r:id="rId17"/>
          <w:type w:val="nextPage"/>
          <w:pgSz w:orient="landscape" w:w="15840" w:h="12240"/>
          <w:pgMar w:left="1080" w:right="1627" w:gutter="0" w:header="547" w:top="1710" w:footer="360" w:bottom="1195"/>
          <w:pgNumType w:fmt="decimal"/>
          <w:formProt w:val="false"/>
          <w:textDirection w:val="lrTb"/>
          <w:docGrid w:type="default" w:linePitch="360" w:charSpace="0"/>
        </w:sectPr>
        <w:pStyle w:val="CameraReadyTableTitle"/>
        <w:jc w:val="center"/>
        <w:rPr>
          <w:i/>
          <w:i/>
        </w:rPr>
      </w:pPr>
      <w:r>
        <w:rPr>
          <w:i/>
        </w:rPr>
      </w:r>
    </w:p>
    <w:p>
      <w:pPr>
        <w:pStyle w:val="CameraReadyTableTitle"/>
        <w:pBdr>
          <w:bottom w:val="single" w:sz="4" w:space="1" w:color="000000"/>
        </w:pBdr>
        <w:rPr>
          <w:i/>
          <w:i/>
        </w:rPr>
      </w:pPr>
      <w:r>
        <w:rPr>
          <w:i/>
        </w:rPr>
        <w:t>Exhibit 10:  Trailing 12 Months Historical 2001 P/E Analysis</w:t>
      </w:r>
    </w:p>
    <w:p>
      <w:pPr>
        <w:pStyle w:val="CameraReadyTableTitle"/>
        <w:pBdr>
          <w:bottom w:val="nil"/>
        </w:pBdr>
        <w:rPr>
          <w:i/>
          <w:i/>
        </w:rPr>
      </w:pPr>
      <w:r>
        <w:rPr>
          <w:i/>
        </w:rPr>
      </w:r>
    </w:p>
    <w:p>
      <w:pPr>
        <w:pStyle w:val="CameraReadyTableTitle"/>
        <w:pBdr>
          <w:bottom w:val="nil"/>
        </w:pBdr>
        <w:jc w:val="center"/>
        <w:rPr>
          <w:b w:val="false"/>
          <w:i/>
          <w:i/>
        </w:rPr>
      </w:pPr>
      <w:r>
        <w:rPr>
          <w:b w:val="false"/>
          <w:i/>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484495" cy="4072255"/>
            <wp:effectExtent l="0" t="0" r="0" b="0"/>
            <wp:wrapTopAndBottom/>
            <wp:docPr id="1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 title=""/>
                    <pic:cNvPicPr>
                      <a:picLocks noChangeAspect="1" noChangeArrowheads="1"/>
                    </pic:cNvPicPr>
                  </pic:nvPicPr>
                  <pic:blipFill>
                    <a:blip r:embed="rId18"/>
                    <a:srcRect l="-3" t="-4" r="-3" b="-4"/>
                    <a:stretch>
                      <a:fillRect/>
                    </a:stretch>
                  </pic:blipFill>
                  <pic:spPr bwMode="auto">
                    <a:xfrm>
                      <a:off x="0" y="0"/>
                      <a:ext cx="5484495" cy="4072255"/>
                    </a:xfrm>
                    <a:prstGeom prst="rect">
                      <a:avLst/>
                    </a:prstGeom>
                    <a:noFill/>
                  </pic:spPr>
                </pic:pic>
              </a:graphicData>
            </a:graphic>
          </wp:anchor>
        </w:drawing>
      </w:r>
    </w:p>
    <w:p>
      <w:pPr>
        <w:pStyle w:val="CameraReadyTableTitle"/>
        <w:pBdr>
          <w:bottom w:val="nil"/>
        </w:pBdr>
        <w:rPr>
          <w:b w:val="false"/>
          <w:i/>
          <w:i/>
        </w:rPr>
      </w:pPr>
      <w:r>
        <w:rPr>
          <w:b w:val="false"/>
          <w:i/>
        </w:rPr>
      </w:r>
    </w:p>
    <w:p>
      <w:pPr>
        <w:sectPr>
          <w:headerReference w:type="default" r:id="rId19"/>
          <w:headerReference w:type="first" r:id="rId20"/>
          <w:footerReference w:type="default" r:id="rId21"/>
          <w:footerReference w:type="first" r:id="rId22"/>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pBdr>
          <w:bottom w:val="single" w:sz="4" w:space="1" w:color="000000"/>
        </w:pBdr>
        <w:rPr>
          <w:rFonts w:ascii="Arial Narrow" w:hAnsi="Arial Narrow" w:cs="Arial Narrow"/>
          <w:b w:val="false"/>
          <w:sz w:val="16"/>
        </w:rPr>
      </w:pPr>
      <w:r>
        <w:rPr>
          <w:rFonts w:cs="Arial Narrow" w:ascii="Arial Narrow" w:hAnsi="Arial Narrow"/>
          <w:b w:val="false"/>
          <w:sz w:val="16"/>
        </w:rPr>
        <w:t>Source: CSFB</w:t>
      </w:r>
    </w:p>
    <w:p>
      <w:pPr>
        <w:pStyle w:val="Head1"/>
        <w:spacing w:before="0" w:after="60"/>
        <w:rPr/>
      </w:pPr>
      <w:r>
        <w:rPr/>
        <w:t>Power Pricing Trends</w:t>
      </w:r>
    </w:p>
    <w:p>
      <w:pPr>
        <w:pStyle w:val="CameraReadyTableTitle"/>
        <w:pBdr>
          <w:top w:val="single" w:sz="6" w:space="1" w:color="000000"/>
          <w:left w:val="single" w:sz="6" w:space="4" w:color="000000"/>
          <w:bottom w:val="single" w:sz="6" w:space="1" w:color="000000"/>
          <w:right w:val="single" w:sz="6" w:space="4" w:color="000000"/>
        </w:pBdr>
        <w:spacing w:before="0" w:after="80"/>
        <w:rPr/>
      </w:pPr>
      <w:r>
        <w:rPr>
          <w:b w:val="false"/>
          <w:i/>
        </w:rPr>
        <w:t>In this section we include power market commentary for selected US regions, adopted primarily from Platts Daily Price Report, published by the McGraw-Hill Companies.  The prices quoted are for previous day trades to be delivered on that day.</w:t>
      </w:r>
    </w:p>
    <w:p>
      <w:pPr>
        <w:pStyle w:val="CameraReadyTableTitle"/>
        <w:pBdr>
          <w:top w:val="single" w:sz="6" w:space="1" w:color="000000"/>
          <w:left w:val="single" w:sz="6" w:space="4" w:color="000000"/>
          <w:bottom w:val="single" w:sz="6" w:space="1" w:color="000000"/>
          <w:right w:val="single" w:sz="6" w:space="4" w:color="000000"/>
        </w:pBdr>
        <w:rPr/>
      </w:pPr>
      <w:r>
        <w:rPr>
          <w:i/>
        </w:rPr>
        <w:t>Overview:</w:t>
      </w:r>
      <w:r>
        <w:rPr>
          <w:b w:val="false"/>
          <w:i/>
        </w:rPr>
        <w:t xml:space="preserve">   Power prices across most of the country showed strength last week.  The Mirant National Power Index was up 8% for the week.  Pushing power prices higher was more normal summer weather.  East Coast pricing was particularly strong owing to 90 degree-plus temperatures for most of the week.    </w:t>
      </w:r>
    </w:p>
    <w:p>
      <w:pPr>
        <w:pStyle w:val="Text"/>
        <w:pBdr>
          <w:bottom w:val="single" w:sz="4" w:space="1" w:color="000000"/>
        </w:pBdr>
        <w:tabs>
          <w:tab w:val="clear" w:pos="720"/>
          <w:tab w:val="left" w:pos="2790" w:leader="none"/>
        </w:tabs>
        <w:spacing w:before="80" w:after="0"/>
        <w:rPr>
          <w:b/>
          <w:i/>
          <w:i/>
        </w:rPr>
      </w:pPr>
      <w:r>
        <w:rPr>
          <w:b/>
          <w:i/>
        </w:rPr>
      </w:r>
    </w:p>
    <w:p>
      <w:pPr>
        <w:pStyle w:val="Text"/>
        <w:tabs>
          <w:tab w:val="clear" w:pos="720"/>
          <w:tab w:val="left" w:pos="2790" w:leader="none"/>
        </w:tabs>
        <w:spacing w:before="0" w:after="80"/>
        <w:jc w:val="center"/>
        <w:rPr/>
      </w:pPr>
      <w:r>
        <w:rPr/>
      </w:r>
    </w:p>
    <w:p>
      <w:pPr>
        <w:pStyle w:val="Text"/>
        <w:tabs>
          <w:tab w:val="clear" w:pos="720"/>
          <w:tab w:val="left" w:pos="2790" w:leader="none"/>
        </w:tabs>
        <w:spacing w:before="0" w:after="80"/>
        <w:jc w:val="center"/>
        <w:rPr/>
      </w:pPr>
      <w:r>
        <w:rPr/>
      </w:r>
    </w:p>
    <w:p>
      <w:pPr>
        <w:pStyle w:val="Text"/>
        <w:tabs>
          <w:tab w:val="clear" w:pos="720"/>
          <w:tab w:val="left" w:pos="2790" w:leader="none"/>
        </w:tabs>
        <w:spacing w:before="0" w:after="80"/>
        <w:jc w:val="center"/>
        <w:rPr/>
      </w:pPr>
      <w:r>
        <w:rPr/>
      </w:r>
    </w:p>
    <w:p>
      <w:pPr>
        <w:pStyle w:val="Text"/>
        <w:tabs>
          <w:tab w:val="clear" w:pos="720"/>
          <w:tab w:val="left" w:pos="2790" w:leader="none"/>
        </w:tabs>
        <w:spacing w:before="0" w:after="80"/>
        <w:jc w:val="center"/>
        <w:rPr/>
      </w:pPr>
      <w:r>
        <w:rPr/>
      </w:r>
    </w:p>
    <w:p>
      <w:pPr>
        <w:pStyle w:val="Text"/>
        <w:tabs>
          <w:tab w:val="clear" w:pos="720"/>
          <w:tab w:val="left" w:pos="2790" w:leader="none"/>
        </w:tabs>
        <w:spacing w:before="0" w:after="80"/>
        <w:jc w:val="center"/>
        <w:rPr/>
      </w:pPr>
      <w:r>
        <w:rPr/>
      </w:r>
    </w:p>
    <w:p>
      <w:pPr>
        <w:pStyle w:val="Text"/>
        <w:tabs>
          <w:tab w:val="clear" w:pos="720"/>
          <w:tab w:val="left" w:pos="2790" w:leader="none"/>
        </w:tabs>
        <w:spacing w:before="0" w:after="80"/>
        <w:jc w:val="center"/>
        <w:rPr/>
      </w:pPr>
      <w:r>
        <w:rPr/>
      </w:r>
    </w:p>
    <w:p>
      <w:pPr>
        <w:pStyle w:val="Text"/>
        <w:numPr>
          <w:ilvl w:val="0"/>
          <w:numId w:val="11"/>
        </w:numPr>
        <w:pBdr>
          <w:top w:val="single" w:sz="4" w:space="1" w:color="000000"/>
        </w:pBdr>
        <w:tabs>
          <w:tab w:val="clear" w:pos="720"/>
          <w:tab w:val="left" w:pos="2790" w:leader="none"/>
        </w:tabs>
        <w:spacing w:before="0" w:after="60"/>
        <w:rPr/>
      </w:pPr>
      <w:r>
        <w:rPr/>
        <w:t xml:space="preserve">In </w:t>
      </w:r>
      <w:r>
        <w:rPr>
          <w:b/>
        </w:rPr>
        <w:t>California</w:t>
      </w:r>
      <w:r>
        <w:rPr/>
        <w:t xml:space="preserve"> and other </w:t>
      </w:r>
      <w:r>
        <w:rPr>
          <w:b/>
        </w:rPr>
        <w:t>Western</w:t>
      </w:r>
      <w:r>
        <w:rPr/>
        <w:t xml:space="preserve"> markets power prices were down for most of the week.  In California ample generation and weak natural gas prices pushed down prices.  In the Northwest, a storm brought in cooler weather thus pushing down prices.</w:t>
      </w:r>
    </w:p>
    <w:p>
      <w:pPr>
        <w:pStyle w:val="Text"/>
        <w:numPr>
          <w:ilvl w:val="0"/>
          <w:numId w:val="11"/>
        </w:numPr>
        <w:tabs>
          <w:tab w:val="clear" w:pos="720"/>
          <w:tab w:val="left" w:pos="2790" w:leader="none"/>
        </w:tabs>
        <w:spacing w:before="0" w:after="60"/>
        <w:rPr/>
      </w:pPr>
      <w:r>
        <w:rPr>
          <w:b/>
        </w:rPr>
        <w:t>New York</w:t>
      </w:r>
      <w:r>
        <w:rPr/>
        <w:t xml:space="preserve">, the </w:t>
      </w:r>
      <w:r>
        <w:rPr>
          <w:b/>
        </w:rPr>
        <w:t>Mid-Atlantic,</w:t>
      </w:r>
      <w:r>
        <w:rPr/>
        <w:t xml:space="preserve"> </w:t>
      </w:r>
      <w:r>
        <w:rPr>
          <w:b/>
        </w:rPr>
        <w:t>New England</w:t>
      </w:r>
      <w:r>
        <w:rPr/>
        <w:t xml:space="preserve"> and the </w:t>
      </w:r>
      <w:r>
        <w:rPr>
          <w:b/>
        </w:rPr>
        <w:t>Southeast</w:t>
      </w:r>
      <w:r>
        <w:rPr/>
        <w:t xml:space="preserve"> all showed considerable strength for the week driven by temperatures in the upper 80’s to lower 90’s for most of the week.  In New England, however, prices were soft towards the end of the week owing to strong imports from New York and Canada.  In the Mid-Atlantic a 1,115 MW nuclear plant was out of service early in the week.  </w:t>
      </w:r>
    </w:p>
    <w:p>
      <w:pPr>
        <w:pStyle w:val="Text"/>
        <w:numPr>
          <w:ilvl w:val="0"/>
          <w:numId w:val="11"/>
        </w:numPr>
        <w:tabs>
          <w:tab w:val="clear" w:pos="720"/>
          <w:tab w:val="left" w:pos="2790" w:leader="none"/>
        </w:tabs>
        <w:spacing w:before="0" w:after="60"/>
        <w:rPr/>
      </w:pPr>
      <w:r>
        <w:rPr/>
        <w:t xml:space="preserve">In the </w:t>
      </w:r>
      <w:r>
        <w:rPr>
          <w:b/>
        </w:rPr>
        <w:t>Midwest</w:t>
      </w:r>
      <w:r>
        <w:rPr/>
        <w:t xml:space="preserve"> power prices were strong driven by hot weather.  Further contributing to the price strength was a trip-up of a 1,225 MW nuclear plant.  </w:t>
      </w:r>
    </w:p>
    <w:p>
      <w:pPr>
        <w:pStyle w:val="Text"/>
        <w:numPr>
          <w:ilvl w:val="0"/>
          <w:numId w:val="11"/>
        </w:numPr>
        <w:tabs>
          <w:tab w:val="clear" w:pos="720"/>
          <w:tab w:val="left" w:pos="2790" w:leader="none"/>
        </w:tabs>
        <w:spacing w:before="0" w:after="60"/>
        <w:rPr/>
      </w:pPr>
      <w:r>
        <w:rPr/>
        <w:t xml:space="preserve">The </w:t>
      </w:r>
      <w:r>
        <w:rPr>
          <w:b/>
        </w:rPr>
        <w:t>Texas</w:t>
      </w:r>
      <w:r>
        <w:rPr/>
        <w:t xml:space="preserve"> market (ERCOT) was weak for most of the week owing to mild weather.</w:t>
      </w:r>
    </w:p>
    <w:p>
      <w:pPr>
        <w:pStyle w:val="CameraReadyTableTitle"/>
        <w:spacing w:before="60" w:after="0"/>
        <w:ind w:start="-900" w:end="0"/>
        <w:rPr>
          <w:i/>
          <w:i/>
        </w:rPr>
      </w:pPr>
      <w:r>
        <w:rPr>
          <w:i/>
        </w:rPr>
        <w:t>Exhibit 11: Day-by-Day Pricing in Select Markets</w:t>
      </w:r>
    </w:p>
    <w:p>
      <w:pPr>
        <w:pStyle w:val="CameraReadyTableSubtitle"/>
        <w:spacing w:before="0" w:after="60"/>
        <w:ind w:start="-900" w:end="0"/>
        <w:rPr/>
      </w:pPr>
      <w:r>
        <w:rPr/>
        <w:t>$ per Mwh</w:t>
      </w:r>
    </w:p>
    <w:p>
      <w:pPr>
        <w:pStyle w:val="Text"/>
        <w:spacing w:before="0" w:after="80"/>
        <w:ind w:start="-900" w:end="0"/>
        <w:rPr/>
      </w:pPr>
      <w: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75605" cy="536575"/>
            <wp:effectExtent l="0" t="0" r="0" b="0"/>
            <wp:wrapTopAndBottom/>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23"/>
                    <a:srcRect l="-3" t="-32" r="-3" b="-32"/>
                    <a:stretch>
                      <a:fillRect/>
                    </a:stretch>
                  </pic:blipFill>
                  <pic:spPr bwMode="auto">
                    <a:xfrm>
                      <a:off x="0" y="0"/>
                      <a:ext cx="5475605" cy="536575"/>
                    </a:xfrm>
                    <a:prstGeom prst="rect">
                      <a:avLst/>
                    </a:prstGeom>
                    <a:noFill/>
                  </pic:spPr>
                </pic:pic>
              </a:graphicData>
            </a:graphic>
          </wp:anchor>
        </w:drawing>
      </w:r>
      <w:r>
        <w:rPr>
          <w:sz w:val="16"/>
        </w:rPr>
        <w:t xml:space="preserve">1) </w:t>
      </w:r>
      <w:r>
        <w:rPr>
          <w:sz w:val="12"/>
        </w:rPr>
        <w:t>The daily index represents a volume weighted average for prescheduled, daily on-peak electricity.  Volumes are in MW</w:t>
      </w:r>
      <w:r>
        <w:rPr/>
        <w:t>.</w:t>
      </w:r>
    </w:p>
    <w:p>
      <w:pPr>
        <w:pStyle w:val="CameraReadyTableTitle"/>
        <w:pBdr>
          <w:bottom w:val="nil"/>
        </w:pBdr>
        <w:ind w:start="-900" w:end="0"/>
        <w:rPr>
          <w:b w:val="false"/>
          <w:sz w:val="12"/>
        </w:rPr>
      </w:pPr>
      <w:r>
        <w:rPr>
          <w:b w:val="false"/>
          <w:color w:val="000000"/>
          <w:sz w:val="12"/>
        </w:rPr>
        <w:t>2) NE (New England), CIN (Cinergy), SERC (SERC), NP15 (California North Path 15), NYW (New York West), ERCOT (ERCOT), PJM (PJM)</w:t>
      </w:r>
    </w:p>
    <w:p>
      <w:pPr>
        <w:sectPr>
          <w:headerReference w:type="default" r:id="rId24"/>
          <w:headerReference w:type="first" r:id="rId25"/>
          <w:footerReference w:type="default" r:id="rId26"/>
          <w:footerReference w:type="first" r:id="rId27"/>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ind w:start="-900" w:end="0"/>
        <w:rPr>
          <w:b w:val="false"/>
          <w:sz w:val="14"/>
        </w:rPr>
      </w:pPr>
      <w:r>
        <w:rPr>
          <w:b w:val="false"/>
          <w:sz w:val="12"/>
        </w:rPr>
        <w:t xml:space="preserve">Source: </w:t>
      </w:r>
      <w:r>
        <w:rPr>
          <w:b w:val="false"/>
          <w:i/>
          <w:sz w:val="12"/>
        </w:rPr>
        <w:t>Platts Daily Price Report</w:t>
      </w:r>
    </w:p>
    <w:p>
      <w:pPr>
        <w:pStyle w:val="CameraReadyTableTitle"/>
        <w:rPr/>
      </w:pPr>
      <w:r>
        <w:rPr>
          <w:i/>
        </w:rPr>
        <w:t xml:space="preserve">Exhibit 12:  </w:t>
      </w:r>
      <w:r>
        <w:rPr/>
        <w:t xml:space="preserve"> Weekly Index of On-Peak Spot Electricity Prices</w:t>
      </w:r>
    </w:p>
    <w:p>
      <w:pPr>
        <w:pStyle w:val="CameraReadyTableSubtitle"/>
        <w:rPr/>
      </w:pPr>
      <w:r>
        <w:rPr/>
        <w:t>$ per Mwh</w:t>
      </w:r>
    </w:p>
    <w:p>
      <w:pPr>
        <w:pStyle w:val="CameraReadyTableTitle"/>
        <w:pBdr>
          <w:bottom w:val="nil"/>
        </w:pBdr>
        <w:jc w:val="center"/>
        <w:rPr>
          <w:b w:val="false"/>
          <w:sz w:val="16"/>
        </w:rPr>
      </w:pPr>
      <w:r>
        <w:rPr>
          <w:b w:val="false"/>
          <w:sz w:val="16"/>
        </w:rPr>
      </w:r>
    </w:p>
    <w:p>
      <w:pPr>
        <w:pStyle w:val="CameraReadyTableTitle"/>
        <w:pBdr>
          <w:bottom w:val="nil"/>
        </w:pBdr>
        <w:jc w:val="center"/>
        <w:rPr>
          <w:b w:val="false"/>
          <w:sz w:val="16"/>
        </w:rPr>
      </w:pPr>
      <w:r>
        <w:rPr>
          <w:b w:val="false"/>
          <w:sz w:val="16"/>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5130" cy="4586605"/>
            <wp:effectExtent l="0" t="0" r="0" b="0"/>
            <wp:wrapTopAndBottom/>
            <wp:docPr id="1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title=""/>
                    <pic:cNvPicPr>
                      <a:picLocks noChangeAspect="1" noChangeArrowheads="1"/>
                    </pic:cNvPicPr>
                  </pic:nvPicPr>
                  <pic:blipFill>
                    <a:blip r:embed="rId28"/>
                    <a:srcRect l="-3" t="-4" r="-3" b="-4"/>
                    <a:stretch>
                      <a:fillRect/>
                    </a:stretch>
                  </pic:blipFill>
                  <pic:spPr bwMode="auto">
                    <a:xfrm>
                      <a:off x="0" y="0"/>
                      <a:ext cx="5485130" cy="4586605"/>
                    </a:xfrm>
                    <a:prstGeom prst="rect">
                      <a:avLst/>
                    </a:prstGeom>
                    <a:noFill/>
                  </pic:spPr>
                </pic:pic>
              </a:graphicData>
            </a:graphic>
          </wp:anchor>
        </w:drawing>
      </w:r>
    </w:p>
    <w:p>
      <w:pPr>
        <w:pStyle w:val="CameraReadyTableTitle"/>
        <w:pBdr>
          <w:bottom w:val="nil"/>
        </w:pBdr>
        <w:spacing w:before="120" w:after="0"/>
        <w:ind w:hanging="446" w:start="446" w:end="0"/>
        <w:rPr>
          <w:b w:val="false"/>
          <w:sz w:val="14"/>
        </w:rPr>
      </w:pPr>
      <w:r>
        <w:rPr>
          <w:b w:val="false"/>
          <w:sz w:val="14"/>
        </w:rPr>
        <w:t>Note: The weekly index represents the average of the daily indexes.  The daily index represents a volume weighted average for prescheduled, daily on-peak electricity.</w:t>
      </w:r>
    </w:p>
    <w:p>
      <w:pPr>
        <w:pStyle w:val="CameraReadyTableTitle"/>
        <w:pBdr>
          <w:bottom w:val="nil"/>
        </w:pBdr>
        <w:rPr>
          <w:b w:val="false"/>
          <w:sz w:val="14"/>
        </w:rPr>
      </w:pPr>
      <w:r>
        <w:rPr>
          <w:b w:val="false"/>
          <w:sz w:val="14"/>
        </w:rPr>
      </w:r>
    </w:p>
    <w:p>
      <w:pPr>
        <w:pStyle w:val="CameraReadyTableTitle"/>
        <w:pBdr>
          <w:bottom w:val="single" w:sz="4" w:space="1" w:color="000000"/>
        </w:pBdr>
        <w:spacing w:before="0" w:after="240"/>
        <w:rPr>
          <w:b w:val="false"/>
          <w:sz w:val="14"/>
        </w:rPr>
      </w:pPr>
      <w:r>
        <w:rPr>
          <w:b w:val="false"/>
          <w:sz w:val="14"/>
        </w:rPr>
        <w:t>Source: Power Markets Week, CSFB</w:t>
      </w:r>
    </w:p>
    <w:p>
      <w:pPr>
        <w:pStyle w:val="CameraReadyTableTitle"/>
        <w:pBdr>
          <w:bottom w:val="nil"/>
        </w:pBdr>
        <w:spacing w:before="240" w:after="0"/>
        <w:rPr/>
      </w:pPr>
      <w:r>
        <w:rPr>
          <w:i/>
        </w:rPr>
        <w:t>Exhibit 13:</w:t>
      </w:r>
      <w:r>
        <w:rPr/>
        <w:t xml:space="preserve"> On-Peak Spot Electricity Price Index Year-Over-Year Comparison</w:t>
      </w:r>
    </w:p>
    <w:p>
      <w:pPr>
        <w:pStyle w:val="CameraReadyTableSubtitle"/>
        <w:pBdr>
          <w:bottom w:val="single" w:sz="4" w:space="1" w:color="000000"/>
        </w:pBdr>
        <w:spacing w:before="0" w:after="120"/>
        <w:rPr/>
      </w:pPr>
      <w:r>
        <w:rPr/>
        <w:t>$ per Mwh</w:t>
      </w:r>
    </w:p>
    <w:p>
      <w:pPr>
        <w:pStyle w:val="CameraReadyTableTitle"/>
        <w:pBdr>
          <w:bottom w:val="nil"/>
        </w:pBdr>
        <w:spacing w:before="120" w:after="0"/>
        <w:jc w:val="center"/>
        <w:rPr>
          <w:b w:val="false"/>
          <w:sz w:val="16"/>
        </w:rPr>
      </w:pPr>
      <w:r>
        <w:rPr>
          <w:b w:val="false"/>
          <w:sz w:val="16"/>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6400" cy="1338580"/>
            <wp:effectExtent l="0" t="0" r="0" b="0"/>
            <wp:wrapTopAndBottom/>
            <wp:docPr id="1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title=""/>
                    <pic:cNvPicPr>
                      <a:picLocks noChangeAspect="1" noChangeArrowheads="1"/>
                    </pic:cNvPicPr>
                  </pic:nvPicPr>
                  <pic:blipFill>
                    <a:blip r:embed="rId29"/>
                    <a:srcRect l="-5" t="-20" r="-5" b="-20"/>
                    <a:stretch>
                      <a:fillRect/>
                    </a:stretch>
                  </pic:blipFill>
                  <pic:spPr bwMode="auto">
                    <a:xfrm>
                      <a:off x="0" y="0"/>
                      <a:ext cx="5486400" cy="1338580"/>
                    </a:xfrm>
                    <a:prstGeom prst="rect">
                      <a:avLst/>
                    </a:prstGeom>
                    <a:noFill/>
                  </pic:spPr>
                </pic:pic>
              </a:graphicData>
            </a:graphic>
          </wp:anchor>
        </w:drawing>
      </w:r>
    </w:p>
    <w:p>
      <w:pPr>
        <w:pStyle w:val="CameraReadyTableTitle"/>
        <w:pBdr>
          <w:bottom w:val="nil"/>
        </w:pBdr>
        <w:spacing w:before="120" w:after="0"/>
        <w:rPr/>
      </w:pPr>
      <w:r>
        <w:rPr>
          <w:b w:val="false"/>
          <w:sz w:val="14"/>
        </w:rPr>
        <w:t>Note: NE (New England), CIN (Cinergy), SERC (SERC), NP15 (California North Path 15), NYW (NY West), ERCOT (ERCOT)</w:t>
      </w:r>
    </w:p>
    <w:p>
      <w:pPr>
        <w:sectPr>
          <w:headerReference w:type="default" r:id="rId30"/>
          <w:headerReference w:type="first" r:id="rId31"/>
          <w:footerReference w:type="default" r:id="rId32"/>
          <w:footerReference w:type="first" r:id="rId33"/>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sz w:val="14"/>
        </w:rPr>
      </w:pPr>
      <w:r>
        <w:rPr>
          <w:b w:val="false"/>
          <w:sz w:val="14"/>
        </w:rPr>
        <w:t>Source: Power Markets Week, CSFB</w:t>
      </w:r>
    </w:p>
    <w:p>
      <w:pPr>
        <w:pStyle w:val="CameraReadyTableTitle"/>
        <w:pBdr>
          <w:bottom w:val="nil"/>
        </w:pBdr>
        <w:rPr/>
      </w:pPr>
      <w:r>
        <w:rPr>
          <w:i/>
        </w:rPr>
        <w:t xml:space="preserve">Exhibit 14: </w:t>
      </w:r>
      <w:r>
        <w:rPr/>
        <w:t>Mirant National Power Index</w:t>
      </w:r>
    </w:p>
    <w:p>
      <w:pPr>
        <w:pStyle w:val="CameraReadyTableTitle"/>
        <w:pBdr>
          <w:bottom w:val="single" w:sz="4" w:space="1" w:color="000000"/>
        </w:pBdr>
        <w:rPr/>
      </w:pPr>
      <w:r>
        <w:rPr/>
        <w:t>$ per Mwh</w:t>
      </w:r>
    </w:p>
    <w:p>
      <w:pPr>
        <w:pStyle w:val="CameraReadyTableTitle"/>
        <w:pBdr>
          <w:bottom w:val="nil"/>
        </w:pBdr>
        <w:spacing w:before="120" w:after="0"/>
        <w:jc w:val="center"/>
        <w:rPr>
          <w:b w:val="false"/>
          <w:i/>
          <w:i/>
        </w:rPr>
      </w:pPr>
      <w:r>
        <w:rPr>
          <w:b w:val="false"/>
          <w:i/>
        </w:rP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83860" cy="2045335"/>
            <wp:effectExtent l="0" t="0" r="0" b="0"/>
            <wp:wrapTopAndBottom/>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34"/>
                    <a:srcRect l="-5" t="-13" r="-5" b="-13"/>
                    <a:stretch>
                      <a:fillRect/>
                    </a:stretch>
                  </pic:blipFill>
                  <pic:spPr bwMode="auto">
                    <a:xfrm>
                      <a:off x="0" y="0"/>
                      <a:ext cx="5483860" cy="2045335"/>
                    </a:xfrm>
                    <a:prstGeom prst="rect">
                      <a:avLst/>
                    </a:prstGeom>
                    <a:noFill/>
                  </pic:spPr>
                </pic:pic>
              </a:graphicData>
            </a:graphic>
          </wp:anchor>
        </w:drawing>
      </w:r>
    </w:p>
    <w:p>
      <w:pPr>
        <w:pStyle w:val="CameraReadyTableTitle"/>
        <w:pBdr>
          <w:bottom w:val="nil"/>
        </w:pBdr>
        <w:jc w:val="center"/>
        <w:rPr>
          <w:b w:val="false"/>
          <w:i/>
          <w:i/>
          <w:sz w:val="16"/>
        </w:rPr>
      </w:pPr>
      <w:r>
        <w:rPr>
          <w:b w:val="false"/>
          <w:i/>
          <w:sz w:val="16"/>
        </w:rPr>
      </w:r>
    </w:p>
    <w:p>
      <w:pPr>
        <w:pStyle w:val="TableFooter"/>
        <w:pBdr>
          <w:bottom w:val="single" w:sz="4" w:space="1" w:color="000000"/>
        </w:pBdr>
        <w:rPr/>
      </w:pPr>
      <w:r>
        <w:rPr/>
        <w:t>Source: Wall Street Journal</w:t>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i/>
          <w:i/>
        </w:rPr>
      </w:pPr>
      <w:r>
        <w:rPr>
          <w:i/>
        </w:rPr>
      </w:r>
    </w:p>
    <w:p>
      <w:pPr>
        <w:pStyle w:val="CameraReadyTableTitle"/>
        <w:pBdr>
          <w:bottom w:val="nil"/>
        </w:pBdr>
        <w:rPr/>
      </w:pPr>
      <w:r>
        <w:rPr>
          <w:i/>
        </w:rPr>
        <w:t xml:space="preserve">Exhibit 15: </w:t>
      </w:r>
      <w:r>
        <w:rPr/>
        <w:t>Natural Gas Spot Wellhead Composite</w:t>
      </w:r>
    </w:p>
    <w:p>
      <w:pPr>
        <w:pStyle w:val="CameraReadyTableSubtitle"/>
        <w:rPr/>
      </w:pPr>
      <w:r>
        <w:rPr/>
        <w:t>$/MMBtu</w:t>
      </w:r>
    </w:p>
    <w:p>
      <w:pPr>
        <w:pStyle w:val="NB"/>
        <w:pBdr>
          <w:top w:val="nil"/>
        </w:pBdr>
        <w:rPr/>
      </w:pPr>
      <w:r>
        <w:rPr/>
      </w:r>
    </w:p>
    <w:p>
      <w:pPr>
        <w:pStyle w:val="NB"/>
        <w:pBdr>
          <w:top w:val="nil"/>
        </w:pBdr>
        <w:jc w:val="center"/>
        <w:rPr/>
      </w:pPr>
      <w:r>
        <w:rPr/>
        <w:drawing>
          <wp:inline distT="0" distB="0" distL="0" distR="0">
            <wp:extent cx="4697730" cy="2444115"/>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35"/>
                    <a:srcRect l="-7" t="-13" r="-7" b="-13"/>
                    <a:stretch>
                      <a:fillRect/>
                    </a:stretch>
                  </pic:blipFill>
                  <pic:spPr bwMode="auto">
                    <a:xfrm>
                      <a:off x="0" y="0"/>
                      <a:ext cx="4697730" cy="2444115"/>
                    </a:xfrm>
                    <a:prstGeom prst="rect">
                      <a:avLst/>
                    </a:prstGeom>
                    <a:noFill/>
                  </pic:spPr>
                </pic:pic>
              </a:graphicData>
            </a:graphic>
          </wp:inline>
        </w:drawing>
      </w:r>
    </w:p>
    <w:p>
      <w:pPr>
        <w:pStyle w:val="CameraReadyTableTitle"/>
        <w:pBdr>
          <w:bottom w:val="nil"/>
        </w:pBdr>
        <w:rPr>
          <w:b w:val="false"/>
          <w:sz w:val="16"/>
        </w:rPr>
      </w:pPr>
      <w:r>
        <w:rPr>
          <w:b w:val="false"/>
          <w:sz w:val="16"/>
        </w:rPr>
      </w:r>
    </w:p>
    <w:p>
      <w:pPr>
        <w:sectPr>
          <w:headerReference w:type="default" r:id="rId36"/>
          <w:headerReference w:type="first" r:id="rId37"/>
          <w:footerReference w:type="default" r:id="rId38"/>
          <w:footerReference w:type="first" r:id="rId39"/>
          <w:type w:val="nextPage"/>
          <w:pgSz w:w="12240" w:h="15840"/>
          <w:pgMar w:left="1714" w:right="1195" w:gutter="0" w:header="547" w:top="1627" w:footer="360" w:bottom="1080"/>
          <w:pgNumType w:fmt="decimal"/>
          <w:formProt w:val="false"/>
          <w:textDirection w:val="lrTb"/>
          <w:docGrid w:type="default" w:linePitch="360" w:charSpace="0"/>
        </w:sectPr>
        <w:pStyle w:val="TableFooter"/>
        <w:pBdr>
          <w:bottom w:val="single" w:sz="4" w:space="1" w:color="000000"/>
        </w:pBdr>
        <w:rPr>
          <w:i/>
          <w:i/>
        </w:rPr>
      </w:pPr>
      <w:r>
        <w:rPr/>
        <w:t>Sources:  Natural Gas Week, CSFB estimates</w:t>
      </w:r>
    </w:p>
    <w:p>
      <w:pPr>
        <w:pStyle w:val="CameraReadyTableTitle"/>
        <w:rPr>
          <w:i/>
          <w:i/>
        </w:rPr>
      </w:pPr>
      <w:r>
        <w:rPr>
          <w:i/>
        </w:rPr>
        <w:t>Exhibit 16:  Current Spreads for Selected IPPs / Projects</w:t>
      </w:r>
    </w:p>
    <w:p>
      <w:pPr>
        <w:pStyle w:val="CameraReadyTableSubtitle"/>
        <w:rPr/>
      </w:pPr>
      <w:r>
        <w:rPr/>
        <w:t>Current Spread As of 5/29/01</w:t>
      </w:r>
    </w:p>
    <w:p>
      <w:pPr>
        <w:pStyle w:val="Text"/>
        <w:rPr/>
      </w:pPr>
      <w:r>
        <w:rPr/>
      </w:r>
    </w:p>
    <w:p>
      <w:pPr>
        <w:pStyle w:val="Text"/>
        <w:jc w:val="center"/>
        <w:rPr/>
      </w:pPr>
      <w:r>
        <w:rPr/>
        <w:drawing>
          <wp:inline distT="0" distB="0" distL="0" distR="0">
            <wp:extent cx="8335010" cy="2386965"/>
            <wp:effectExtent l="0" t="0" r="0" b="0"/>
            <wp:docPr id="1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title=""/>
                    <pic:cNvPicPr>
                      <a:picLocks noChangeAspect="1" noChangeArrowheads="1"/>
                    </pic:cNvPicPr>
                  </pic:nvPicPr>
                  <pic:blipFill>
                    <a:blip r:embed="rId40"/>
                    <a:srcRect l="-4" t="-12" r="-4" b="-12"/>
                    <a:stretch>
                      <a:fillRect/>
                    </a:stretch>
                  </pic:blipFill>
                  <pic:spPr bwMode="auto">
                    <a:xfrm>
                      <a:off x="0" y="0"/>
                      <a:ext cx="8335010" cy="2386965"/>
                    </a:xfrm>
                    <a:prstGeom prst="rect">
                      <a:avLst/>
                    </a:prstGeom>
                    <a:noFill/>
                  </pic:spPr>
                </pic:pic>
              </a:graphicData>
            </a:graphic>
          </wp:inline>
        </w:drawing>
      </w:r>
    </w:p>
    <w:p>
      <w:pPr>
        <w:pStyle w:val="TableFooter"/>
        <w:pBdr>
          <w:bottom w:val="single" w:sz="4" w:space="1" w:color="000000"/>
        </w:pBdr>
        <w:rPr/>
      </w:pPr>
      <w:r>
        <w:rPr/>
        <w:t>Source: CSFB</w:t>
      </w:r>
    </w:p>
    <w:p>
      <w:pPr>
        <w:sectPr>
          <w:headerReference w:type="default" r:id="rId41"/>
          <w:headerReference w:type="first" r:id="rId42"/>
          <w:footerReference w:type="default" r:id="rId43"/>
          <w:footerReference w:type="first" r:id="rId44"/>
          <w:type w:val="nextPage"/>
          <w:pgSz w:orient="landscape" w:w="15840" w:h="12240"/>
          <w:pgMar w:left="1080" w:right="1627" w:gutter="0" w:header="547" w:top="1440" w:footer="360" w:bottom="1195"/>
          <w:pgNumType w:fmt="decimal"/>
          <w:formProt w:val="false"/>
          <w:textDirection w:val="lrTb"/>
          <w:docGrid w:type="default" w:linePitch="360" w:charSpace="0"/>
        </w:sectPr>
      </w:pPr>
      <w:r>
        <w:br w:type="page"/>
      </w:r>
    </w:p>
    <w:p>
      <w:pPr>
        <w:pStyle w:val="officename"/>
        <w:rPr/>
      </w:pPr>
      <w:r>
        <w:rPr/>
        <w:t>AMSTERDAM</w:t>
        <w:tab/>
        <w:t>31 20 5754 890</w:t>
      </w:r>
    </w:p>
    <w:p>
      <w:pPr>
        <w:pStyle w:val="officename"/>
        <w:rPr/>
      </w:pPr>
      <w:r>
        <w:rPr/>
        <w:t>ATLANTA</w:t>
        <w:tab/>
        <w:t>1 404 656 9500</w:t>
      </w:r>
    </w:p>
    <w:p>
      <w:pPr>
        <w:pStyle w:val="officename"/>
        <w:rPr/>
      </w:pPr>
      <w:r>
        <w:rPr/>
        <w:t>AUCKLAND</w:t>
        <w:tab/>
        <w:t>64 9 302 5500</w:t>
      </w:r>
    </w:p>
    <w:p>
      <w:pPr>
        <w:pStyle w:val="officename"/>
        <w:rPr/>
      </w:pPr>
      <w:r>
        <w:rPr/>
        <w:t>BALTIMORE</w:t>
        <w:tab/>
        <w:t>1 410 223 3000</w:t>
      </w:r>
    </w:p>
    <w:p>
      <w:pPr>
        <w:pStyle w:val="officename"/>
        <w:rPr/>
      </w:pPr>
      <w:r>
        <w:rPr/>
        <w:t>BEIJING</w:t>
        <w:tab/>
        <w:t>86 10 6410 6611</w:t>
      </w:r>
    </w:p>
    <w:p>
      <w:pPr>
        <w:pStyle w:val="officename"/>
        <w:rPr/>
      </w:pPr>
      <w:r>
        <w:rPr/>
        <w:t>BOSTON</w:t>
        <w:tab/>
        <w:t>1 617 556 5500</w:t>
      </w:r>
    </w:p>
    <w:p>
      <w:pPr>
        <w:pStyle w:val="officename"/>
        <w:rPr/>
      </w:pPr>
      <w:r>
        <w:rPr/>
        <w:t>BUDAPEST</w:t>
        <w:tab/>
        <w:t>36 1 202 2188</w:t>
      </w:r>
    </w:p>
    <w:p>
      <w:pPr>
        <w:pStyle w:val="officename"/>
        <w:rPr/>
      </w:pPr>
      <w:r>
        <w:rPr/>
        <w:t>BUENOS AIRES</w:t>
        <w:tab/>
        <w:t>54 11 4394 3100</w:t>
      </w:r>
    </w:p>
    <w:p>
      <w:pPr>
        <w:pStyle w:val="officename"/>
        <w:rPr/>
      </w:pPr>
      <w:r>
        <w:rPr/>
        <w:t>CHICAGO</w:t>
        <w:tab/>
        <w:t>1 312 750 3000</w:t>
      </w:r>
    </w:p>
    <w:p>
      <w:pPr>
        <w:pStyle w:val="officename"/>
        <w:rPr/>
      </w:pPr>
      <w:r>
        <w:rPr/>
        <w:t>FRANKFURT</w:t>
        <w:tab/>
        <w:t>49 69 75 38 0</w:t>
      </w:r>
    </w:p>
    <w:p>
      <w:pPr>
        <w:pStyle w:val="officename"/>
        <w:rPr/>
      </w:pPr>
      <w:r>
        <w:rPr/>
        <w:t>GENEVA</w:t>
        <w:tab/>
        <w:t>41 22 394 70 00</w:t>
      </w:r>
    </w:p>
    <w:p>
      <w:pPr>
        <w:pStyle w:val="officename"/>
        <w:rPr/>
      </w:pPr>
      <w:r>
        <w:rPr/>
        <w:t>HOUSTON</w:t>
        <w:tab/>
        <w:t>1 713 220 6700</w:t>
      </w:r>
    </w:p>
    <w:p>
      <w:pPr>
        <w:pStyle w:val="officename"/>
        <w:rPr/>
      </w:pPr>
      <w:r>
        <w:rPr/>
        <w:t>HONG KONG</w:t>
        <w:tab/>
        <w:t>852 2101 6000</w:t>
      </w:r>
    </w:p>
    <w:p>
      <w:pPr>
        <w:pStyle w:val="officename"/>
        <w:rPr/>
      </w:pPr>
      <w:r>
        <w:rPr/>
      </w:r>
    </w:p>
    <w:p>
      <w:pPr>
        <w:pStyle w:val="officename"/>
        <w:rPr/>
      </w:pPr>
      <w:r>
        <w:br w:type="column"/>
      </w:r>
      <w:r>
        <w:rPr/>
        <w:t>LONDON</w:t>
        <w:tab/>
        <w:t>44 20 7888 8888</w:t>
      </w:r>
    </w:p>
    <w:p>
      <w:pPr>
        <w:pStyle w:val="officename"/>
        <w:rPr/>
      </w:pPr>
      <w:r>
        <w:rPr/>
        <w:t>MADRID</w:t>
        <w:tab/>
        <w:t>34 91 423 16 00</w:t>
      </w:r>
    </w:p>
    <w:p>
      <w:pPr>
        <w:pStyle w:val="officename"/>
        <w:rPr/>
      </w:pPr>
      <w:r>
        <w:rPr/>
        <w:t>MELBOURNE</w:t>
        <w:tab/>
        <w:t>61 3 9280 1666</w:t>
      </w:r>
    </w:p>
    <w:p>
      <w:pPr>
        <w:pStyle w:val="officename"/>
        <w:rPr/>
      </w:pPr>
      <w:r>
        <w:rPr/>
        <w:t>MEXICO</w:t>
        <w:tab/>
        <w:t>52 5 283 89 00</w:t>
      </w:r>
    </w:p>
    <w:p>
      <w:pPr>
        <w:pStyle w:val="officename"/>
        <w:rPr/>
      </w:pPr>
      <w:r>
        <w:rPr/>
        <w:t>MILAN</w:t>
        <w:tab/>
        <w:t>39 02 7702 1</w:t>
      </w:r>
    </w:p>
    <w:p>
      <w:pPr>
        <w:pStyle w:val="officename"/>
        <w:rPr/>
      </w:pPr>
      <w:r>
        <w:rPr/>
        <w:t>MOSCOW</w:t>
        <w:tab/>
        <w:t>7 501 967 8200</w:t>
      </w:r>
    </w:p>
    <w:p>
      <w:pPr>
        <w:pStyle w:val="officename"/>
        <w:rPr/>
      </w:pPr>
      <w:r>
        <w:rPr/>
        <w:t>MUMBAI</w:t>
        <w:tab/>
        <w:t>91 22 230 6333</w:t>
      </w:r>
    </w:p>
    <w:p>
      <w:pPr>
        <w:pStyle w:val="officename"/>
        <w:rPr/>
      </w:pPr>
      <w:r>
        <w:rPr/>
        <w:t>NEW YORK</w:t>
        <w:tab/>
        <w:t>1 212 325 2000</w:t>
      </w:r>
    </w:p>
    <w:p>
      <w:pPr>
        <w:pStyle w:val="officename"/>
        <w:rPr/>
      </w:pPr>
      <w:r>
        <w:rPr/>
        <w:t>PALO ALTO</w:t>
        <w:tab/>
        <w:t>1 650 614 5000</w:t>
      </w:r>
    </w:p>
    <w:p>
      <w:pPr>
        <w:pStyle w:val="officename"/>
        <w:rPr/>
      </w:pPr>
      <w:r>
        <w:rPr/>
        <w:t>PARIS</w:t>
        <w:tab/>
        <w:t>33 1 40 76 8888</w:t>
      </w:r>
    </w:p>
    <w:p>
      <w:pPr>
        <w:pStyle w:val="officename"/>
        <w:rPr/>
      </w:pPr>
      <w:r>
        <w:rPr/>
        <w:t>PASADENA</w:t>
        <w:tab/>
        <w:t>1 626 395 5100</w:t>
      </w:r>
    </w:p>
    <w:p>
      <w:pPr>
        <w:pStyle w:val="officename"/>
        <w:rPr/>
      </w:pPr>
      <w:r>
        <w:rPr/>
        <w:t>PHILADELPHIA</w:t>
        <w:tab/>
        <w:t>1 215 851 1000</w:t>
      </w:r>
    </w:p>
    <w:p>
      <w:pPr>
        <w:pStyle w:val="officename"/>
        <w:rPr/>
      </w:pPr>
      <w:r>
        <w:rPr/>
        <w:t>PRAGUE</w:t>
        <w:tab/>
        <w:t>420 2 210 83111</w:t>
      </w:r>
    </w:p>
    <w:p>
      <w:pPr>
        <w:pStyle w:val="officename"/>
        <w:rPr/>
      </w:pPr>
      <w:r>
        <w:rPr/>
      </w:r>
    </w:p>
    <w:p>
      <w:pPr>
        <w:pStyle w:val="officename"/>
        <w:rPr/>
      </w:pPr>
      <w:r>
        <w:br w:type="column"/>
      </w:r>
      <w:r>
        <w:rPr/>
        <w:t>SAN FRANCISCO</w:t>
        <w:tab/>
        <w:t>1 415 836 7600</w:t>
      </w:r>
    </w:p>
    <w:p>
      <w:pPr>
        <w:pStyle w:val="officename"/>
        <w:rPr/>
      </w:pPr>
      <w:r>
        <w:rPr/>
        <w:t>SÃO PAULO</w:t>
        <w:tab/>
        <w:t>55 11 3841 6000</w:t>
      </w:r>
    </w:p>
    <w:p>
      <w:pPr>
        <w:pStyle w:val="officename"/>
        <w:rPr/>
      </w:pPr>
      <w:r>
        <w:rPr/>
        <w:t>SEOUL</w:t>
        <w:tab/>
        <w:t>82 2 3707 3700</w:t>
      </w:r>
    </w:p>
    <w:p>
      <w:pPr>
        <w:pStyle w:val="officename"/>
        <w:rPr/>
      </w:pPr>
      <w:r>
        <w:rPr/>
        <w:t>SHANGHAI</w:t>
        <w:tab/>
        <w:t>86 21 6881 8418</w:t>
      </w:r>
    </w:p>
    <w:p>
      <w:pPr>
        <w:pStyle w:val="officename"/>
        <w:rPr/>
      </w:pPr>
      <w:r>
        <w:rPr/>
        <w:t>SINGAPORE</w:t>
        <w:tab/>
        <w:t>65 538 6322</w:t>
      </w:r>
    </w:p>
    <w:p>
      <w:pPr>
        <w:pStyle w:val="officename"/>
        <w:rPr/>
      </w:pPr>
      <w:r>
        <w:rPr/>
        <w:t>SYDNEY</w:t>
        <w:tab/>
        <w:t>61 2 8205 4400</w:t>
      </w:r>
    </w:p>
    <w:p>
      <w:pPr>
        <w:pStyle w:val="officename"/>
        <w:rPr/>
      </w:pPr>
      <w:r>
        <w:rPr/>
        <w:t>TAIPEI</w:t>
        <w:tab/>
        <w:t>886 2 2715 6388</w:t>
      </w:r>
    </w:p>
    <w:p>
      <w:pPr>
        <w:pStyle w:val="officename"/>
        <w:rPr/>
      </w:pPr>
      <w:r>
        <w:rPr/>
        <w:t>TOKYO</w:t>
        <w:tab/>
        <w:t>81 3 5404 9000</w:t>
      </w:r>
    </w:p>
    <w:p>
      <w:pPr>
        <w:pStyle w:val="officename"/>
        <w:rPr/>
      </w:pPr>
      <w:r>
        <w:rPr/>
        <w:t>TORONTO</w:t>
        <w:tab/>
        <w:t>1 416 352 4500</w:t>
      </w:r>
    </w:p>
    <w:p>
      <w:pPr>
        <w:pStyle w:val="officename"/>
        <w:rPr/>
      </w:pPr>
      <w:r>
        <w:rPr/>
        <w:t>VIENNA</w:t>
        <w:tab/>
        <w:t>43 1 512 3023</w:t>
      </w:r>
    </w:p>
    <w:p>
      <w:pPr>
        <w:pStyle w:val="officename"/>
        <w:rPr/>
      </w:pPr>
      <w:r>
        <w:rPr/>
        <w:t>WARSAW</w:t>
        <w:tab/>
        <w:t>48 22 695 0050</w:t>
      </w:r>
    </w:p>
    <w:p>
      <w:pPr>
        <w:pStyle w:val="officename"/>
        <w:rPr/>
      </w:pPr>
      <w:r>
        <w:rPr/>
        <w:t>WELLINGTON</w:t>
        <w:tab/>
        <w:t>64 4 474 4400</w:t>
      </w:r>
    </w:p>
    <w:p>
      <w:pPr>
        <w:pStyle w:val="officename"/>
        <w:rPr/>
      </w:pPr>
      <w:r>
        <w:rPr/>
        <w:t>ZUG</w:t>
        <w:tab/>
        <w:t>41 41 727 97 00</w:t>
      </w:r>
    </w:p>
    <w:p>
      <w:pPr>
        <w:pStyle w:val="officename"/>
        <w:rPr/>
      </w:pPr>
      <w:r>
        <w:rPr/>
        <w:t>ZURICH</w:t>
        <w:tab/>
        <w:t>41 1 333 55 55</w:t>
      </w:r>
    </w:p>
    <w:p>
      <w:pPr>
        <w:pStyle w:val="Text"/>
        <w:spacing w:before="0" w:after="0"/>
        <w:rPr/>
      </w:pPr>
      <w:r>
        <w:rPr/>
      </w:r>
    </w:p>
    <w:p>
      <w:pPr>
        <w:sectPr>
          <w:headerReference w:type="default" r:id="rId45"/>
          <w:headerReference w:type="first" r:id="rId46"/>
          <w:footerReference w:type="default" r:id="rId47"/>
          <w:footerReference w:type="first" r:id="rId48"/>
          <w:type w:val="nextPage"/>
          <w:pgSz w:w="12240" w:h="15840"/>
          <w:pgMar w:left="1440" w:right="1195" w:gutter="0" w:header="547" w:top="1980" w:footer="675" w:bottom="1080"/>
          <w:pgNumType w:fmt="decimal"/>
          <w:cols w:num="3" w:space="708" w:equalWidth="true" w:sep="false"/>
          <w:formProt w:val="false"/>
          <w:textDirection w:val="lrTb"/>
          <w:docGrid w:type="default" w:linePitch="360" w:charSpace="0"/>
        </w:sectPr>
      </w:pPr>
    </w:p>
    <w:p>
      <w:pPr>
        <w:pStyle w:val="Disclaimer"/>
        <w:rPr/>
      </w:pPr>
      <w:r>
        <w:rPr/>
        <w:t>Copyright Credit Suisse First Boston, and its subsidiaries and affiliates, 2000.  All rights reserved.</w:t>
      </w:r>
    </w:p>
    <w:p>
      <w:pPr>
        <w:pStyle w:val="Disclaimer"/>
        <w:rPr/>
      </w:pPr>
      <w:r>
        <w:rPr/>
        <w:t xml:space="preserve">This report is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All material presented in this report, unless specifically indicated otherwise, is under copyright to CSFB. None of the material, nor its content, nor any copy of it, may be altered in any way, transmitted to, or distributed to any other party, without the prior express written permission of CSFB. All trademarks, service marks and logos used in this report are trademarks or service marks or registered trademarks or service marks of CSFB. </w:t>
      </w:r>
    </w:p>
    <w:p>
      <w:pPr>
        <w:pStyle w:val="Disclaimer"/>
        <w:rPr/>
      </w:pPr>
      <w:r>
        <w:rPr/>
        <w:t xml:space="preserve">The information, tools and material presented in this report are provided to you for information purposes only and are not to be used or considered as an offer or the solicitation of an offer to sell or to buy or subscribe for securities or other financial instruments. CSFB has not taken any steps to ensure that the securities referred to in this report are suitable for any particular investor. </w:t>
      </w:r>
    </w:p>
    <w:p>
      <w:pPr>
        <w:pStyle w:val="Disclaimer"/>
        <w:rPr/>
      </w:pPr>
      <w:r>
        <w:rPr/>
        <w:t xml:space="preserve">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where permitted by law and/or regulation.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 </w:t>
      </w:r>
    </w:p>
    <w:p>
      <w:pPr>
        <w:pStyle w:val="Disclaimer"/>
        <w:rPr/>
      </w:pPr>
      <w:r>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r>
        <w:rPr>
          <w:b/>
        </w:rPr>
        <w:t>.</w:t>
      </w:r>
    </w:p>
    <w:p>
      <w:pPr>
        <w:pStyle w:val="Disclaimer"/>
        <w:rPr/>
      </w:pPr>
      <w:r>
        <w:rPr/>
        <w:t>Past performance should not be taken as an indication or guarantee of future performance, and no representation or warranty, express or implied, is made regarding future performance. Information, opinions and estimates contained in this report reflect a judgment at its original date of publication by CSFB and are subject to change. The value and income of any of the securities or financial instruments mentioned in this report can fall as well as rise, and is subject to exchange rate fluctuation that may have a positive or adverse effect on the price or income of such securities or financial instruments. Investors in securities such as ADRs, the values of which are influenced by currency fluctuation, effectively assume this risk.</w:t>
      </w:r>
      <w:r>
        <w:rPr>
          <w:i/>
        </w:rPr>
        <w:t xml:space="preserve"> </w:t>
      </w:r>
    </w:p>
    <w:p>
      <w:pPr>
        <w:pStyle w:val="Disclaimer"/>
        <w:rPr/>
      </w:pPr>
      <w:r>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its own investigation and analysis of the product and consult with its own professional advisers as to the risks involved in making such a purchase.</w:t>
      </w:r>
      <w:r>
        <w:rPr>
          <w:i/>
        </w:rPr>
        <w:t xml:space="preserve"> </w:t>
      </w:r>
    </w:p>
    <w:p>
      <w:pPr>
        <w:pStyle w:val="Disclaimer"/>
        <w:rPr/>
      </w:pPr>
      <w:r>
        <w:rPr/>
        <w:t>This report is distributed in Europe by Credit Suisse First Boston (Europe) Limited, which is regulated in the United Kingdom by The Securities and Futures Authority (“SFA”). It is not for distribution to private customers as defined by the rules of The SFA. This report is distributed in the United States by Credit Suisse First Boston Corporation; in Canada by Credit Suisse First Boston Securities Canada, Inc.; in Brazil by Banco de Investimentos Credit Suisse First Boston Garantia S.A.; in Japan by Credit Suisse First Boston Securities (Japan) Limited; elsewhere in Asia/Pacific by Credit Suisse First Boston (Hong Kong) Limited;. Credit Suisse First Boston Australia Equities Limited; Credit Suisse First Boston NZ Securities Limited, Credit Suisse First Boston Singapore Branch and elsewhere in the world by an authorized affiliate.</w:t>
      </w:r>
    </w:p>
    <w:p>
      <w:pPr>
        <w:pStyle w:val="Disclaimer"/>
        <w:rPr/>
      </w:pPr>
      <w:r>
        <w:rPr/>
        <w:t xml:space="preserve">In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sectPr>
          <w:type w:val="continuous"/>
          <w:pgSz w:w="12240" w:h="15840"/>
          <w:pgMar w:left="1440" w:right="1195" w:gutter="0" w:header="547" w:top="1980" w:footer="675" w:bottom="1080"/>
          <w:formProt w:val="false"/>
          <w:textDirection w:val="lrTb"/>
          <w:docGrid w:type="default" w:linePitch="360" w:charSpace="0"/>
        </w:sectPr>
      </w:pPr>
    </w:p>
    <w:p>
      <w:pPr>
        <w:pStyle w:val="Text"/>
        <w:spacing w:before="0" w:after="60"/>
        <w:jc w:val="both"/>
        <w:rPr/>
      </w:pPr>
      <w:r>
        <w:rPr/>
      </w:r>
    </w:p>
    <w:sectPr>
      <w:type w:val="continuous"/>
      <w:pgSz w:w="12240" w:h="15840"/>
      <w:pgMar w:left="1440" w:right="1195" w:gutter="0" w:header="547" w:top="1980" w:footer="6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Helvetica">
    <w:altName w:val="Arial"/>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Times New Roman">
    <w:altName w:val="Times"/>
    <w:charset w:val="00" w:characterSet="windows-1252"/>
    <w:family w:val="roman"/>
    <w:pitch w:val="variable"/>
  </w:font>
  <w:font w:name="Bookshelf Symbol 3">
    <w:charset w:val="02"/>
    <w:family w:val="roman"/>
    <w:pitch w:val="variable"/>
  </w:font>
  <w:font w:name="Palatino">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helvetica"/>
      </w:rPr>
      <w:t xml:space="preserve"> </w:t>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Fonts w:eastAsia="Arial; helvetica"/>
      </w:rPr>
      <w:t xml:space="preserve"> </w:t>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Fonts w:eastAsia="Arial; helvetica"/>
      </w:rPr>
      <w:t xml:space="preserve"> </w:t>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Portrait"/>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Arial; helvetica"/>
      </w:rPr>
      <w:t xml:space="preserve"> </w:t>
    </w:r>
    <w:r>
      <w:rPr>
        <w:rStyle w:val="PageNumbe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IPW070201.doc</w:t>
    </w:r>
    <w:r>
      <w:rPr>
        <w:sz w:val="18"/>
        <w:rFonts w:cs="Arial Narrow" w:ascii="Arial Narrow" w:hAnsi="Arial Narrow"/>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9"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Fonts w:eastAsia="Arial; helvetica"/>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Fonts w:eastAsia="Arial; helvetica"/>
      </w:rPr>
      <w:t xml:space="preserve"> </w:t>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helvetica"/>
      </w:rPr>
      <w:t xml:space="preserve"> </w:t>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helveti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Fonts w:eastAsia="Arial; helvetica"/>
      </w:rPr>
      <w:t xml:space="preserve"> </w:t>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Portrait"/>
      <w:spacing w:before="60" w:after="0"/>
      <w:ind w:hanging="0" w:start="0" w:end="-43"/>
      <w:rPr/>
    </w:pPr>
    <w:r>
      <w:rPr/>
      <w:t>Independent Power Weekly</w:t>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0"/>
      <w:rPr/>
    </w:pPr>
    <w:r>
      <w:rPr/>
      <w:drawing>
        <wp:inline distT="0" distB="0" distL="0" distR="0">
          <wp:extent cx="1799590" cy="640080"/>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0"/>
        </w:tabs>
        <w:ind w:start="0" w:hanging="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sz w:val="18"/>
        <w:i w:val="false"/>
        <w:b/>
        <w:rFonts w:ascii="Arial Narrow" w:hAnsi="Arial Narrow" w:cs="Arial Narrow"/>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0" w:hanging="0"/>
      </w:pPr>
    </w:lvl>
    <w:lvl w:ilvl="1">
      <w:start w:val="1"/>
      <w:numFmt w:val="lowerLetter"/>
      <w:lvlText w:val="%2)"/>
      <w:lvlJc w:val="start"/>
      <w:pPr>
        <w:tabs>
          <w:tab w:val="num" w:pos="720"/>
        </w:tabs>
        <w:ind w:start="720" w:hanging="360"/>
      </w:pPr>
      <w:rPr>
        <w:i w:val="fals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360"/>
        </w:tabs>
        <w:ind w:start="216" w:hanging="216"/>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sz w:val="16"/>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helvetica" w:hAnsi="Arial; helvetica" w:eastAsia="Times New Roman;Times" w:cs="Arial; helvetica"/>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outlineLvl w:val="6"/>
    </w:pPr>
    <w:rPr>
      <w:rFonts w:ascii="Arial Narrow" w:hAnsi="Arial Narrow" w:cs="Arial Narrow"/>
      <w:b/>
      <w:color w:val="000000"/>
      <w:sz w:val="22"/>
    </w:rPr>
  </w:style>
  <w:style w:type="paragraph" w:styleId="Heading8">
    <w:name w:val="heading 8"/>
    <w:basedOn w:val="Normal"/>
    <w:next w:val="Normal"/>
    <w:qFormat/>
    <w:pPr>
      <w:keepNext w:val="true"/>
      <w:numPr>
        <w:ilvl w:val="7"/>
        <w:numId w:val="1"/>
      </w:numPr>
      <w:spacing w:before="120" w:after="0"/>
      <w:outlineLvl w:val="7"/>
    </w:pPr>
    <w:rPr>
      <w:b/>
    </w:rPr>
  </w:style>
  <w:style w:type="paragraph" w:styleId="Heading9">
    <w:name w:val="heading 9"/>
    <w:basedOn w:val="Normal"/>
    <w:next w:val="Normal"/>
    <w:qFormat/>
    <w:pPr>
      <w:keepNext w:val="true"/>
      <w:numPr>
        <w:ilvl w:val="8"/>
        <w:numId w:val="1"/>
      </w:numPr>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16"/>
    </w:rPr>
  </w:style>
  <w:style w:type="character" w:styleId="WW8Num14z0">
    <w:name w:val="WW8Num14z0"/>
    <w:qFormat/>
    <w:rPr>
      <w:rFonts w:ascii="Symbol" w:hAnsi="Symbol" w:cs="Symbol"/>
      <w:sz w:val="16"/>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sz w:val="16"/>
    </w:rPr>
  </w:style>
  <w:style w:type="character" w:styleId="WW8Num29z0">
    <w:name w:val="WW8Num29z0"/>
    <w:qFormat/>
    <w:rPr>
      <w:rFonts w:ascii="Symbol" w:hAnsi="Symbol" w:cs="Symbol"/>
      <w:sz w:val="16"/>
    </w:rPr>
  </w:style>
  <w:style w:type="character" w:styleId="WW8Num30z0">
    <w:name w:val="WW8Num30z0"/>
    <w:qFormat/>
    <w:rPr>
      <w:rFonts w:ascii="Symbol" w:hAnsi="Symbol" w:cs="Symbol"/>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sz w:val="16"/>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sz w:val="16"/>
    </w:rPr>
  </w:style>
  <w:style w:type="character" w:styleId="WW8Num40z0">
    <w:name w:val="WW8Num40z0"/>
    <w:qFormat/>
    <w:rPr>
      <w:rFonts w:ascii="Symbol" w:hAnsi="Symbol" w:cs="Symbol"/>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sz w:val="16"/>
    </w:rPr>
  </w:style>
  <w:style w:type="character" w:styleId="WW8Num66z0">
    <w:name w:val="WW8Num66z0"/>
    <w:qFormat/>
    <w:rPr>
      <w:rFonts w:ascii="Symbol" w:hAnsi="Symbol" w:cs="Symbol"/>
      <w:sz w:val="22"/>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sz w:val="16"/>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sz w:val="16"/>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b/>
      <w:i w:val="false"/>
      <w:color w:val="FFFFFF"/>
      <w:sz w:val="32"/>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b/>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Arial Narrow" w:hAnsi="Arial Narrow" w:cs="Arial Narrow"/>
      <w:b/>
      <w:i w:val="false"/>
      <w:sz w:val="18"/>
    </w:rPr>
  </w:style>
  <w:style w:type="character" w:styleId="WW8Num105z0">
    <w:name w:val="WW8Num105z0"/>
    <w:qFormat/>
    <w:rPr>
      <w:rFonts w:ascii="Symbol" w:hAnsi="Symbol" w:cs="Symbol"/>
    </w:rPr>
  </w:style>
  <w:style w:type="character" w:styleId="WW8Num106z0">
    <w:name w:val="WW8Num106z0"/>
    <w:qFormat/>
    <w:rPr>
      <w:rFonts w:ascii="Wingdings" w:hAnsi="Wingdings" w:cs="Wingdings"/>
    </w:rPr>
  </w:style>
  <w:style w:type="character" w:styleId="WW8Num108z0">
    <w:name w:val="WW8Num108z0"/>
    <w:qFormat/>
    <w:rPr>
      <w:rFonts w:ascii="Symbol" w:hAnsi="Symbol" w:cs="Symbol"/>
      <w:sz w:val="16"/>
    </w:rPr>
  </w:style>
  <w:style w:type="character" w:styleId="WW8Num110z0">
    <w:name w:val="WW8Num110z0"/>
    <w:qFormat/>
    <w:rPr>
      <w:rFonts w:ascii="Symbol" w:hAnsi="Symbol" w:cs="Symbol"/>
      <w:color w:val="auto"/>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sz w:val="22"/>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b w:val="false"/>
      <w:i w:val="false"/>
    </w:rPr>
  </w:style>
  <w:style w:type="character" w:styleId="WW8Num131z0">
    <w:name w:val="WW8Num131z0"/>
    <w:qFormat/>
    <w:rPr>
      <w:rFonts w:ascii="Symbol" w:hAnsi="Symbol" w:cs="Symbol"/>
    </w:rPr>
  </w:style>
  <w:style w:type="character" w:styleId="WW8Num133z0">
    <w:name w:val="WW8Num133z0"/>
    <w:qFormat/>
    <w:rPr>
      <w:rFonts w:ascii="Symbol" w:hAnsi="Symbol" w:cs="Symbol"/>
    </w:rPr>
  </w:style>
  <w:style w:type="character" w:styleId="WW8Num135z0">
    <w:name w:val="WW8Num135z0"/>
    <w:qFormat/>
    <w:rPr>
      <w:b/>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style>
  <w:style w:type="character" w:styleId="WW8Num140z0">
    <w:name w:val="WW8Num140z0"/>
    <w:qFormat/>
    <w:rPr>
      <w:rFonts w:ascii="Symbol" w:hAnsi="Symbol" w:cs="Symbol"/>
    </w:rPr>
  </w:style>
  <w:style w:type="character" w:styleId="WW8Num143z0">
    <w:name w:val="WW8Num143z0"/>
    <w:qFormat/>
    <w:rPr>
      <w:rFonts w:ascii="Symbol" w:hAnsi="Symbol" w:cs="Symbol"/>
      <w:sz w:val="16"/>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sz w:val="22"/>
    </w:rPr>
  </w:style>
  <w:style w:type="character" w:styleId="WW8Num162z0">
    <w:name w:val="WW8Num162z0"/>
    <w:qFormat/>
    <w:rPr>
      <w:rFonts w:ascii="Symbol" w:hAnsi="Symbol" w:cs="Symbol"/>
      <w:sz w:val="16"/>
    </w:rPr>
  </w:style>
  <w:style w:type="character" w:styleId="WW8Num163z0">
    <w:name w:val="WW8Num163z0"/>
    <w:qFormat/>
    <w:rPr>
      <w:rFonts w:ascii="Symbol" w:hAnsi="Symbol" w:cs="Symbol"/>
      <w:sz w:val="16"/>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1z0">
    <w:name w:val="WW8Num181z0"/>
    <w:qFormat/>
    <w:rPr>
      <w:b/>
      <w:i w:val="false"/>
      <w:color w:val="FFFFFF"/>
      <w:sz w:val="32"/>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b/>
      <w:i w:val="false"/>
      <w:color w:val="FFFFFF"/>
      <w:sz w:val="32"/>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b/>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style>
  <w:style w:type="character" w:styleId="WW8Num202z0">
    <w:name w:val="WW8Num202z0"/>
    <w:qFormat/>
    <w:rPr/>
  </w:style>
  <w:style w:type="character" w:styleId="WW8Num203z0">
    <w:name w:val="WW8Num203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1">
    <w:name w:val="WW8Num209z1"/>
    <w:qFormat/>
    <w:rPr>
      <w:b w:val="false"/>
      <w:i w:val="false"/>
    </w:rPr>
  </w:style>
  <w:style w:type="character" w:styleId="WW8Num212z0">
    <w:name w:val="WW8Num212z0"/>
    <w:qFormat/>
    <w:rPr>
      <w:rFonts w:ascii="Symbol" w:hAnsi="Symbol" w:cs="Symbol"/>
    </w:rPr>
  </w:style>
  <w:style w:type="character" w:styleId="WW8Num213z0">
    <w:name w:val="WW8Num213z0"/>
    <w:qFormat/>
    <w:rPr>
      <w:rFonts w:ascii="Symbol" w:hAnsi="Symbol" w:cs="Symbol"/>
      <w:sz w:val="16"/>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sz w:val="16"/>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rFonts w:ascii="Symbol" w:hAnsi="Symbol" w:cs="Symbol"/>
      <w:sz w:val="16"/>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1">
    <w:name w:val="WW8Num225z1"/>
    <w:qFormat/>
    <w:rPr>
      <w:b w:val="false"/>
      <w:i w:val="false"/>
    </w:rPr>
  </w:style>
  <w:style w:type="character" w:styleId="WW8Num226z0">
    <w:name w:val="WW8Num226z0"/>
    <w:qFormat/>
    <w:rPr>
      <w:rFonts w:ascii="Symbol" w:hAnsi="Symbol" w:cs="Symbol"/>
    </w:rPr>
  </w:style>
  <w:style w:type="character" w:styleId="WW8Num227z0">
    <w:name w:val="WW8Num227z0"/>
    <w:qFormat/>
    <w:rPr>
      <w:b/>
      <w:i w:val="false"/>
      <w:color w:val="FFFFFF"/>
      <w:sz w:val="32"/>
    </w:rPr>
  </w:style>
  <w:style w:type="character" w:styleId="WW8Num228z0">
    <w:name w:val="WW8Num228z0"/>
    <w:qFormat/>
    <w:rPr>
      <w:rFonts w:ascii="Symbol" w:hAnsi="Symbol" w:cs="Symbol"/>
    </w:rPr>
  </w:style>
  <w:style w:type="character" w:styleId="WW8Num229z0">
    <w:name w:val="WW8Num229z0"/>
    <w:qFormat/>
    <w:rPr/>
  </w:style>
  <w:style w:type="character" w:styleId="WW8Num230z0">
    <w:name w:val="WW8Num230z0"/>
    <w:qFormat/>
    <w:rPr>
      <w:rFonts w:ascii="Symbol" w:hAnsi="Symbol" w:cs="Symbol"/>
      <w:sz w:val="16"/>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style>
  <w:style w:type="character" w:styleId="WW8Num234z0">
    <w:name w:val="WW8Num234z0"/>
    <w:qFormat/>
    <w:rPr>
      <w:rFonts w:ascii="Symbol" w:hAnsi="Symbol" w:cs="Symbol"/>
      <w:sz w:val="16"/>
    </w:rPr>
  </w:style>
  <w:style w:type="character" w:styleId="WW8Num235z0">
    <w:name w:val="WW8Num235z0"/>
    <w:qFormat/>
    <w:rPr>
      <w:rFonts w:ascii="Symbol" w:hAnsi="Symbol" w:cs="Symbol"/>
    </w:rPr>
  </w:style>
  <w:style w:type="character" w:styleId="WW8Num236z0">
    <w:name w:val="WW8Num236z0"/>
    <w:qFormat/>
    <w:rPr>
      <w:rFonts w:ascii="Times New Roman;Times" w:hAnsi="Times New Roman;Times" w:cs="Times New Roman;Times"/>
    </w:rPr>
  </w:style>
  <w:style w:type="character" w:styleId="WW8Num237z0">
    <w:name w:val="WW8Num237z0"/>
    <w:qFormat/>
    <w:rPr>
      <w:rFonts w:ascii="Symbol" w:hAnsi="Symbol" w:cs="Symbol"/>
    </w:rPr>
  </w:style>
  <w:style w:type="character" w:styleId="WW8Num238z0">
    <w:name w:val="WW8Num238z0"/>
    <w:qFormat/>
    <w:rPr>
      <w:rFonts w:ascii="Wingdings" w:hAnsi="Wingdings" w:cs="Wingdings"/>
    </w:rPr>
  </w:style>
  <w:style w:type="character" w:styleId="WW8Num238z1">
    <w:name w:val="WW8Num238z1"/>
    <w:qFormat/>
    <w:rPr>
      <w:rFonts w:ascii="Courier New" w:hAnsi="Courier New" w:cs="Courier New"/>
    </w:rPr>
  </w:style>
  <w:style w:type="character" w:styleId="WW8Num238z3">
    <w:name w:val="WW8Num238z3"/>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3z0">
    <w:name w:val="WW8Num243z0"/>
    <w:qFormat/>
    <w:rPr>
      <w:rFonts w:ascii="Symbol" w:hAnsi="Symbol" w:cs="Symbol"/>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sz w:val="16"/>
    </w:rPr>
  </w:style>
  <w:style w:type="character" w:styleId="WW8Num257z0">
    <w:name w:val="WW8Num257z0"/>
    <w:qFormat/>
    <w:rPr>
      <w:rFonts w:ascii="Symbol" w:hAnsi="Symbol" w:cs="Symbol"/>
    </w:rPr>
  </w:style>
  <w:style w:type="character" w:styleId="WW8Num258z0">
    <w:name w:val="WW8Num258z0"/>
    <w:qFormat/>
    <w:rPr>
      <w:b/>
      <w:i w:val="false"/>
      <w:color w:val="FFFFFF"/>
      <w:sz w:val="32"/>
    </w:rPr>
  </w:style>
  <w:style w:type="character" w:styleId="WW8Num259z0">
    <w:name w:val="WW8Num259z0"/>
    <w:qFormat/>
    <w:rPr>
      <w:rFonts w:ascii="Symbol" w:hAnsi="Symbol" w:cs="Symbol"/>
    </w:rPr>
  </w:style>
  <w:style w:type="character" w:styleId="WW8Num260z0">
    <w:name w:val="WW8Num260z0"/>
    <w:qFormat/>
    <w:rPr>
      <w:rFonts w:ascii="Symbol" w:hAnsi="Symbol" w:cs="Symbol"/>
      <w:sz w:val="16"/>
    </w:rPr>
  </w:style>
  <w:style w:type="character" w:styleId="WW8Num261z0">
    <w:name w:val="WW8Num261z0"/>
    <w:qFormat/>
    <w:rPr>
      <w:rFonts w:ascii="Symbol" w:hAnsi="Symbol" w:cs="Symbol"/>
    </w:rPr>
  </w:style>
  <w:style w:type="character" w:styleId="WW8Num262z0">
    <w:name w:val="WW8Num262z0"/>
    <w:qFormat/>
    <w:rPr>
      <w:rFonts w:ascii="Symbol" w:hAnsi="Symbol" w:cs="Symbol"/>
      <w:color w:val="auto"/>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sz w:val="16"/>
    </w:rPr>
  </w:style>
  <w:style w:type="character" w:styleId="WW8Num271z0">
    <w:name w:val="WW8Num271z0"/>
    <w:qFormat/>
    <w:rPr>
      <w:rFonts w:ascii="Symbol" w:hAnsi="Symbol" w:cs="Symbol"/>
      <w:color w:val="auto"/>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sz w:val="16"/>
    </w:rPr>
  </w:style>
  <w:style w:type="character" w:styleId="WW8Num279z0">
    <w:name w:val="WW8Num279z0"/>
    <w:qFormat/>
    <w:rPr>
      <w:rFonts w:ascii="Symbol" w:hAnsi="Symbol" w:cs="Symbol"/>
    </w:rPr>
  </w:style>
  <w:style w:type="character" w:styleId="WW8Num280z0">
    <w:name w:val="WW8Num280z0"/>
    <w:qFormat/>
    <w:rPr/>
  </w:style>
  <w:style w:type="character" w:styleId="WW8Num281z0">
    <w:name w:val="WW8Num281z0"/>
    <w:qFormat/>
    <w:rPr>
      <w:rFonts w:ascii="Times New Roman;Times" w:hAnsi="Times New Roman;Times" w:cs="Times New Roman;Times"/>
    </w:rPr>
  </w:style>
  <w:style w:type="character" w:styleId="WW8Num282z0">
    <w:name w:val="WW8Num282z0"/>
    <w:qFormat/>
    <w:rPr>
      <w:rFonts w:ascii="Symbol" w:hAnsi="Symbol" w:cs="Symbol"/>
    </w:rPr>
  </w:style>
  <w:style w:type="character" w:styleId="WW8Num283z0">
    <w:name w:val="WW8Num283z0"/>
    <w:qFormat/>
    <w:rPr>
      <w:rFonts w:ascii="Wingdings" w:hAnsi="Wingdings" w:cs="Wingdings"/>
      <w:sz w:val="22"/>
    </w:rPr>
  </w:style>
  <w:style w:type="character" w:styleId="WW8Num284z0">
    <w:name w:val="WW8Num284z0"/>
    <w:qFormat/>
    <w:rPr>
      <w:rFonts w:ascii="Symbol" w:hAnsi="Symbol" w:cs="Symbol"/>
      <w:color w:val="auto"/>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sz w:val="16"/>
    </w:rPr>
  </w:style>
  <w:style w:type="character" w:styleId="WW8Num289z0">
    <w:name w:val="WW8Num289z0"/>
    <w:qFormat/>
    <w:rPr/>
  </w:style>
  <w:style w:type="character" w:styleId="WW8Num290z0">
    <w:name w:val="WW8Num290z0"/>
    <w:qFormat/>
    <w:rPr>
      <w:b/>
      <w:i w:val="false"/>
    </w:rPr>
  </w:style>
  <w:style w:type="character" w:styleId="WW8Num291z0">
    <w:name w:val="WW8Num291z0"/>
    <w:qFormat/>
    <w:rPr>
      <w:rFonts w:ascii="Wingdings" w:hAnsi="Wingdings" w:cs="Wingdings"/>
    </w:rPr>
  </w:style>
  <w:style w:type="character" w:styleId="WW8Num291z1">
    <w:name w:val="WW8Num291z1"/>
    <w:qFormat/>
    <w:rPr>
      <w:rFonts w:ascii="Courier New" w:hAnsi="Courier New" w:cs="Courier New"/>
    </w:rPr>
  </w:style>
  <w:style w:type="character" w:styleId="WW8Num291z3">
    <w:name w:val="WW8Num291z3"/>
    <w:qFormat/>
    <w:rPr>
      <w:rFonts w:ascii="Symbol" w:hAnsi="Symbol" w:cs="Symbol"/>
    </w:rPr>
  </w:style>
  <w:style w:type="character" w:styleId="WW8NumSt57z0">
    <w:name w:val="WW8NumSt57z0"/>
    <w:qFormat/>
    <w:rPr>
      <w:rFonts w:ascii="Bookshelf Symbol 3" w:hAnsi="Bookshelf Symbol 3" w:cs="Bookshelf Symbol 3"/>
    </w:rPr>
  </w:style>
  <w:style w:type="character" w:styleId="WW8NumSt115z0">
    <w:name w:val="WW8NumSt115z0"/>
    <w:qFormat/>
    <w:rPr>
      <w:rFonts w:ascii="Symbol" w:hAnsi="Symbol" w:cs="Symbol"/>
    </w:rPr>
  </w:style>
  <w:style w:type="character" w:styleId="WW8NumSt204z0">
    <w:name w:val="WW8NumSt204z0"/>
    <w:qFormat/>
    <w:rPr>
      <w:rFonts w:ascii="Symbol" w:hAnsi="Symbol" w:cs="Symbol"/>
    </w:rPr>
  </w:style>
  <w:style w:type="character" w:styleId="WW8NumSt221z0">
    <w:name w:val="WW8NumSt221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helvetica" w:hAnsi="Arial; helvetica" w:cs="Arial; helvetica"/>
      <w:b/>
      <w:sz w:val="20"/>
      <w:lang w:val="en-US"/>
    </w:rPr>
  </w:style>
  <w:style w:type="character" w:styleId="Location">
    <w:name w:val="Location"/>
    <w:qFormat/>
    <w:rPr>
      <w:sz w:val="16"/>
      <w:lang w:val="en-US"/>
    </w:rPr>
  </w:style>
  <w:style w:type="character" w:styleId="Marker">
    <w:name w:val="Marker"/>
    <w:basedOn w:val="DefaultParagraphFont"/>
    <w:qFormat/>
    <w:rPr>
      <w:rFonts w:ascii="Arial; helvetica" w:hAnsi="Arial; helvetica" w:cs="Arial; helvetica"/>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Arrow">
    <w:name w:val="Arrow"/>
    <w:basedOn w:val="DefaultParagraphFont"/>
    <w:qFormat/>
    <w:rPr>
      <w:rFonts w:ascii="Arial; helvetica" w:hAnsi="Arial; helvetica" w:cs="Arial; helvetica"/>
      <w:b/>
      <w:sz w:val="28"/>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0"/>
      <w:jc w:val="center"/>
    </w:pPr>
    <w:rPr>
      <w:b/>
      <w:sz w:val="24"/>
    </w:rPr>
  </w:style>
  <w:style w:type="paragraph" w:styleId="BodyText">
    <w:name w:val="Body Text"/>
    <w:basedOn w:val="Normal"/>
    <w:pPr>
      <w:jc w:val="start"/>
    </w:pPr>
    <w:rPr>
      <w:rFonts w:ascii="Arial Narrow" w:hAnsi="Arial Narrow" w:cs="Arial Narrow"/>
      <w:color w:val="000000"/>
      <w:sz w:val="22"/>
    </w:rPr>
  </w:style>
  <w:style w:type="paragraph" w:styleId="List">
    <w:name w:val="List"/>
    <w:basedOn w:val="Normal"/>
    <w:pPr>
      <w:spacing w:before="0" w:after="0"/>
      <w:ind w:hanging="360" w:start="36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Times" w:cs="Arial Narrow"/>
      <w:caps/>
      <w:color w:val="auto"/>
      <w:sz w:val="20"/>
      <w:szCs w:val="20"/>
      <w:vertAlign w:val="superscript"/>
      <w:lang w:val="en-US" w:eastAsia="zh-CN" w:bidi="hi-I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helvetica" w:hAnsi="Arial; helvetica" w:eastAsia="Times New Roman;Times" w:cs="Arial; helvetica"/>
      <w:b/>
      <w:color w:val="FFFFFF"/>
      <w:sz w:val="22"/>
      <w:szCs w:val="20"/>
      <w:lang w:val="en-US" w:eastAsia="zh-CN" w:bidi="hi-IN"/>
    </w:rPr>
  </w:style>
  <w:style w:type="paragraph" w:styleId="Head1">
    <w:name w:val="Head1"/>
    <w:next w:val="Text"/>
    <w:qFormat/>
    <w:pPr>
      <w:keepNext w:val="true"/>
      <w:pageBreakBefore/>
      <w:widowControl/>
      <w:pBdr>
        <w:bottom w:val="single" w:sz="4" w:space="1" w:color="000000"/>
      </w:pBdr>
      <w:bidi w:val="0"/>
      <w:spacing w:before="0" w:after="240"/>
    </w:pPr>
    <w:rPr>
      <w:rFonts w:ascii="Arial; helvetica" w:hAnsi="Arial; helvetica" w:eastAsia="Times New Roman;Times" w:cs="Arial; helvetica"/>
      <w:b/>
      <w:color w:val="auto"/>
      <w:sz w:val="24"/>
      <w:szCs w:val="20"/>
      <w:lang w:val="en-US" w:eastAsia="zh-CN" w:bidi="hi-IN"/>
    </w:rPr>
  </w:style>
  <w:style w:type="paragraph" w:styleId="Text">
    <w:name w:val="Text"/>
    <w:qFormat/>
    <w:pPr>
      <w:widowControl/>
      <w:bidi w:val="0"/>
      <w:spacing w:before="0" w:after="120"/>
    </w:pPr>
    <w:rPr>
      <w:rFonts w:ascii="Arial; helvetica" w:hAnsi="Arial; helvetica" w:eastAsia="Times New Roman;Times" w:cs="Arial; helvetica"/>
      <w:color w:val="auto"/>
      <w:sz w:val="20"/>
      <w:szCs w:val="20"/>
      <w:lang w:val="en-US" w:eastAsia="zh-CN" w:bidi="hi-I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Times" w:cs="Arial Narrow"/>
      <w:b/>
      <w:caps/>
      <w:color w:val="auto"/>
      <w:sz w:val="22"/>
      <w:szCs w:val="20"/>
      <w:lang w:val="en-US" w:eastAsia="zh-CN" w:bidi="hi-I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3"/>
      </w:numPr>
      <w:bidi w:val="0"/>
      <w:spacing w:before="60" w:after="60"/>
      <w:ind w:hanging="360" w:start="461" w:end="-14"/>
    </w:pPr>
    <w:rPr>
      <w:rFonts w:ascii="Arial; helvetica" w:hAnsi="Arial; helvetica" w:eastAsia="Times New Roman;Times" w:cs="Arial; helvetica"/>
      <w:color w:val="auto"/>
      <w:sz w:val="22"/>
      <w:szCs w:val="20"/>
      <w:lang w:val="en-US" w:eastAsia="zh-CN" w:bidi="hi-I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shd w:fill="auto" w:val="clear"/>
      <w:bidi w:val="0"/>
      <w:spacing w:before="156" w:after="0"/>
      <w:ind w:hanging="0" w:start="72" w:end="-115"/>
    </w:pPr>
    <w:rPr>
      <w:rFonts w:ascii="Arial Narrow" w:hAnsi="Arial Narrow" w:eastAsia="Times New Roman;Times" w:cs="Arial Narrow"/>
      <w:b/>
      <w:caps/>
      <w:color w:val="auto"/>
      <w:sz w:val="22"/>
      <w:szCs w:val="20"/>
      <w:lang w:val="en-US" w:eastAsia="zh-CN" w:bidi="hi-I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Times" w:cs="Arial Narrow"/>
      <w:color w:val="auto"/>
      <w:sz w:val="16"/>
      <w:szCs w:val="20"/>
      <w:lang w:val="en-US" w:eastAsia="zh-CN" w:bidi="hi-I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helvetica" w:hAnsi="Arial; helvetica" w:eastAsia="Times New Roman;Times" w:cs="Arial; helvetica"/>
      <w:b/>
      <w:color w:val="auto"/>
      <w:sz w:val="40"/>
      <w:szCs w:val="20"/>
      <w:lang w:val="en-US" w:eastAsia="zh-CN" w:bidi="hi-I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helvetica" w:hAnsi="Arial; helvetica" w:eastAsia="Times New Roman;Times" w:cs="Arial; helvetica"/>
      <w:color w:val="auto"/>
      <w:sz w:val="16"/>
      <w:szCs w:val="20"/>
      <w:lang w:val="en-US" w:eastAsia="zh-CN" w:bidi="hi-I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helvetica" w:hAnsi="Arial; helvetica" w:eastAsia="Times New Roman;Times" w:cs="Arial; helvetica"/>
      <w:color w:val="auto"/>
      <w:sz w:val="24"/>
      <w:szCs w:val="20"/>
      <w:lang w:val="en-US" w:eastAsia="zh-CN" w:bidi="hi-I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Times" w:cs="Arial Narrow"/>
      <w:b/>
      <w:color w:val="auto"/>
      <w:sz w:val="22"/>
      <w:szCs w:val="20"/>
      <w:lang w:val="en-US" w:eastAsia="zh-CN" w:bidi="hi-IN"/>
    </w:rPr>
  </w:style>
  <w:style w:type="paragraph" w:styleId="Email">
    <w:name w:val="Email"/>
    <w:qFormat/>
    <w:pPr>
      <w:widowControl/>
      <w:bidi w:val="0"/>
      <w:spacing w:before="0" w:after="120"/>
      <w:ind w:hanging="0" w:start="86" w:end="0"/>
    </w:pPr>
    <w:rPr>
      <w:rFonts w:ascii="Arial; helvetica" w:hAnsi="Arial; helvetica" w:eastAsia="Times New Roman;Times" w:cs="Arial; helvetica"/>
      <w:color w:val="auto"/>
      <w:sz w:val="16"/>
      <w:szCs w:val="20"/>
      <w:lang w:val="en-US" w:eastAsia="zh-CN" w:bidi="hi-IN"/>
    </w:rPr>
  </w:style>
  <w:style w:type="paragraph" w:styleId="Name">
    <w:name w:val="Name"/>
    <w:qFormat/>
    <w:pPr>
      <w:keepNext w:val="true"/>
      <w:widowControl/>
      <w:bidi w:val="0"/>
      <w:spacing w:before="60" w:after="0"/>
      <w:ind w:hanging="0" w:start="86" w:end="0"/>
    </w:pPr>
    <w:rPr>
      <w:rFonts w:ascii="Arial; helvetica" w:hAnsi="Arial; helvetica" w:eastAsia="Times New Roman;Times" w:cs="Arial; helvetica"/>
      <w:b/>
      <w:color w:val="auto"/>
      <w:sz w:val="16"/>
      <w:szCs w:val="20"/>
      <w:lang w:val="en-US" w:eastAsia="zh-CN" w:bidi="hi-I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helvetica" w:hAnsi="Arial; helvetica" w:eastAsia="Times New Roman;Times" w:cs="Arial; helvetica"/>
      <w:b/>
      <w:caps/>
      <w:color w:val="FFFFFF"/>
      <w:sz w:val="32"/>
      <w:szCs w:val="20"/>
      <w:lang w:val="en-US" w:eastAsia="zh-CN" w:bidi="hi-I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helvetica" w:hAnsi="Arial; helvetica" w:eastAsia="Times New Roman;Times" w:cs="Arial; helvetica"/>
      <w:color w:val="auto"/>
      <w:sz w:val="24"/>
      <w:szCs w:val="20"/>
      <w:lang w:val="en-US" w:eastAsia="zh-CN" w:bidi="hi-I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helvetica" w:hAnsi="Arial; helvetica" w:eastAsia="Times New Roman;Times" w:cs="Arial; helvetica"/>
      <w:b/>
      <w:caps/>
      <w:vanish/>
      <w:color w:val="FF0000"/>
      <w:sz w:val="16"/>
      <w:szCs w:val="20"/>
      <w:lang w:val="en-US" w:eastAsia="zh-CN" w:bidi="hi-I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helvetica" w:hAnsi="Arial; helvetica" w:eastAsia="Times New Roman;Times" w:cs="Arial; helvetica"/>
      <w:b/>
      <w:i/>
      <w:color w:val="auto"/>
      <w:sz w:val="16"/>
      <w:szCs w:val="20"/>
      <w:lang w:val="en-US" w:eastAsia="zh-CN" w:bidi="hi-I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helvetica" w:hAnsi="Arial; helvetica" w:eastAsia="Times New Roman;Times" w:cs="Arial; helvetica"/>
      <w:color w:val="auto"/>
      <w:sz w:val="20"/>
      <w:szCs w:val="20"/>
      <w:lang w:val="en-US" w:eastAsia="zh-CN" w:bidi="hi-I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helvetica" w:hAnsi="Arial; helvetica" w:eastAsia="Times New Roman;Times" w:cs="Arial; helvetica"/>
      <w:b/>
      <w:caps/>
      <w:vanish/>
      <w:color w:val="FF0000"/>
      <w:sz w:val="18"/>
      <w:szCs w:val="20"/>
      <w:lang w:val="en-US" w:eastAsia="zh-CN" w:bidi="hi-I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Times" w:cs="Arial Narrow"/>
      <w:b/>
      <w:color w:val="auto"/>
      <w:sz w:val="18"/>
      <w:szCs w:val="20"/>
      <w:lang w:val="en-US" w:eastAsia="zh-CN" w:bidi="hi-I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helvetica" w:hAnsi="Arial; helvetica" w:eastAsia="Times New Roman;Times" w:cs="Arial; helvetica"/>
      <w:color w:val="auto"/>
      <w:sz w:val="20"/>
      <w:szCs w:val="20"/>
      <w:lang w:val="en-US" w:eastAsia="zh-CN" w:bidi="hi-I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TOC11">
    <w:name w:val="toc 1"/>
    <w:basedOn w:val="Normal"/>
    <w:next w:val="Normal"/>
    <w:pPr>
      <w:spacing w:lineRule="exact" w:line="280" w:before="0" w:after="0"/>
      <w:jc w:val="start"/>
    </w:pPr>
    <w:rPr>
      <w:b/>
      <w:lang w:val="en-GB"/>
    </w:rPr>
  </w:style>
  <w:style w:type="paragraph" w:styleId="AAABulletsSC">
    <w:name w:val="AAA_Bullets_SC"/>
    <w:basedOn w:val="Normal"/>
    <w:qFormat/>
    <w:pPr>
      <w:numPr>
        <w:ilvl w:val="0"/>
        <w:numId w:val="10"/>
      </w:numPr>
      <w:tabs>
        <w:tab w:val="clear" w:pos="720"/>
        <w:tab w:val="left" w:pos="0" w:leader="none"/>
      </w:tabs>
      <w:spacing w:before="60" w:after="60"/>
      <w:ind w:hanging="0" w:start="0" w:end="-14"/>
      <w:jc w:val="start"/>
    </w:pPr>
    <w:rPr>
      <w:sz w:val="22"/>
      <w:lang w:val="en-CA" w:eastAsia="en-CA"/>
    </w:rPr>
  </w:style>
  <w:style w:type="paragraph" w:styleId="FootnoteText1">
    <w:name w:val="Footnote Text1"/>
    <w:basedOn w:val="Normal"/>
    <w:qFormat/>
    <w:pPr/>
    <w:rPr/>
  </w:style>
  <w:style w:type="paragraph" w:styleId="BodyTextIndent">
    <w:name w:val="Body Text Indent"/>
    <w:basedOn w:val="Normal"/>
    <w:pPr>
      <w:spacing w:lineRule="auto" w:line="360" w:before="0" w:after="0"/>
      <w:ind w:firstLine="720" w:start="0" w:end="0"/>
      <w:jc w:val="start"/>
    </w:pPr>
    <w:rPr>
      <w:rFonts w:ascii="Times New Roman;Times" w:hAnsi="Times New Roman;Times" w:cs="Times New Roman;Times"/>
    </w:rPr>
  </w:style>
  <w:style w:type="paragraph" w:styleId="BodyText2">
    <w:name w:val="Body Text 2"/>
    <w:basedOn w:val="Normal"/>
    <w:qFormat/>
    <w:pPr>
      <w:spacing w:before="0" w:after="0"/>
      <w:jc w:val="start"/>
    </w:pPr>
    <w:rPr>
      <w:rFonts w:ascii="Times New Roman;Times" w:hAnsi="Times New Roman;Times" w:cs="Times New Roman;Times"/>
      <w:b/>
      <w:sz w:val="24"/>
    </w:rPr>
  </w:style>
  <w:style w:type="paragraph" w:styleId="BodyText3">
    <w:name w:val="Body Text 3"/>
    <w:basedOn w:val="Normal"/>
    <w:qFormat/>
    <w:pPr>
      <w:spacing w:before="0" w:after="0"/>
      <w:jc w:val="start"/>
    </w:pPr>
    <w:rPr>
      <w:rFonts w:ascii="Times New Roman;Times" w:hAnsi="Times New Roman;Times" w:cs="Times New Roman;Times"/>
      <w:i/>
      <w:sz w:val="24"/>
    </w:rPr>
  </w:style>
  <w:style w:type="paragraph" w:styleId="ListBullet">
    <w:name w:val="List Bullet"/>
    <w:basedOn w:val="Normal"/>
    <w:qFormat/>
    <w:pPr>
      <w:numPr>
        <w:ilvl w:val="0"/>
        <w:numId w:val="2"/>
      </w:numPr>
      <w:spacing w:before="0" w:after="0"/>
      <w:jc w:val="star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CompanyReport">
    <w:name w:val="Company Report"/>
    <w:basedOn w:val="Head1"/>
    <w:qFormat/>
    <w:pPr/>
    <w:rPr>
      <w:sz w:val="22"/>
    </w:rPr>
  </w:style>
  <w:style w:type="paragraph" w:styleId="Body">
    <w:name w:val="Body"/>
    <w:basedOn w:val="Normal"/>
    <w:qFormat/>
    <w:pPr>
      <w:spacing w:before="0" w:after="0"/>
    </w:pPr>
    <w:rPr>
      <w:kern w:val="2"/>
      <w:sz w:val="1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3492" w:leader="none"/>
        <w:tab w:val="right" w:pos="69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7.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image" Target="media/image8.wmf"/><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image" Target="media/image9.wmf"/><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image" Target="media/image10.wmf"/><Relationship Id="rId29" Type="http://schemas.openxmlformats.org/officeDocument/2006/relationships/image" Target="media/image11.wmf"/><Relationship Id="rId30" Type="http://schemas.openxmlformats.org/officeDocument/2006/relationships/header" Target="header10.xm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image" Target="media/image12.wmf"/><Relationship Id="rId35" Type="http://schemas.openxmlformats.org/officeDocument/2006/relationships/image" Target="media/image13.wmf"/><Relationship Id="rId36" Type="http://schemas.openxmlformats.org/officeDocument/2006/relationships/header" Target="header12.xml"/><Relationship Id="rId37" Type="http://schemas.openxmlformats.org/officeDocument/2006/relationships/header" Target="header13.xml"/><Relationship Id="rId38" Type="http://schemas.openxmlformats.org/officeDocument/2006/relationships/footer" Target="footer12.xml"/><Relationship Id="rId39" Type="http://schemas.openxmlformats.org/officeDocument/2006/relationships/footer" Target="footer13.xml"/><Relationship Id="rId40" Type="http://schemas.openxmlformats.org/officeDocument/2006/relationships/image" Target="media/image14.wmf"/><Relationship Id="rId41" Type="http://schemas.openxmlformats.org/officeDocument/2006/relationships/header" Target="header14.xml"/><Relationship Id="rId42" Type="http://schemas.openxmlformats.org/officeDocument/2006/relationships/header" Target="header15.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header" Target="header16.xml"/><Relationship Id="rId46" Type="http://schemas.openxmlformats.org/officeDocument/2006/relationships/header" Target="header17.xml"/><Relationship Id="rId47" Type="http://schemas.openxmlformats.org/officeDocument/2006/relationships/footer" Target="footer16.xml"/><Relationship Id="rId48" Type="http://schemas.openxmlformats.org/officeDocument/2006/relationships/footer" Target="footer17.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16.xml.rels><?xml version="1.0" encoding="UTF-8"?>
<Relationships xmlns="http://schemas.openxmlformats.org/package/2006/relationships"><Relationship Id="rId1" Type="http://schemas.openxmlformats.org/officeDocument/2006/relationships/image" Target="media/image1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Self99.dot</Template>
  <TotalTime>712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2001-06-25T09:33:00Z</dcterms:created>
  <dc:creator>Bryan Sifert</dc:creator>
  <dc:description/>
  <dc:language>en-CA</dc:language>
  <cp:lastModifiedBy>CSFB1</cp:lastModifiedBy>
  <cp:lastPrinted>2001-07-01T19:17:00Z</cp:lastPrinted>
  <dcterms:modified xsi:type="dcterms:W3CDTF">2001-07-01T20:59:00Z</dcterms:modified>
  <cp:revision>95</cp:revision>
  <dc:subject>Research Report</dc:subject>
  <dc:title>Self 1997 Template</dc:title>
</cp:coreProperties>
</file>