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_rels/header16.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png" ContentType="image/png"/>
  <Override PartName="/word/media/image1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11.wmf" ContentType="image/x-wmf"/>
  <Override PartName="/word/media/image2.wmf" ContentType="image/x-wmf"/>
  <Override PartName="/word/media/image8.wmf" ContentType="image/x-wmf"/>
  <Override PartName="/word/media/image12.wmf" ContentType="image/x-wmf"/>
  <Override PartName="/word/media/image3.wmf" ContentType="image/x-wmf"/>
  <Override PartName="/word/media/image9.wmf" ContentType="image/x-wmf"/>
  <Override PartName="/word/media/image13.wmf" ContentType="image/x-wmf"/>
  <Override PartName="/word/media/image4.wmf" ContentType="image/x-wmf"/>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go"/>
        <w:jc w:val="center"/>
        <w:rPr/>
      </w:pPr>
      <w:r>
        <w:rPr>
          <w:rFonts w:eastAsia="Arial Narrow"/>
          <w:b/>
          <w:caps w:val="false"/>
          <w:smallCaps w:val="false"/>
          <w:color w:val="000000"/>
          <w:sz w:val="28"/>
        </w:rPr>
        <w:t xml:space="preserve"> </w:t>
      </w:r>
      <w:r>
        <w:rPr>
          <w:b/>
          <w:caps w:val="false"/>
          <w:smallCaps w:val="false"/>
          <w:color w:val="000000"/>
          <w:sz w:val="28"/>
        </w:rPr>
        <w:drawing>
          <wp:inline distT="0" distB="0" distL="0" distR="0">
            <wp:extent cx="1410970" cy="397510"/>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26" t="-90" r="-26" b="-90"/>
                    <a:stretch>
                      <a:fillRect/>
                    </a:stretch>
                  </pic:blipFill>
                  <pic:spPr bwMode="auto">
                    <a:xfrm>
                      <a:off x="0" y="0"/>
                      <a:ext cx="1410970" cy="397510"/>
                    </a:xfrm>
                    <a:prstGeom prst="rect">
                      <a:avLst/>
                    </a:prstGeom>
                    <a:noFill/>
                  </pic:spPr>
                </pic:pic>
              </a:graphicData>
            </a:graphic>
          </wp:inline>
        </w:drawing>
      </w:r>
      <w:r>
        <w:rPr>
          <w:b/>
          <w:color w:val="000000"/>
          <w:sz w:val="28"/>
        </w:rPr>
        <w:tab/>
      </w:r>
      <w:r>
        <w:rPr/>
        <w:t>June 4, 2001</w:t>
      </w:r>
    </w:p>
    <w:p>
      <w:pPr>
        <w:sectPr>
          <w:headerReference w:type="default" r:id="rId3"/>
          <w:headerReference w:type="first" r:id="rId4"/>
          <w:footerReference w:type="default" r:id="rId5"/>
          <w:footerReference w:type="first" r:id="rId6"/>
          <w:type w:val="nextPage"/>
          <w:pgSz w:w="12240" w:h="15840"/>
          <w:pgMar w:left="3816" w:right="1440" w:gutter="0" w:header="720" w:top="994" w:footer="360" w:bottom="1080"/>
          <w:pgNumType w:fmt="decimal"/>
          <w:formProt w:val="false"/>
          <w:titlePg/>
          <w:textDirection w:val="lrTb"/>
          <w:docGrid w:type="default" w:linePitch="360" w:charSpace="0"/>
        </w:sectPr>
      </w:pPr>
    </w:p>
    <w:tbl>
      <w:tblPr>
        <w:tblW w:w="10170" w:type="dxa"/>
        <w:jc w:val="start"/>
        <w:tblInd w:w="-2070" w:type="dxa"/>
        <w:tblLayout w:type="fixed"/>
        <w:tblCellMar>
          <w:top w:w="0" w:type="dxa"/>
          <w:start w:w="0" w:type="dxa"/>
          <w:bottom w:w="0" w:type="dxa"/>
          <w:end w:w="0" w:type="dxa"/>
        </w:tblCellMar>
      </w:tblPr>
      <w:tblGrid>
        <w:gridCol w:w="10170"/>
      </w:tblGrid>
      <w:tr>
        <w:trPr>
          <w:trHeight w:val="1110" w:hRule="exact"/>
        </w:trPr>
        <w:tc>
          <w:tcPr>
            <w:tcW w:w="10170" w:type="dxa"/>
            <w:tcBorders>
              <w:top w:val="single" w:sz="4" w:space="0" w:color="000000"/>
              <w:bottom w:val="single" w:sz="4" w:space="0" w:color="000000"/>
            </w:tcBorders>
          </w:tcPr>
          <w:p>
            <w:pPr>
              <w:pStyle w:val="HeadTitle"/>
              <w:spacing w:before="60" w:after="0"/>
              <w:ind w:start="0" w:end="0"/>
              <w:jc w:val="center"/>
              <w:rPr>
                <w:rFonts w:ascii="Arial Black" w:hAnsi="Arial Black" w:cs="Arial Black"/>
                <w:i/>
                <w:i/>
                <w:caps/>
                <w:color w:val="0000FF"/>
                <w:sz w:val="52"/>
              </w:rPr>
            </w:pPr>
            <w:r>
              <w:rPr>
                <w:rFonts w:cs="Arial Black" w:ascii="Arial Black" w:hAnsi="Arial Black"/>
                <w:i/>
                <w:caps/>
                <w:color w:val="0000FF"/>
                <w:sz w:val="52"/>
              </w:rPr>
              <w:t>Independent Power Weekly</w:t>
            </w:r>
          </w:p>
          <w:p>
            <w:pPr>
              <w:pStyle w:val="HeadTitle"/>
              <w:spacing w:before="0" w:after="0"/>
              <w:ind w:start="0" w:end="0"/>
              <w:jc w:val="center"/>
              <w:rPr>
                <w:rFonts w:ascii="Arial Black" w:hAnsi="Arial Black" w:cs="Arial Black"/>
                <w:b w:val="false"/>
                <w:caps/>
                <w:color w:val="FF0000"/>
                <w:sz w:val="20"/>
              </w:rPr>
            </w:pPr>
            <w:r>
              <w:rPr>
                <w:rFonts w:cs="Arial Black" w:ascii="Arial Black" w:hAnsi="Arial Black"/>
                <w:b w:val="false"/>
                <w:caps/>
                <w:color w:val="FF0000"/>
                <w:sz w:val="20"/>
              </w:rPr>
              <w:t>ISSUE TWENTY-Nine</w:t>
            </w:r>
          </w:p>
          <w:p>
            <w:pPr>
              <w:pStyle w:val="HeadTitle"/>
              <w:spacing w:before="60" w:after="0"/>
              <w:ind w:start="0" w:end="0"/>
              <w:jc w:val="end"/>
              <w:rPr>
                <w:rFonts w:ascii="Arial Black" w:hAnsi="Arial Black" w:cs="Arial Black"/>
                <w:b w:val="false"/>
                <w:caps/>
                <w:color w:val="FF0000"/>
                <w:sz w:val="20"/>
              </w:rPr>
            </w:pPr>
            <w:r>
              <w:rPr>
                <w:rFonts w:cs="Arial Black" w:ascii="Arial Black" w:hAnsi="Arial Black"/>
                <w:b w:val="false"/>
                <w:caps/>
                <w:color w:val="FF0000"/>
                <w:sz w:val="20"/>
              </w:rPr>
            </w:r>
          </w:p>
        </w:tc>
      </w:tr>
    </w:tbl>
    <w:p>
      <w:pPr>
        <w:pStyle w:val="CameraReadyTableTitle"/>
        <w:spacing w:before="240" w:after="0"/>
        <w:rPr/>
      </w:pPr>
      <w:r>
        <w:rPr>
          <w:i/>
        </w:rPr>
        <w:t>Exhibit 1:</w:t>
      </w:r>
      <w:r>
        <w:rPr/>
        <w:t xml:space="preserve">   CSFB IPP Composite</w:t>
      </w:r>
      <w:r>
        <mc:AlternateContent>
          <mc:Choice Requires="wps">
            <w:drawing>
              <wp:anchor behindDoc="0" distT="0" distB="0" distL="0" distR="0" simplePos="0" locked="0" layoutInCell="0" allowOverlap="1" relativeHeight="3">
                <wp:simplePos x="0" y="0"/>
                <wp:positionH relativeFrom="page">
                  <wp:posOffset>732155</wp:posOffset>
                </wp:positionH>
                <wp:positionV relativeFrom="paragraph">
                  <wp:posOffset>191770</wp:posOffset>
                </wp:positionV>
                <wp:extent cx="1187450" cy="1468120"/>
                <wp:effectExtent l="0" t="0" r="0" b="0"/>
                <wp:wrapSquare wrapText="bothSides"/>
                <wp:docPr id="3" name="Frame1"/>
                <a:graphic xmlns:a="http://schemas.openxmlformats.org/drawingml/2006/main">
                  <a:graphicData uri="http://schemas.microsoft.com/office/word/2010/wordprocessingShape">
                    <wps:wsp>
                      <wps:cNvSpPr txBox="1"/>
                      <wps:spPr>
                        <a:xfrm>
                          <a:off x="0" y="0"/>
                          <a:ext cx="1187450" cy="1468120"/>
                        </a:xfrm>
                        <a:prstGeom prst="rect"/>
                        <a:solidFill>
                          <a:srgbClr val="FFFFFF">
                            <a:alpha val="0"/>
                          </a:srgbClr>
                        </a:solidFill>
                      </wps:spPr>
                      <wps:txbx>
                        <w:txbxContent>
                          <w:p>
                            <w:pPr>
                              <w:pStyle w:val="HangingText"/>
                              <w:keepNext w:val="true"/>
                              <w:spacing w:before="10" w:after="120"/>
                              <w:jc w:val="start"/>
                              <w:rPr/>
                            </w:pPr>
                            <w:r>
                              <w:rPr>
                                <w:sz w:val="18"/>
                              </w:rPr>
                              <w:t>Neil Stein</w:t>
                              <w:br/>
                            </w:r>
                            <w:r>
                              <w:rPr>
                                <w:b w:val="false"/>
                                <w:sz w:val="18"/>
                              </w:rPr>
                              <w:t>1 212 325 4217</w:t>
                              <w:br/>
                              <w:t>neil.stein@csfb.com</w:t>
                            </w:r>
                          </w:p>
                          <w:p>
                            <w:pPr>
                              <w:pStyle w:val="HangingText"/>
                              <w:rPr/>
                            </w:pPr>
                            <w:r>
                              <w:rPr>
                                <w:sz w:val="18"/>
                              </w:rPr>
                              <w:t xml:space="preserve">Bryan Sifert </w:t>
                              <w:br/>
                            </w:r>
                            <w:r>
                              <w:rPr>
                                <w:b w:val="false"/>
                                <w:sz w:val="18"/>
                              </w:rPr>
                              <w:t>1 212 325 3906</w:t>
                              <w:br/>
                              <w:t>bryan.sifert@csfb.com</w:t>
                            </w:r>
                          </w:p>
                          <w:p>
                            <w:pPr>
                              <w:pStyle w:val="HangingText"/>
                              <w:keepNext w:val="true"/>
                              <w:spacing w:before="10" w:after="120"/>
                              <w:jc w:val="start"/>
                              <w:rPr/>
                            </w:pPr>
                            <w:r>
                              <w:rPr>
                                <w:sz w:val="18"/>
                              </w:rPr>
                              <w:t>Paul Patterson</w:t>
                              <w:br/>
                            </w:r>
                            <w:r>
                              <w:rPr>
                                <w:b w:val="false"/>
                                <w:sz w:val="18"/>
                              </w:rPr>
                              <w:t>1 212 325 5876</w:t>
                              <w:br/>
                              <w:t>paul.patterson@csfb.com</w:t>
                            </w:r>
                          </w:p>
                        </w:txbxContent>
                      </wps:txbx>
                      <wps:bodyPr anchor="t" lIns="0" tIns="0" rIns="0" bIns="0">
                        <a:noAutofit/>
                      </wps:bodyPr>
                    </wps:wsp>
                  </a:graphicData>
                </a:graphic>
              </wp:anchor>
            </w:drawing>
          </mc:Choice>
          <mc:Fallback>
            <w:pict>
              <v:rect fillcolor="#FFFFFF" style="position:absolute;rotation:-0;width:93.5pt;height:115.6pt;mso-wrap-distance-left:0pt;mso-wrap-distance-right:0pt;mso-wrap-distance-top:0pt;mso-wrap-distance-bottom:0pt;margin-top:15.1pt;mso-position-vertical-relative:text;margin-left:57.65pt;mso-position-horizontal-relative:page">
                <v:fill opacity="0f"/>
                <v:textbox inset="0in,0in,0in,0in">
                  <w:txbxContent>
                    <w:p>
                      <w:pPr>
                        <w:pStyle w:val="HangingText"/>
                        <w:keepNext w:val="true"/>
                        <w:spacing w:before="10" w:after="120"/>
                        <w:jc w:val="start"/>
                        <w:rPr/>
                      </w:pPr>
                      <w:r>
                        <w:rPr>
                          <w:sz w:val="18"/>
                        </w:rPr>
                        <w:t>Neil Stein</w:t>
                        <w:br/>
                      </w:r>
                      <w:r>
                        <w:rPr>
                          <w:b w:val="false"/>
                          <w:sz w:val="18"/>
                        </w:rPr>
                        <w:t>1 212 325 4217</w:t>
                        <w:br/>
                        <w:t>neil.stein@csfb.com</w:t>
                      </w:r>
                    </w:p>
                    <w:p>
                      <w:pPr>
                        <w:pStyle w:val="HangingText"/>
                        <w:rPr/>
                      </w:pPr>
                      <w:r>
                        <w:rPr>
                          <w:sz w:val="18"/>
                        </w:rPr>
                        <w:t xml:space="preserve">Bryan Sifert </w:t>
                        <w:br/>
                      </w:r>
                      <w:r>
                        <w:rPr>
                          <w:b w:val="false"/>
                          <w:sz w:val="18"/>
                        </w:rPr>
                        <w:t>1 212 325 3906</w:t>
                        <w:br/>
                        <w:t>bryan.sifert@csfb.com</w:t>
                      </w:r>
                    </w:p>
                    <w:p>
                      <w:pPr>
                        <w:pStyle w:val="HangingText"/>
                        <w:keepNext w:val="true"/>
                        <w:spacing w:before="10" w:after="120"/>
                        <w:jc w:val="start"/>
                        <w:rPr/>
                      </w:pPr>
                      <w:r>
                        <w:rPr>
                          <w:sz w:val="18"/>
                        </w:rPr>
                        <w:t>Paul Patterson</w:t>
                        <w:br/>
                      </w:r>
                      <w:r>
                        <w:rPr>
                          <w:b w:val="false"/>
                          <w:sz w:val="18"/>
                        </w:rPr>
                        <w:t>1 212 325 5876</w:t>
                        <w:br/>
                        <w:t>paul.patterson@csfb.com</w:t>
                      </w:r>
                    </w:p>
                  </w:txbxContent>
                </v:textbox>
                <w10:wrap type="square"/>
              </v:rect>
            </w:pict>
          </mc:Fallback>
        </mc:AlternateContent>
      </w:r>
    </w:p>
    <w:p>
      <w:pPr>
        <w:pStyle w:val="Text"/>
        <w:spacing w:before="120" w:after="0"/>
        <w:jc w:val="center"/>
        <w:rPr>
          <w:sz w:val="16"/>
        </w:rPr>
      </w:pPr>
      <w:r>
        <w:rPr>
          <w:sz w:val="16"/>
        </w:rPr>
        <w:drawing>
          <wp:inline distT="0" distB="0" distL="0" distR="0">
            <wp:extent cx="3195320" cy="2204720"/>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7"/>
                    <a:srcRect l="-5" t="-7" r="-5" b="-7"/>
                    <a:stretch>
                      <a:fillRect/>
                    </a:stretch>
                  </pic:blipFill>
                  <pic:spPr bwMode="auto">
                    <a:xfrm>
                      <a:off x="0" y="0"/>
                      <a:ext cx="3195320" cy="2204720"/>
                    </a:xfrm>
                    <a:prstGeom prst="rect">
                      <a:avLst/>
                    </a:prstGeom>
                    <a:noFill/>
                  </pic:spPr>
                </pic:pic>
              </a:graphicData>
            </a:graphic>
          </wp:inline>
        </w:drawing>
      </w:r>
    </w:p>
    <w:p>
      <w:pPr>
        <w:pStyle w:val="Text"/>
        <w:spacing w:before="120" w:after="0"/>
        <w:rPr>
          <w:sz w:val="16"/>
        </w:rPr>
      </w:pPr>
      <w:r>
        <w:rPr>
          <w:sz w:val="16"/>
        </w:rPr>
        <w:t>Note:  IPP Composite includes:  AES, CPN, IPR, MIR, NRG, ORN and SGR.</w:t>
      </w:r>
    </w:p>
    <w:p>
      <w:pPr>
        <w:pStyle w:val="Text"/>
        <w:pBdr>
          <w:bottom w:val="single" w:sz="4" w:space="1" w:color="000000"/>
        </w:pBdr>
        <w:spacing w:before="0" w:after="0"/>
        <w:rPr>
          <w:sz w:val="16"/>
        </w:rPr>
      </w:pPr>
      <w:r>
        <w:rPr>
          <w:sz w:val="16"/>
        </w:rPr>
        <w:t>Source:  FactSet and CSFB Estimates</w:t>
      </w:r>
      <w:r>
        <mc:AlternateContent>
          <mc:Choice Requires="wps">
            <w:drawing>
              <wp:anchor behindDoc="0" distT="0" distB="0" distL="114935" distR="114935" simplePos="0" locked="0" layoutInCell="1" allowOverlap="1" relativeHeight="17">
                <wp:simplePos x="0" y="0"/>
                <wp:positionH relativeFrom="column">
                  <wp:posOffset>-1838325</wp:posOffset>
                </wp:positionH>
                <wp:positionV relativeFrom="paragraph">
                  <wp:posOffset>67310</wp:posOffset>
                </wp:positionV>
                <wp:extent cx="1756410" cy="2921000"/>
                <wp:effectExtent l="0" t="0" r="0" b="0"/>
                <wp:wrapNone/>
                <wp:docPr id="5" name="Frame2"/>
                <a:graphic xmlns:a="http://schemas.openxmlformats.org/drawingml/2006/main">
                  <a:graphicData uri="http://schemas.microsoft.com/office/word/2010/wordprocessingShape">
                    <wps:wsp>
                      <wps:cNvSpPr txBox="1"/>
                      <wps:spPr>
                        <a:xfrm>
                          <a:off x="0" y="0"/>
                          <a:ext cx="1756410" cy="2921000"/>
                        </a:xfrm>
                        <a:prstGeom prst="rect"/>
                        <a:solidFill>
                          <a:srgbClr val="FFFFFF"/>
                        </a:solidFill>
                        <a:ln w="19050">
                          <a:solidFill>
                            <a:srgbClr val="000000"/>
                          </a:solidFill>
                        </a:ln>
                      </wps:spPr>
                      <wps:txbx>
                        <w:txbxContent>
                          <w:p>
                            <w:pPr>
                              <w:pStyle w:val="Heading9"/>
                              <w:ind w:hanging="270" w:start="270" w:end="0"/>
                              <w:jc w:val="start"/>
                              <w:rPr>
                                <w:rFonts w:ascii="Arial Narrow" w:hAnsi="Arial Narrow" w:cs="Arial Narrow"/>
                                <w:color w:val="0000FF"/>
                              </w:rPr>
                            </w:pPr>
                            <w:r>
                              <w:rPr>
                                <w:rFonts w:cs="Arial Narrow" w:ascii="Arial Narrow" w:hAnsi="Arial Narrow"/>
                                <w:color w:val="0000FF"/>
                              </w:rPr>
                              <w:t>INSIDE THIS ISSUE (Page #)</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Weekly Commentary (2)</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Investment Outlook; Valuation Focus (3)</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Daily California Chronology (4)</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Upcoming Events (4)</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CPN Receivables Highlighted in WSJ Article (4)</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Debt Market Update (4)</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Coverage Initiated on RRI (5)</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Recent Headlines (6)</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Valuation Table (7)</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Power Prices (8)</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Bond Spreads (11)</w:t>
                            </w:r>
                          </w:p>
                        </w:txbxContent>
                      </wps:txbx>
                      <wps:bodyPr anchor="t" lIns="91440" tIns="45720" rIns="91440" bIns="45720">
                        <a:noAutofit/>
                      </wps:bodyPr>
                    </wps:wsp>
                  </a:graphicData>
                </a:graphic>
              </wp:anchor>
            </w:drawing>
          </mc:Choice>
          <mc:Fallback>
            <w:pict>
              <v:rect fillcolor="#FFFFFF" strokecolor="#000000" strokeweight="1pt" style="position:absolute;rotation:-0;width:138.3pt;height:230pt;mso-wrap-distance-left:9.05pt;mso-wrap-distance-right:9.05pt;mso-wrap-distance-top:0pt;mso-wrap-distance-bottom:0pt;margin-top:5.3pt;mso-position-vertical-relative:text;margin-left:-144.75pt;mso-position-horizontal-relative:text">
                <v:textbox>
                  <w:txbxContent>
                    <w:p>
                      <w:pPr>
                        <w:pStyle w:val="Heading9"/>
                        <w:ind w:hanging="270" w:start="270" w:end="0"/>
                        <w:jc w:val="start"/>
                        <w:rPr>
                          <w:rFonts w:ascii="Arial Narrow" w:hAnsi="Arial Narrow" w:cs="Arial Narrow"/>
                          <w:color w:val="0000FF"/>
                        </w:rPr>
                      </w:pPr>
                      <w:r>
                        <w:rPr>
                          <w:rFonts w:cs="Arial Narrow" w:ascii="Arial Narrow" w:hAnsi="Arial Narrow"/>
                          <w:color w:val="0000FF"/>
                        </w:rPr>
                        <w:t>INSIDE THIS ISSUE (Page #)</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Weekly Commentary (2)</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Investment Outlook; Valuation Focus (3)</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Daily California Chronology (4)</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Upcoming Events (4)</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CPN Receivables Highlighted in WSJ Article (4)</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Debt Market Update (4)</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Coverage Initiated on RRI (5)</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Recent Headlines (6)</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Valuation Table (7)</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Power Prices (8)</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Bond Spreads (11)</w:t>
                      </w:r>
                    </w:p>
                  </w:txbxContent>
                </v:textbox>
                <w10:wrap type="none"/>
              </v:rect>
            </w:pict>
          </mc:Fallback>
        </mc:AlternateContent>
      </w:r>
    </w:p>
    <w:p>
      <w:pPr>
        <w:pStyle w:val="Head2"/>
        <w:spacing w:before="120" w:after="0"/>
        <w:rPr/>
      </w:pPr>
      <w:r>
        <w:rPr/>
        <w:t>WEEKLY PERFORMANCE</w:t>
      </w:r>
    </w:p>
    <w:p>
      <w:pPr>
        <w:pStyle w:val="CameraReadyTableTitle"/>
        <w:pBdr>
          <w:bottom w:val="single" w:sz="4" w:space="1" w:color="000000"/>
        </w:pBdr>
        <w:spacing w:before="180" w:after="0"/>
        <w:rPr/>
      </w:pPr>
      <w:r>
        <w:rPr>
          <w:i/>
        </w:rPr>
        <w:t>Exhibit 2:</w:t>
      </w:r>
      <w:r>
        <w:rPr/>
        <w:t xml:space="preserve">   Independent Power Producer Performance</w:t>
      </w:r>
    </w:p>
    <w:p>
      <w:pPr>
        <w:pStyle w:val="CameraReadyTableTitle"/>
        <w:spacing w:before="120" w:after="60"/>
        <w:rPr>
          <w:i/>
          <w:i/>
        </w:rPr>
      </w:pPr>
      <w:r>
        <w:rPr>
          <w:b w:val="false"/>
          <w:i/>
        </w:rPr>
        <w:drawing>
          <wp:inline distT="0" distB="0" distL="0" distR="0">
            <wp:extent cx="4907915" cy="1591310"/>
            <wp:effectExtent l="0" t="0" r="0" b="0"/>
            <wp:docPr id="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title=""/>
                    <pic:cNvPicPr>
                      <a:picLocks noChangeAspect="1" noChangeArrowheads="1"/>
                    </pic:cNvPicPr>
                  </pic:nvPicPr>
                  <pic:blipFill>
                    <a:blip r:embed="rId8"/>
                    <a:srcRect l="-5" t="-16" r="-5" b="-16"/>
                    <a:stretch>
                      <a:fillRect/>
                    </a:stretch>
                  </pic:blipFill>
                  <pic:spPr bwMode="auto">
                    <a:xfrm>
                      <a:off x="0" y="0"/>
                      <a:ext cx="4907915" cy="1591310"/>
                    </a:xfrm>
                    <a:prstGeom prst="rect">
                      <a:avLst/>
                    </a:prstGeom>
                    <a:noFill/>
                  </pic:spPr>
                </pic:pic>
              </a:graphicData>
            </a:graphic>
          </wp:inline>
        </w:drawing>
      </w:r>
    </w:p>
    <w:p>
      <w:pPr>
        <w:pStyle w:val="CameraReadyTableTitle"/>
        <w:spacing w:before="120" w:after="60"/>
        <w:rPr/>
      </w:pPr>
      <w:r>
        <w:rPr>
          <w:i/>
        </w:rPr>
        <w:t xml:space="preserve">Exhibit 3:   </w:t>
      </w:r>
      <w:r>
        <w:rPr/>
        <w:t>Utilities with Significant Unregulated Generation Assets</w:t>
      </w:r>
    </w:p>
    <w:p>
      <w:pPr>
        <w:pStyle w:val="Text"/>
        <w:spacing w:before="0" w:after="0"/>
        <w:jc w:val="center"/>
        <w:rPr/>
      </w:pPr>
      <w:r>
        <w:rPr/>
        <w:drawing>
          <wp:inline distT="0" distB="0" distL="0" distR="0">
            <wp:extent cx="4720590" cy="1837690"/>
            <wp:effectExtent l="0" t="0" r="0" b="0"/>
            <wp:docPr id="7"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title=""/>
                    <pic:cNvPicPr>
                      <a:picLocks noChangeAspect="1" noChangeArrowheads="1"/>
                    </pic:cNvPicPr>
                  </pic:nvPicPr>
                  <pic:blipFill>
                    <a:blip r:embed="rId9"/>
                    <a:srcRect l="-5" t="-13" r="-5" b="-13"/>
                    <a:stretch>
                      <a:fillRect/>
                    </a:stretch>
                  </pic:blipFill>
                  <pic:spPr bwMode="auto">
                    <a:xfrm>
                      <a:off x="0" y="0"/>
                      <a:ext cx="4720590" cy="1837690"/>
                    </a:xfrm>
                    <a:prstGeom prst="rect">
                      <a:avLst/>
                    </a:prstGeom>
                    <a:noFill/>
                  </pic:spPr>
                </pic:pic>
              </a:graphicData>
            </a:graphic>
          </wp:inline>
        </w:drawing>
      </w:r>
    </w:p>
    <w:p>
      <w:pPr>
        <w:pStyle w:val="Text"/>
        <w:spacing w:before="120" w:after="0"/>
        <w:rPr>
          <w:sz w:val="16"/>
        </w:rPr>
      </w:pPr>
      <w:r>
        <w:rPr>
          <w:sz w:val="16"/>
        </w:rPr>
        <w:t>Source: CSFB estimates, FactSet</w:t>
      </w:r>
    </w:p>
    <w:p>
      <w:pPr>
        <w:sectPr>
          <w:type w:val="continuous"/>
          <w:pgSz w:w="12240" w:h="15840"/>
          <w:pgMar w:left="3312" w:right="1195" w:gutter="0" w:header="720" w:top="994" w:footer="360" w:bottom="1080"/>
          <w:formProt w:val="false"/>
          <w:titlePg/>
          <w:textDirection w:val="lrTb"/>
          <w:docGrid w:type="default" w:linePitch="360" w:charSpace="0"/>
        </w:sectPr>
      </w:pPr>
    </w:p>
    <w:p>
      <w:pPr>
        <w:pStyle w:val="Head1"/>
        <w:rPr/>
      </w:pPr>
      <w:r>
        <w:rPr/>
        <w:t>Weekly Commentary</w:t>
      </w:r>
    </w:p>
    <w:p>
      <w:pPr>
        <w:pStyle w:val="Text"/>
        <w:rPr/>
      </w:pPr>
      <w:r>
        <w:rPr/>
        <w:t>Last week our IPP composite fell 4.0%, underperforming both the NASDAQ (+2.4%) and the S&amp;P 500 (-1.1%).  Reflecting strong first quarter earnings results, International Power was the best performer in the group, rising 3.4%.  Calpine was the weakest performer, declining 10.3%.</w:t>
      </w:r>
    </w:p>
    <w:p>
      <w:pPr>
        <w:pStyle w:val="Text"/>
        <w:rPr/>
      </w:pPr>
      <w:r>
        <w:rPr/>
        <w:t>For the month of May our composite was down 6.8%.  Reliant Resources was the strongest performer in the group, rising 13.8%.  NRG Energy was the weakest, declining 18%.</w:t>
      </w:r>
    </w:p>
    <w:p>
      <w:pPr>
        <w:pStyle w:val="Text"/>
        <w:rPr/>
      </w:pPr>
      <w:r>
        <w:rPr/>
      </w:r>
    </w:p>
    <w:p>
      <w:pPr>
        <w:pStyle w:val="CameraReadyTableTitle"/>
        <w:spacing w:before="120" w:after="60"/>
        <w:ind w:start="-1170" w:end="0"/>
        <w:rPr>
          <w:i/>
          <w:i/>
        </w:rPr>
      </w:pPr>
      <w:r>
        <w:rPr>
          <w:i/>
        </w:rPr>
        <w:t>Exhibit 4: Daily Performance For Week Ended 6/1/01</w:t>
      </w:r>
    </w:p>
    <w:p>
      <w:pPr>
        <w:pStyle w:val="Head2"/>
        <w:ind w:start="-1170" w:end="0"/>
        <w:rPr>
          <w:b w:val="false"/>
        </w:rPr>
      </w:pPr>
      <w:r>
        <w:rPr/>
        <w:drawing>
          <wp:inline distT="0" distB="0" distL="0" distR="0">
            <wp:extent cx="5786120" cy="824865"/>
            <wp:effectExtent l="0" t="0" r="0" b="0"/>
            <wp:docPr id="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title=""/>
                    <pic:cNvPicPr>
                      <a:picLocks noChangeAspect="1" noChangeArrowheads="1"/>
                    </pic:cNvPicPr>
                  </pic:nvPicPr>
                  <pic:blipFill>
                    <a:blip r:embed="rId10"/>
                    <a:srcRect l="-4" t="-31" r="-4" b="-31"/>
                    <a:stretch>
                      <a:fillRect/>
                    </a:stretch>
                  </pic:blipFill>
                  <pic:spPr bwMode="auto">
                    <a:xfrm>
                      <a:off x="0" y="0"/>
                      <a:ext cx="5786120" cy="824865"/>
                    </a:xfrm>
                    <a:prstGeom prst="rect">
                      <a:avLst/>
                    </a:prstGeom>
                    <a:noFill/>
                  </pic:spPr>
                </pic:pic>
              </a:graphicData>
            </a:graphic>
          </wp:inline>
        </w:drawing>
      </w:r>
    </w:p>
    <w:p>
      <w:pPr>
        <w:pStyle w:val="Text"/>
        <w:pBdr>
          <w:bottom w:val="single" w:sz="4" w:space="1" w:color="000000"/>
        </w:pBdr>
        <w:spacing w:before="0" w:after="60"/>
        <w:ind w:start="-1166" w:end="0"/>
        <w:rPr>
          <w:sz w:val="16"/>
        </w:rPr>
      </w:pPr>
      <w:r>
        <w:rPr>
          <w:sz w:val="16"/>
        </w:rPr>
        <w:t>Source: CSFB, Factset</w:t>
      </w:r>
    </w:p>
    <w:p>
      <w:pPr>
        <w:pStyle w:val="Head2"/>
        <w:rPr>
          <w:sz w:val="16"/>
        </w:rPr>
      </w:pPr>
      <w:r>
        <w:rPr>
          <w:sz w:val="16"/>
        </w:rPr>
      </w:r>
    </w:p>
    <w:p>
      <w:pPr>
        <w:pStyle w:val="Head2"/>
        <w:rPr/>
      </w:pPr>
      <w:r>
        <w:rPr/>
        <w:t>Week in Detail: New Issuance Activity, Soft Power Prices and Political Questions Dampen IPP Stock Prices</w:t>
      </w:r>
    </w:p>
    <w:p>
      <w:pPr>
        <w:pStyle w:val="Text"/>
        <w:rPr/>
      </w:pPr>
      <w:r>
        <w:rPr/>
        <w:t xml:space="preserve">In our view, the group’s recent lackluster stock price performance reflects the following: </w:t>
      </w:r>
    </w:p>
    <w:p>
      <w:pPr>
        <w:pStyle w:val="Text"/>
        <w:numPr>
          <w:ilvl w:val="0"/>
          <w:numId w:val="4"/>
        </w:numPr>
        <w:rPr/>
      </w:pPr>
      <w:r>
        <w:rPr>
          <w:b/>
        </w:rPr>
        <w:t>Pressure Resulting from Equity New Issuance Activity</w:t>
      </w:r>
      <w:r>
        <w:rPr/>
        <w:t xml:space="preserve">   In our view, recent equity new issuance activity has adversely impacted the performance of our composite.  On Wednesday (5/31), Mirant completed an offering of $750 million of convertible debt securities.  Since the offering was announced on 5/23, the stock has fallen 15%.  We believe that arbitrage pressure associated with the convertible offering is a major reason for this weakness.  In addition, On May 31, Orion completed a concurrent offering of 13 million shares of common stock and $200 million of convertible notes.  Since that transaction was announced on May 11, ORN shares have fallen 11%.  We believe the recent “technical” weakness in both stocks presents investors with a unique buying opportunity.</w:t>
      </w:r>
    </w:p>
    <w:p>
      <w:pPr>
        <w:pStyle w:val="Text"/>
        <w:numPr>
          <w:ilvl w:val="0"/>
          <w:numId w:val="4"/>
        </w:numPr>
        <w:rPr/>
      </w:pPr>
      <w:r>
        <w:rPr>
          <w:b/>
        </w:rPr>
        <w:t>Concern Over “Soft” Spot and Forward Power Prices</w:t>
      </w:r>
      <w:r>
        <w:rPr/>
        <w:t xml:space="preserve">   Last week the Mirant national power index was down about 30%.  Mild weather throughout the month of May and falling natural gas prices (partly due to the mild weather), has pressured spot and forward power prices throughout the US.  See pages 8-10 for a detailed look at recent power market trends.  </w:t>
      </w:r>
      <w:r>
        <w:rPr>
          <w:i/>
        </w:rPr>
        <w:t>Importantly, while significant attention has been given to forward power price quotes, we would caution against giving too much credence to this data.</w:t>
      </w:r>
      <w:r>
        <w:rPr/>
        <w:t xml:space="preserve">  For most regions in the US, forward power markets are thinly traded (illiquid) and volatile.  We do not regard regional quoted forward power prices as an accurate predictor of future fundamentals.  </w:t>
      </w:r>
    </w:p>
    <w:p>
      <w:pPr>
        <w:pStyle w:val="Text"/>
        <w:numPr>
          <w:ilvl w:val="0"/>
          <w:numId w:val="4"/>
        </w:numPr>
        <w:rPr/>
      </w:pPr>
      <w:r>
        <w:rPr>
          <w:b/>
        </w:rPr>
        <w:t>Lingering Uncertainty Surrounding the Power Shift in the US Senate</w:t>
      </w:r>
      <w:r>
        <w:rPr/>
        <w:t xml:space="preserve">   On May 24, Senator Jim Jeffords defected from the Republican party, giving the Democrats a majority in the US Senate.  As an immediate consequence, Republican Senator Frank Murkowski will be replaced by Democrat Jeff Bingaman as Chairman of the Senate Energy and Natural Resources Committee.  Causing some investor concern, Bingaman has advocated using price caps as a means of combating high Western wholesale power prices.  However, in our view, the most likely consequence of the Senate power shift will be to delay the passage of any legislation proposing solutions to the Western power crisis.  Importantly, the Bush administration continues to oppose price caps and other interventionist measures.  Most recently, this position was reiterated during Bush’s meeting with California Governor Gray Davis on Tuesday (5/29).</w:t>
      </w:r>
    </w:p>
    <w:p>
      <w:pPr>
        <w:pStyle w:val="Head2"/>
        <w:rPr/>
      </w:pPr>
      <w:r>
        <w:rPr/>
        <w:t>IPP Investment Outlook Unchanged; Time to Focus on Valuation</w:t>
      </w:r>
    </w:p>
    <w:p>
      <w:pPr>
        <w:pStyle w:val="Text"/>
        <w:rPr/>
      </w:pPr>
      <w:r>
        <w:rPr/>
        <w:t>Despite the various political and power market concerns, we believe the fundamental investment outlook for the group remains strong driven by:</w:t>
      </w:r>
    </w:p>
    <w:p>
      <w:pPr>
        <w:pStyle w:val="Text"/>
        <w:numPr>
          <w:ilvl w:val="0"/>
          <w:numId w:val="6"/>
        </w:numPr>
        <w:rPr/>
      </w:pPr>
      <w:r>
        <w:rPr>
          <w:b/>
        </w:rPr>
        <w:t>Strong Earnings Visibility</w:t>
      </w:r>
      <w:r>
        <w:rPr/>
        <w:t xml:space="preserve"> driven by a tremendous need for new generation capacity both domestically and globally.  Unlike other “growth” sectors, which are experiencing earnings disappointments due to overcapacity, the IPP industry is in a state of undercapacity;</w:t>
      </w:r>
    </w:p>
    <w:p>
      <w:pPr>
        <w:pStyle w:val="Text"/>
        <w:numPr>
          <w:ilvl w:val="0"/>
          <w:numId w:val="6"/>
        </w:numPr>
        <w:rPr/>
      </w:pPr>
      <w:r>
        <w:rPr>
          <w:b/>
        </w:rPr>
        <w:t>Strong Financing Access</w:t>
      </w:r>
      <w:r>
        <w:rPr/>
        <w:t xml:space="preserve">   Recent common stock and convertible offerings by Mirant and Orion demonstrate continued strong financing access for the group; and,</w:t>
      </w:r>
    </w:p>
    <w:p>
      <w:pPr>
        <w:pStyle w:val="Text"/>
        <w:numPr>
          <w:ilvl w:val="0"/>
          <w:numId w:val="6"/>
        </w:numPr>
        <w:rPr/>
      </w:pPr>
      <w:r>
        <w:rPr>
          <w:b/>
        </w:rPr>
        <w:t>Opportunity for Excess Returns</w:t>
      </w:r>
      <w:r>
        <w:rPr/>
        <w:t xml:space="preserve">   Global deregulation will allow those players with the right skillset and superior marketplace knowledge to earn excess returns on capital.</w:t>
      </w:r>
    </w:p>
    <w:p>
      <w:pPr>
        <w:pStyle w:val="Text"/>
        <w:rPr/>
      </w:pPr>
      <w:r>
        <w:rPr>
          <w:b/>
        </w:rPr>
        <w:t>Time to Focus on Valuation</w:t>
      </w:r>
      <w:r>
        <w:rPr/>
        <w:t xml:space="preserve">   While fixating on the various political and power market concerns, we believe the market has not focused enough on increasingly attractive current valuations.  On average, the pure play US IPPs are trading at 22.6 and 17.8 times our 2001 and 2002 EPS estimates.  This valuation represents a 2.2% and 11% discount to the S&amp;P 500, despite an average growth rate of 28% for the IPPs versus 6% for the S&amp;P 500.   </w:t>
      </w:r>
    </w:p>
    <w:p>
      <w:pPr>
        <w:pStyle w:val="TableTitle"/>
        <w:rPr/>
      </w:pPr>
      <w:r>
        <w:rPr/>
        <w:t>Exhibit 5</w:t>
      </w:r>
    </w:p>
    <w:p>
      <w:pPr>
        <w:pStyle w:val="TableTitle"/>
        <w:rPr/>
      </w:pPr>
      <w:r>
        <w:rPr/>
        <w:t>Pure Play US IPP Valuation: 1/1/01 vs. 6/1/01</w:t>
      </w:r>
    </w:p>
    <w:p>
      <w:pPr>
        <w:pStyle w:val="TableTitle"/>
        <w:rPr/>
      </w:pPr>
      <w:r>
        <w:rPr/>
      </w:r>
    </w:p>
    <w:tbl>
      <w:tblPr>
        <w:tblW w:w="10061" w:type="dxa"/>
        <w:jc w:val="start"/>
        <w:tblInd w:w="-1962" w:type="dxa"/>
        <w:tblLayout w:type="fixed"/>
        <w:tblCellMar>
          <w:top w:w="0" w:type="dxa"/>
          <w:start w:w="108" w:type="dxa"/>
          <w:bottom w:w="0" w:type="dxa"/>
          <w:end w:w="108" w:type="dxa"/>
        </w:tblCellMar>
      </w:tblPr>
      <w:tblGrid>
        <w:gridCol w:w="810"/>
        <w:gridCol w:w="720"/>
        <w:gridCol w:w="810"/>
        <w:gridCol w:w="720"/>
        <w:gridCol w:w="720"/>
        <w:gridCol w:w="720"/>
        <w:gridCol w:w="450"/>
        <w:gridCol w:w="720"/>
        <w:gridCol w:w="720"/>
        <w:gridCol w:w="720"/>
        <w:gridCol w:w="720"/>
        <w:gridCol w:w="720"/>
        <w:gridCol w:w="720"/>
        <w:gridCol w:w="791"/>
      </w:tblGrid>
      <w:tr>
        <w:trPr/>
        <w:tc>
          <w:tcPr>
            <w:tcW w:w="810" w:type="dxa"/>
            <w:tcBorders/>
          </w:tcPr>
          <w:p>
            <w:pPr>
              <w:pStyle w:val="TableBody"/>
              <w:snapToGrid w:val="false"/>
              <w:rPr>
                <w:b/>
              </w:rPr>
            </w:pPr>
            <w:r>
              <w:rPr>
                <w:b/>
              </w:rPr>
            </w:r>
          </w:p>
        </w:tc>
        <w:tc>
          <w:tcPr>
            <w:tcW w:w="3690" w:type="dxa"/>
            <w:gridSpan w:val="5"/>
            <w:tcBorders>
              <w:bottom w:val="single" w:sz="4" w:space="0" w:color="000000"/>
            </w:tcBorders>
          </w:tcPr>
          <w:p>
            <w:pPr>
              <w:pStyle w:val="TableBody"/>
              <w:jc w:val="center"/>
              <w:rPr>
                <w:b/>
              </w:rPr>
            </w:pPr>
            <w:r>
              <w:rPr>
                <w:b/>
              </w:rPr>
              <w:t>December 29, 2000</w:t>
            </w:r>
          </w:p>
        </w:tc>
        <w:tc>
          <w:tcPr>
            <w:tcW w:w="450" w:type="dxa"/>
            <w:tcBorders/>
          </w:tcPr>
          <w:p>
            <w:pPr>
              <w:pStyle w:val="TableBody"/>
              <w:snapToGrid w:val="false"/>
              <w:rPr>
                <w:b/>
              </w:rPr>
            </w:pPr>
            <w:r>
              <w:rPr>
                <w:b/>
              </w:rPr>
            </w:r>
          </w:p>
        </w:tc>
        <w:tc>
          <w:tcPr>
            <w:tcW w:w="3600" w:type="dxa"/>
            <w:gridSpan w:val="5"/>
            <w:tcBorders>
              <w:bottom w:val="single" w:sz="4" w:space="0" w:color="000000"/>
            </w:tcBorders>
          </w:tcPr>
          <w:p>
            <w:pPr>
              <w:pStyle w:val="TableBody"/>
              <w:jc w:val="center"/>
              <w:rPr>
                <w:b/>
              </w:rPr>
            </w:pPr>
            <w:r>
              <w:rPr>
                <w:b/>
              </w:rPr>
              <w:t>June 1, 2001</w:t>
            </w:r>
          </w:p>
        </w:tc>
        <w:tc>
          <w:tcPr>
            <w:tcW w:w="1511" w:type="dxa"/>
            <w:gridSpan w:val="2"/>
            <w:tcBorders/>
          </w:tcPr>
          <w:p>
            <w:pPr>
              <w:pStyle w:val="TableBody"/>
              <w:jc w:val="center"/>
              <w:rPr>
                <w:b/>
              </w:rPr>
            </w:pPr>
            <w:r>
              <w:rPr>
                <w:b/>
              </w:rPr>
              <w:t>Valuation</w:t>
            </w:r>
          </w:p>
        </w:tc>
      </w:tr>
      <w:tr>
        <w:trPr/>
        <w:tc>
          <w:tcPr>
            <w:tcW w:w="810" w:type="dxa"/>
            <w:tcBorders/>
          </w:tcPr>
          <w:p>
            <w:pPr>
              <w:pStyle w:val="TableBody"/>
              <w:snapToGrid w:val="false"/>
              <w:rPr>
                <w:b/>
              </w:rPr>
            </w:pPr>
            <w:r>
              <w:rPr>
                <w:b/>
              </w:rPr>
            </w:r>
          </w:p>
        </w:tc>
        <w:tc>
          <w:tcPr>
            <w:tcW w:w="720" w:type="dxa"/>
            <w:tcBorders/>
          </w:tcPr>
          <w:p>
            <w:pPr>
              <w:pStyle w:val="TableBody"/>
              <w:snapToGrid w:val="false"/>
              <w:rPr>
                <w:b/>
              </w:rPr>
            </w:pPr>
            <w:r>
              <w:rPr>
                <w:b/>
              </w:rPr>
            </w:r>
          </w:p>
        </w:tc>
        <w:tc>
          <w:tcPr>
            <w:tcW w:w="1530" w:type="dxa"/>
            <w:gridSpan w:val="2"/>
            <w:tcBorders/>
          </w:tcPr>
          <w:p>
            <w:pPr>
              <w:pStyle w:val="TableBody"/>
              <w:jc w:val="center"/>
              <w:rPr>
                <w:b/>
              </w:rPr>
            </w:pPr>
            <w:r>
              <w:rPr>
                <w:b/>
              </w:rPr>
              <w:t>EPS</w:t>
            </w:r>
          </w:p>
        </w:tc>
        <w:tc>
          <w:tcPr>
            <w:tcW w:w="1440" w:type="dxa"/>
            <w:gridSpan w:val="2"/>
            <w:tcBorders/>
          </w:tcPr>
          <w:p>
            <w:pPr>
              <w:pStyle w:val="TableBody"/>
              <w:jc w:val="center"/>
              <w:rPr>
                <w:b/>
              </w:rPr>
            </w:pPr>
            <w:r>
              <w:rPr>
                <w:b/>
              </w:rPr>
              <w:t>P/E</w:t>
            </w:r>
          </w:p>
        </w:tc>
        <w:tc>
          <w:tcPr>
            <w:tcW w:w="450" w:type="dxa"/>
            <w:tcBorders/>
          </w:tcPr>
          <w:p>
            <w:pPr>
              <w:pStyle w:val="TableBody"/>
              <w:snapToGrid w:val="false"/>
              <w:rPr>
                <w:b/>
              </w:rPr>
            </w:pPr>
            <w:r>
              <w:rPr>
                <w:b/>
              </w:rPr>
            </w:r>
          </w:p>
        </w:tc>
        <w:tc>
          <w:tcPr>
            <w:tcW w:w="720" w:type="dxa"/>
            <w:tcBorders/>
          </w:tcPr>
          <w:p>
            <w:pPr>
              <w:pStyle w:val="TableBody"/>
              <w:snapToGrid w:val="false"/>
              <w:rPr>
                <w:b/>
              </w:rPr>
            </w:pPr>
            <w:r>
              <w:rPr>
                <w:b/>
              </w:rPr>
            </w:r>
          </w:p>
        </w:tc>
        <w:tc>
          <w:tcPr>
            <w:tcW w:w="1440" w:type="dxa"/>
            <w:gridSpan w:val="2"/>
            <w:tcBorders/>
          </w:tcPr>
          <w:p>
            <w:pPr>
              <w:pStyle w:val="TableBody"/>
              <w:jc w:val="center"/>
              <w:rPr>
                <w:b/>
              </w:rPr>
            </w:pPr>
            <w:r>
              <w:rPr>
                <w:b/>
              </w:rPr>
              <w:t>EPS</w:t>
            </w:r>
          </w:p>
        </w:tc>
        <w:tc>
          <w:tcPr>
            <w:tcW w:w="1440" w:type="dxa"/>
            <w:gridSpan w:val="2"/>
            <w:tcBorders/>
          </w:tcPr>
          <w:p>
            <w:pPr>
              <w:pStyle w:val="TableBody"/>
              <w:jc w:val="center"/>
              <w:rPr>
                <w:b/>
              </w:rPr>
            </w:pPr>
            <w:r>
              <w:rPr>
                <w:b/>
              </w:rPr>
              <w:t>P/E</w:t>
            </w:r>
          </w:p>
        </w:tc>
        <w:tc>
          <w:tcPr>
            <w:tcW w:w="1511" w:type="dxa"/>
            <w:gridSpan w:val="2"/>
            <w:tcBorders>
              <w:bottom w:val="single" w:sz="4" w:space="0" w:color="000000"/>
            </w:tcBorders>
          </w:tcPr>
          <w:p>
            <w:pPr>
              <w:pStyle w:val="TableBody"/>
              <w:jc w:val="center"/>
              <w:rPr>
                <w:b/>
              </w:rPr>
            </w:pPr>
            <w:r>
              <w:rPr>
                <w:b/>
              </w:rPr>
              <w:t>Delta</w:t>
            </w:r>
          </w:p>
        </w:tc>
      </w:tr>
      <w:tr>
        <w:trPr/>
        <w:tc>
          <w:tcPr>
            <w:tcW w:w="810" w:type="dxa"/>
            <w:tcBorders/>
          </w:tcPr>
          <w:p>
            <w:pPr>
              <w:pStyle w:val="TableBody"/>
              <w:snapToGrid w:val="false"/>
              <w:rPr>
                <w:b/>
              </w:rPr>
            </w:pPr>
            <w:r>
              <w:rPr>
                <w:b/>
              </w:rPr>
            </w:r>
          </w:p>
        </w:tc>
        <w:tc>
          <w:tcPr>
            <w:tcW w:w="720" w:type="dxa"/>
            <w:tcBorders>
              <w:bottom w:val="single" w:sz="4" w:space="0" w:color="000000"/>
            </w:tcBorders>
          </w:tcPr>
          <w:p>
            <w:pPr>
              <w:pStyle w:val="TableBody"/>
              <w:rPr>
                <w:b/>
              </w:rPr>
            </w:pPr>
            <w:r>
              <w:rPr>
                <w:b/>
              </w:rPr>
              <w:t>Price</w:t>
            </w:r>
          </w:p>
        </w:tc>
        <w:tc>
          <w:tcPr>
            <w:tcW w:w="810" w:type="dxa"/>
            <w:tcBorders>
              <w:bottom w:val="single" w:sz="4" w:space="0" w:color="000000"/>
            </w:tcBorders>
          </w:tcPr>
          <w:p>
            <w:pPr>
              <w:pStyle w:val="TableBody"/>
              <w:rPr>
                <w:b/>
              </w:rPr>
            </w:pPr>
            <w:r>
              <w:rPr>
                <w:b/>
              </w:rPr>
              <w:t>2001E</w:t>
            </w:r>
          </w:p>
        </w:tc>
        <w:tc>
          <w:tcPr>
            <w:tcW w:w="720" w:type="dxa"/>
            <w:tcBorders>
              <w:bottom w:val="single" w:sz="4" w:space="0" w:color="000000"/>
            </w:tcBorders>
          </w:tcPr>
          <w:p>
            <w:pPr>
              <w:pStyle w:val="TableBody"/>
              <w:rPr>
                <w:b/>
              </w:rPr>
            </w:pPr>
            <w:r>
              <w:rPr>
                <w:b/>
              </w:rPr>
              <w:t>2002E</w:t>
            </w:r>
          </w:p>
        </w:tc>
        <w:tc>
          <w:tcPr>
            <w:tcW w:w="720" w:type="dxa"/>
            <w:tcBorders>
              <w:bottom w:val="single" w:sz="4" w:space="0" w:color="000000"/>
            </w:tcBorders>
          </w:tcPr>
          <w:p>
            <w:pPr>
              <w:pStyle w:val="TableBody"/>
              <w:rPr>
                <w:b/>
              </w:rPr>
            </w:pPr>
            <w:r>
              <w:rPr>
                <w:b/>
              </w:rPr>
              <w:t>2001E</w:t>
            </w:r>
          </w:p>
        </w:tc>
        <w:tc>
          <w:tcPr>
            <w:tcW w:w="720" w:type="dxa"/>
            <w:tcBorders>
              <w:bottom w:val="single" w:sz="4" w:space="0" w:color="000000"/>
            </w:tcBorders>
          </w:tcPr>
          <w:p>
            <w:pPr>
              <w:pStyle w:val="TableBody"/>
              <w:rPr>
                <w:b/>
              </w:rPr>
            </w:pPr>
            <w:r>
              <w:rPr>
                <w:b/>
              </w:rPr>
              <w:t>2002E</w:t>
            </w:r>
          </w:p>
        </w:tc>
        <w:tc>
          <w:tcPr>
            <w:tcW w:w="450" w:type="dxa"/>
            <w:tcBorders/>
          </w:tcPr>
          <w:p>
            <w:pPr>
              <w:pStyle w:val="TableBody"/>
              <w:snapToGrid w:val="false"/>
              <w:rPr>
                <w:b/>
              </w:rPr>
            </w:pPr>
            <w:r>
              <w:rPr>
                <w:b/>
              </w:rPr>
            </w:r>
          </w:p>
        </w:tc>
        <w:tc>
          <w:tcPr>
            <w:tcW w:w="720" w:type="dxa"/>
            <w:tcBorders>
              <w:bottom w:val="single" w:sz="4" w:space="0" w:color="000000"/>
            </w:tcBorders>
          </w:tcPr>
          <w:p>
            <w:pPr>
              <w:pStyle w:val="TableBody"/>
              <w:rPr>
                <w:b/>
              </w:rPr>
            </w:pPr>
            <w:r>
              <w:rPr>
                <w:b/>
              </w:rPr>
              <w:t>Price</w:t>
            </w:r>
          </w:p>
        </w:tc>
        <w:tc>
          <w:tcPr>
            <w:tcW w:w="720" w:type="dxa"/>
            <w:tcBorders>
              <w:bottom w:val="single" w:sz="4" w:space="0" w:color="000000"/>
            </w:tcBorders>
          </w:tcPr>
          <w:p>
            <w:pPr>
              <w:pStyle w:val="TableBody"/>
              <w:rPr>
                <w:b/>
              </w:rPr>
            </w:pPr>
            <w:r>
              <w:rPr>
                <w:b/>
              </w:rPr>
              <w:t>2001E</w:t>
            </w:r>
          </w:p>
        </w:tc>
        <w:tc>
          <w:tcPr>
            <w:tcW w:w="720" w:type="dxa"/>
            <w:tcBorders>
              <w:bottom w:val="single" w:sz="4" w:space="0" w:color="000000"/>
            </w:tcBorders>
          </w:tcPr>
          <w:p>
            <w:pPr>
              <w:pStyle w:val="TableBody"/>
              <w:rPr>
                <w:b/>
              </w:rPr>
            </w:pPr>
            <w:r>
              <w:rPr>
                <w:b/>
              </w:rPr>
              <w:t>2002E</w:t>
            </w:r>
          </w:p>
        </w:tc>
        <w:tc>
          <w:tcPr>
            <w:tcW w:w="720" w:type="dxa"/>
            <w:tcBorders>
              <w:bottom w:val="single" w:sz="4" w:space="0" w:color="000000"/>
            </w:tcBorders>
          </w:tcPr>
          <w:p>
            <w:pPr>
              <w:pStyle w:val="TableBody"/>
              <w:rPr>
                <w:b/>
              </w:rPr>
            </w:pPr>
            <w:r>
              <w:rPr>
                <w:b/>
              </w:rPr>
              <w:t>2001E</w:t>
            </w:r>
          </w:p>
        </w:tc>
        <w:tc>
          <w:tcPr>
            <w:tcW w:w="720" w:type="dxa"/>
            <w:tcBorders>
              <w:bottom w:val="single" w:sz="4" w:space="0" w:color="000000"/>
            </w:tcBorders>
          </w:tcPr>
          <w:p>
            <w:pPr>
              <w:pStyle w:val="TableBody"/>
              <w:rPr>
                <w:b/>
              </w:rPr>
            </w:pPr>
            <w:r>
              <w:rPr>
                <w:b/>
              </w:rPr>
              <w:t>2002E</w:t>
            </w:r>
          </w:p>
        </w:tc>
        <w:tc>
          <w:tcPr>
            <w:tcW w:w="720" w:type="dxa"/>
            <w:tcBorders>
              <w:bottom w:val="single" w:sz="4" w:space="0" w:color="000000"/>
            </w:tcBorders>
          </w:tcPr>
          <w:p>
            <w:pPr>
              <w:pStyle w:val="TableBody"/>
              <w:rPr>
                <w:b/>
              </w:rPr>
            </w:pPr>
            <w:r>
              <w:rPr>
                <w:b/>
              </w:rPr>
              <w:t>2001</w:t>
            </w:r>
          </w:p>
        </w:tc>
        <w:tc>
          <w:tcPr>
            <w:tcW w:w="791" w:type="dxa"/>
            <w:tcBorders>
              <w:bottom w:val="single" w:sz="4" w:space="0" w:color="000000"/>
            </w:tcBorders>
          </w:tcPr>
          <w:p>
            <w:pPr>
              <w:pStyle w:val="TableBody"/>
              <w:rPr>
                <w:b/>
              </w:rPr>
            </w:pPr>
            <w:r>
              <w:rPr>
                <w:b/>
              </w:rPr>
              <w:t>2002</w:t>
            </w:r>
          </w:p>
        </w:tc>
      </w:tr>
      <w:tr>
        <w:trPr/>
        <w:tc>
          <w:tcPr>
            <w:tcW w:w="810" w:type="dxa"/>
            <w:tcBorders/>
          </w:tcPr>
          <w:p>
            <w:pPr>
              <w:pStyle w:val="TableBody"/>
              <w:rPr/>
            </w:pPr>
            <w:r>
              <w:rPr/>
              <w:t>AES</w:t>
            </w:r>
          </w:p>
        </w:tc>
        <w:tc>
          <w:tcPr>
            <w:tcW w:w="720" w:type="dxa"/>
            <w:tcBorders/>
          </w:tcPr>
          <w:p>
            <w:pPr>
              <w:pStyle w:val="TableBody"/>
              <w:rPr/>
            </w:pPr>
            <w:r>
              <w:rPr/>
              <w:t>$55.38</w:t>
            </w:r>
          </w:p>
        </w:tc>
        <w:tc>
          <w:tcPr>
            <w:tcW w:w="810" w:type="dxa"/>
            <w:tcBorders/>
          </w:tcPr>
          <w:p>
            <w:pPr>
              <w:pStyle w:val="TableBody"/>
              <w:jc w:val="center"/>
              <w:rPr/>
            </w:pPr>
            <w:r>
              <w:rPr/>
              <w:t>$1.89</w:t>
            </w:r>
          </w:p>
        </w:tc>
        <w:tc>
          <w:tcPr>
            <w:tcW w:w="720" w:type="dxa"/>
            <w:tcBorders/>
          </w:tcPr>
          <w:p>
            <w:pPr>
              <w:pStyle w:val="TableBody"/>
              <w:jc w:val="center"/>
              <w:rPr/>
            </w:pPr>
            <w:r>
              <w:rPr/>
              <w:t>$2.50</w:t>
            </w:r>
          </w:p>
        </w:tc>
        <w:tc>
          <w:tcPr>
            <w:tcW w:w="720" w:type="dxa"/>
            <w:tcBorders/>
          </w:tcPr>
          <w:p>
            <w:pPr>
              <w:pStyle w:val="TableBody"/>
              <w:jc w:val="center"/>
              <w:rPr/>
            </w:pPr>
            <w:r>
              <w:rPr/>
              <w:t>29.3 x</w:t>
            </w:r>
          </w:p>
        </w:tc>
        <w:tc>
          <w:tcPr>
            <w:tcW w:w="720" w:type="dxa"/>
            <w:tcBorders/>
          </w:tcPr>
          <w:p>
            <w:pPr>
              <w:pStyle w:val="TableBody"/>
              <w:jc w:val="center"/>
              <w:rPr/>
            </w:pPr>
            <w:r>
              <w:rPr/>
              <w:t>22.2 x</w:t>
            </w:r>
          </w:p>
        </w:tc>
        <w:tc>
          <w:tcPr>
            <w:tcW w:w="450" w:type="dxa"/>
            <w:tcBorders/>
          </w:tcPr>
          <w:p>
            <w:pPr>
              <w:pStyle w:val="TableBody"/>
              <w:snapToGrid w:val="false"/>
              <w:rPr/>
            </w:pPr>
            <w:r>
              <w:rPr/>
            </w:r>
          </w:p>
        </w:tc>
        <w:tc>
          <w:tcPr>
            <w:tcW w:w="720" w:type="dxa"/>
            <w:tcBorders/>
          </w:tcPr>
          <w:p>
            <w:pPr>
              <w:pStyle w:val="TableBody"/>
              <w:rPr/>
            </w:pPr>
            <w:r>
              <w:rPr/>
              <w:t>$44.93</w:t>
            </w:r>
          </w:p>
        </w:tc>
        <w:tc>
          <w:tcPr>
            <w:tcW w:w="720" w:type="dxa"/>
            <w:tcBorders/>
          </w:tcPr>
          <w:p>
            <w:pPr>
              <w:pStyle w:val="TableBody"/>
              <w:jc w:val="center"/>
              <w:rPr/>
            </w:pPr>
            <w:r>
              <w:rPr/>
              <w:t>$1.89</w:t>
            </w:r>
          </w:p>
        </w:tc>
        <w:tc>
          <w:tcPr>
            <w:tcW w:w="720" w:type="dxa"/>
            <w:tcBorders/>
          </w:tcPr>
          <w:p>
            <w:pPr>
              <w:pStyle w:val="TableBody"/>
              <w:jc w:val="center"/>
              <w:rPr/>
            </w:pPr>
            <w:r>
              <w:rPr/>
              <w:t>$2.50</w:t>
            </w:r>
          </w:p>
        </w:tc>
        <w:tc>
          <w:tcPr>
            <w:tcW w:w="720" w:type="dxa"/>
            <w:tcBorders/>
          </w:tcPr>
          <w:p>
            <w:pPr>
              <w:pStyle w:val="TableBody"/>
              <w:jc w:val="center"/>
              <w:rPr/>
            </w:pPr>
            <w:r>
              <w:rPr/>
              <w:t>23.8 x</w:t>
            </w:r>
          </w:p>
        </w:tc>
        <w:tc>
          <w:tcPr>
            <w:tcW w:w="720" w:type="dxa"/>
            <w:tcBorders/>
          </w:tcPr>
          <w:p>
            <w:pPr>
              <w:pStyle w:val="TableBody"/>
              <w:jc w:val="center"/>
              <w:rPr/>
            </w:pPr>
            <w:r>
              <w:rPr/>
              <w:t>18.0 x</w:t>
            </w:r>
          </w:p>
        </w:tc>
        <w:tc>
          <w:tcPr>
            <w:tcW w:w="720" w:type="dxa"/>
            <w:tcBorders/>
          </w:tcPr>
          <w:p>
            <w:pPr>
              <w:pStyle w:val="TableBody"/>
              <w:snapToGrid w:val="false"/>
              <w:jc w:val="center"/>
              <w:rPr/>
            </w:pPr>
            <w:r>
              <w:rPr/>
            </w:r>
          </w:p>
        </w:tc>
        <w:tc>
          <w:tcPr>
            <w:tcW w:w="791" w:type="dxa"/>
            <w:tcBorders/>
          </w:tcPr>
          <w:p>
            <w:pPr>
              <w:pStyle w:val="TableBody"/>
              <w:snapToGrid w:val="false"/>
              <w:jc w:val="center"/>
              <w:rPr/>
            </w:pPr>
            <w:r>
              <w:rPr/>
            </w:r>
          </w:p>
        </w:tc>
      </w:tr>
      <w:tr>
        <w:trPr/>
        <w:tc>
          <w:tcPr>
            <w:tcW w:w="810" w:type="dxa"/>
            <w:tcBorders/>
          </w:tcPr>
          <w:p>
            <w:pPr>
              <w:pStyle w:val="TableBody"/>
              <w:rPr/>
            </w:pPr>
            <w:r>
              <w:rPr/>
              <w:t>CPN</w:t>
            </w:r>
          </w:p>
        </w:tc>
        <w:tc>
          <w:tcPr>
            <w:tcW w:w="720" w:type="dxa"/>
            <w:tcBorders/>
          </w:tcPr>
          <w:p>
            <w:pPr>
              <w:pStyle w:val="TableBody"/>
              <w:rPr/>
            </w:pPr>
            <w:r>
              <w:rPr/>
              <w:t>45.06</w:t>
            </w:r>
          </w:p>
        </w:tc>
        <w:tc>
          <w:tcPr>
            <w:tcW w:w="810" w:type="dxa"/>
            <w:tcBorders/>
          </w:tcPr>
          <w:p>
            <w:pPr>
              <w:pStyle w:val="TableBody"/>
              <w:jc w:val="center"/>
              <w:rPr/>
            </w:pPr>
            <w:r>
              <w:rPr/>
              <w:t>1.20</w:t>
            </w:r>
          </w:p>
        </w:tc>
        <w:tc>
          <w:tcPr>
            <w:tcW w:w="720" w:type="dxa"/>
            <w:tcBorders/>
          </w:tcPr>
          <w:p>
            <w:pPr>
              <w:pStyle w:val="TableBody"/>
              <w:jc w:val="center"/>
              <w:rPr/>
            </w:pPr>
            <w:r>
              <w:rPr/>
              <w:t>1.53</w:t>
            </w:r>
          </w:p>
        </w:tc>
        <w:tc>
          <w:tcPr>
            <w:tcW w:w="720" w:type="dxa"/>
            <w:tcBorders/>
          </w:tcPr>
          <w:p>
            <w:pPr>
              <w:pStyle w:val="TableBody"/>
              <w:jc w:val="center"/>
              <w:rPr/>
            </w:pPr>
            <w:r>
              <w:rPr/>
              <w:t>37.6</w:t>
            </w:r>
          </w:p>
        </w:tc>
        <w:tc>
          <w:tcPr>
            <w:tcW w:w="720" w:type="dxa"/>
            <w:tcBorders/>
          </w:tcPr>
          <w:p>
            <w:pPr>
              <w:pStyle w:val="TableBody"/>
              <w:jc w:val="center"/>
              <w:rPr/>
            </w:pPr>
            <w:r>
              <w:rPr/>
              <w:t>29.5</w:t>
            </w:r>
          </w:p>
        </w:tc>
        <w:tc>
          <w:tcPr>
            <w:tcW w:w="450" w:type="dxa"/>
            <w:tcBorders/>
          </w:tcPr>
          <w:p>
            <w:pPr>
              <w:pStyle w:val="TableBody"/>
              <w:snapToGrid w:val="false"/>
              <w:rPr/>
            </w:pPr>
            <w:r>
              <w:rPr/>
            </w:r>
          </w:p>
        </w:tc>
        <w:tc>
          <w:tcPr>
            <w:tcW w:w="720" w:type="dxa"/>
            <w:tcBorders/>
          </w:tcPr>
          <w:p>
            <w:pPr>
              <w:pStyle w:val="TableBody"/>
              <w:rPr/>
            </w:pPr>
            <w:r>
              <w:rPr/>
              <w:t>$48.89</w:t>
            </w:r>
          </w:p>
        </w:tc>
        <w:tc>
          <w:tcPr>
            <w:tcW w:w="720" w:type="dxa"/>
            <w:tcBorders/>
          </w:tcPr>
          <w:p>
            <w:pPr>
              <w:pStyle w:val="TableBody"/>
              <w:jc w:val="center"/>
              <w:rPr/>
            </w:pPr>
            <w:r>
              <w:rPr/>
              <w:t>1.90</w:t>
            </w:r>
          </w:p>
        </w:tc>
        <w:tc>
          <w:tcPr>
            <w:tcW w:w="720" w:type="dxa"/>
            <w:tcBorders/>
          </w:tcPr>
          <w:p>
            <w:pPr>
              <w:pStyle w:val="TableBody"/>
              <w:jc w:val="center"/>
              <w:rPr/>
            </w:pPr>
            <w:r>
              <w:rPr/>
              <w:t>2.27</w:t>
            </w:r>
          </w:p>
        </w:tc>
        <w:tc>
          <w:tcPr>
            <w:tcW w:w="720" w:type="dxa"/>
            <w:tcBorders/>
          </w:tcPr>
          <w:p>
            <w:pPr>
              <w:pStyle w:val="TableBody"/>
              <w:jc w:val="center"/>
              <w:rPr/>
            </w:pPr>
            <w:r>
              <w:rPr/>
              <w:t>25.7</w:t>
            </w:r>
          </w:p>
        </w:tc>
        <w:tc>
          <w:tcPr>
            <w:tcW w:w="720" w:type="dxa"/>
            <w:tcBorders/>
          </w:tcPr>
          <w:p>
            <w:pPr>
              <w:pStyle w:val="TableBody"/>
              <w:jc w:val="center"/>
              <w:rPr/>
            </w:pPr>
            <w:r>
              <w:rPr/>
              <w:t>21.5</w:t>
            </w:r>
          </w:p>
        </w:tc>
        <w:tc>
          <w:tcPr>
            <w:tcW w:w="720" w:type="dxa"/>
            <w:tcBorders/>
          </w:tcPr>
          <w:p>
            <w:pPr>
              <w:pStyle w:val="TableBody"/>
              <w:snapToGrid w:val="false"/>
              <w:jc w:val="center"/>
              <w:rPr/>
            </w:pPr>
            <w:r>
              <w:rPr/>
            </w:r>
          </w:p>
        </w:tc>
        <w:tc>
          <w:tcPr>
            <w:tcW w:w="791" w:type="dxa"/>
            <w:tcBorders/>
          </w:tcPr>
          <w:p>
            <w:pPr>
              <w:pStyle w:val="TableBody"/>
              <w:snapToGrid w:val="false"/>
              <w:jc w:val="center"/>
              <w:rPr/>
            </w:pPr>
            <w:r>
              <w:rPr/>
            </w:r>
          </w:p>
        </w:tc>
      </w:tr>
      <w:tr>
        <w:trPr/>
        <w:tc>
          <w:tcPr>
            <w:tcW w:w="810" w:type="dxa"/>
            <w:tcBorders/>
          </w:tcPr>
          <w:p>
            <w:pPr>
              <w:pStyle w:val="TableBody"/>
              <w:rPr/>
            </w:pPr>
            <w:r>
              <w:rPr/>
              <w:t>MIR</w:t>
            </w:r>
          </w:p>
        </w:tc>
        <w:tc>
          <w:tcPr>
            <w:tcW w:w="720" w:type="dxa"/>
            <w:tcBorders/>
          </w:tcPr>
          <w:p>
            <w:pPr>
              <w:pStyle w:val="TableBody"/>
              <w:rPr/>
            </w:pPr>
            <w:r>
              <w:rPr/>
              <w:t>28.31</w:t>
            </w:r>
          </w:p>
        </w:tc>
        <w:tc>
          <w:tcPr>
            <w:tcW w:w="810" w:type="dxa"/>
            <w:tcBorders/>
          </w:tcPr>
          <w:p>
            <w:pPr>
              <w:pStyle w:val="TableBody"/>
              <w:jc w:val="center"/>
              <w:rPr/>
            </w:pPr>
            <w:r>
              <w:rPr/>
              <w:t>1.10</w:t>
            </w:r>
          </w:p>
        </w:tc>
        <w:tc>
          <w:tcPr>
            <w:tcW w:w="720" w:type="dxa"/>
            <w:tcBorders/>
          </w:tcPr>
          <w:p>
            <w:pPr>
              <w:pStyle w:val="TableBody"/>
              <w:jc w:val="center"/>
              <w:rPr/>
            </w:pPr>
            <w:r>
              <w:rPr/>
              <w:t>1.35</w:t>
            </w:r>
          </w:p>
        </w:tc>
        <w:tc>
          <w:tcPr>
            <w:tcW w:w="720" w:type="dxa"/>
            <w:tcBorders/>
          </w:tcPr>
          <w:p>
            <w:pPr>
              <w:pStyle w:val="TableBody"/>
              <w:jc w:val="center"/>
              <w:rPr/>
            </w:pPr>
            <w:r>
              <w:rPr/>
              <w:t>25.7</w:t>
            </w:r>
          </w:p>
        </w:tc>
        <w:tc>
          <w:tcPr>
            <w:tcW w:w="720" w:type="dxa"/>
            <w:tcBorders/>
          </w:tcPr>
          <w:p>
            <w:pPr>
              <w:pStyle w:val="TableBody"/>
              <w:jc w:val="center"/>
              <w:rPr/>
            </w:pPr>
            <w:r>
              <w:rPr/>
              <w:t>21.0</w:t>
            </w:r>
          </w:p>
        </w:tc>
        <w:tc>
          <w:tcPr>
            <w:tcW w:w="450" w:type="dxa"/>
            <w:tcBorders/>
          </w:tcPr>
          <w:p>
            <w:pPr>
              <w:pStyle w:val="TableBody"/>
              <w:snapToGrid w:val="false"/>
              <w:rPr/>
            </w:pPr>
            <w:r>
              <w:rPr/>
            </w:r>
          </w:p>
        </w:tc>
        <w:tc>
          <w:tcPr>
            <w:tcW w:w="720" w:type="dxa"/>
            <w:tcBorders/>
          </w:tcPr>
          <w:p>
            <w:pPr>
              <w:pStyle w:val="TableBody"/>
              <w:rPr/>
            </w:pPr>
            <w:r>
              <w:rPr/>
              <w:t>$38.10</w:t>
            </w:r>
          </w:p>
        </w:tc>
        <w:tc>
          <w:tcPr>
            <w:tcW w:w="720" w:type="dxa"/>
            <w:tcBorders/>
          </w:tcPr>
          <w:p>
            <w:pPr>
              <w:pStyle w:val="TableBody"/>
              <w:jc w:val="center"/>
              <w:rPr/>
            </w:pPr>
            <w:r>
              <w:rPr/>
              <w:t>1.90</w:t>
            </w:r>
          </w:p>
        </w:tc>
        <w:tc>
          <w:tcPr>
            <w:tcW w:w="720" w:type="dxa"/>
            <w:tcBorders/>
          </w:tcPr>
          <w:p>
            <w:pPr>
              <w:pStyle w:val="TableBody"/>
              <w:jc w:val="center"/>
              <w:rPr/>
            </w:pPr>
            <w:r>
              <w:rPr/>
              <w:t>2.28</w:t>
            </w:r>
          </w:p>
        </w:tc>
        <w:tc>
          <w:tcPr>
            <w:tcW w:w="720" w:type="dxa"/>
            <w:tcBorders/>
          </w:tcPr>
          <w:p>
            <w:pPr>
              <w:pStyle w:val="TableBody"/>
              <w:jc w:val="center"/>
              <w:rPr/>
            </w:pPr>
            <w:r>
              <w:rPr/>
              <w:t>20.1</w:t>
            </w:r>
          </w:p>
        </w:tc>
        <w:tc>
          <w:tcPr>
            <w:tcW w:w="720" w:type="dxa"/>
            <w:tcBorders/>
          </w:tcPr>
          <w:p>
            <w:pPr>
              <w:pStyle w:val="TableBody"/>
              <w:jc w:val="center"/>
              <w:rPr/>
            </w:pPr>
            <w:r>
              <w:rPr/>
              <w:t>16.7</w:t>
            </w:r>
          </w:p>
        </w:tc>
        <w:tc>
          <w:tcPr>
            <w:tcW w:w="720" w:type="dxa"/>
            <w:tcBorders/>
          </w:tcPr>
          <w:p>
            <w:pPr>
              <w:pStyle w:val="TableBody"/>
              <w:snapToGrid w:val="false"/>
              <w:jc w:val="center"/>
              <w:rPr/>
            </w:pPr>
            <w:r>
              <w:rPr/>
            </w:r>
          </w:p>
        </w:tc>
        <w:tc>
          <w:tcPr>
            <w:tcW w:w="791" w:type="dxa"/>
            <w:tcBorders/>
          </w:tcPr>
          <w:p>
            <w:pPr>
              <w:pStyle w:val="TableBody"/>
              <w:snapToGrid w:val="false"/>
              <w:jc w:val="center"/>
              <w:rPr/>
            </w:pPr>
            <w:r>
              <w:rPr/>
            </w:r>
          </w:p>
        </w:tc>
      </w:tr>
      <w:tr>
        <w:trPr/>
        <w:tc>
          <w:tcPr>
            <w:tcW w:w="810" w:type="dxa"/>
            <w:tcBorders/>
          </w:tcPr>
          <w:p>
            <w:pPr>
              <w:pStyle w:val="TableBody"/>
              <w:rPr/>
            </w:pPr>
            <w:r>
              <w:rPr/>
              <w:t>NRG</w:t>
            </w:r>
          </w:p>
        </w:tc>
        <w:tc>
          <w:tcPr>
            <w:tcW w:w="720" w:type="dxa"/>
            <w:tcBorders/>
          </w:tcPr>
          <w:p>
            <w:pPr>
              <w:pStyle w:val="TableBody"/>
              <w:rPr/>
            </w:pPr>
            <w:r>
              <w:rPr/>
              <w:t>27.81</w:t>
            </w:r>
          </w:p>
        </w:tc>
        <w:tc>
          <w:tcPr>
            <w:tcW w:w="810" w:type="dxa"/>
            <w:tcBorders/>
          </w:tcPr>
          <w:p>
            <w:pPr>
              <w:pStyle w:val="TableBody"/>
              <w:jc w:val="center"/>
              <w:rPr/>
            </w:pPr>
            <w:r>
              <w:rPr/>
              <w:t>1.25</w:t>
            </w:r>
          </w:p>
        </w:tc>
        <w:tc>
          <w:tcPr>
            <w:tcW w:w="720" w:type="dxa"/>
            <w:tcBorders/>
          </w:tcPr>
          <w:p>
            <w:pPr>
              <w:pStyle w:val="TableBody"/>
              <w:jc w:val="center"/>
              <w:rPr/>
            </w:pPr>
            <w:r>
              <w:rPr/>
              <w:t>1.50</w:t>
            </w:r>
          </w:p>
        </w:tc>
        <w:tc>
          <w:tcPr>
            <w:tcW w:w="720" w:type="dxa"/>
            <w:tcBorders/>
          </w:tcPr>
          <w:p>
            <w:pPr>
              <w:pStyle w:val="TableBody"/>
              <w:jc w:val="center"/>
              <w:rPr/>
            </w:pPr>
            <w:r>
              <w:rPr/>
              <w:t>22.3</w:t>
            </w:r>
          </w:p>
        </w:tc>
        <w:tc>
          <w:tcPr>
            <w:tcW w:w="720" w:type="dxa"/>
            <w:tcBorders/>
          </w:tcPr>
          <w:p>
            <w:pPr>
              <w:pStyle w:val="TableBody"/>
              <w:jc w:val="center"/>
              <w:rPr/>
            </w:pPr>
            <w:r>
              <w:rPr/>
              <w:t>18.5</w:t>
            </w:r>
          </w:p>
        </w:tc>
        <w:tc>
          <w:tcPr>
            <w:tcW w:w="450" w:type="dxa"/>
            <w:tcBorders/>
          </w:tcPr>
          <w:p>
            <w:pPr>
              <w:pStyle w:val="TableBody"/>
              <w:snapToGrid w:val="false"/>
              <w:rPr/>
            </w:pPr>
            <w:r>
              <w:rPr/>
            </w:r>
          </w:p>
        </w:tc>
        <w:tc>
          <w:tcPr>
            <w:tcW w:w="720" w:type="dxa"/>
            <w:tcBorders/>
          </w:tcPr>
          <w:p>
            <w:pPr>
              <w:pStyle w:val="TableBody"/>
              <w:rPr/>
            </w:pPr>
            <w:r>
              <w:rPr/>
              <w:t>$27.90</w:t>
            </w:r>
          </w:p>
        </w:tc>
        <w:tc>
          <w:tcPr>
            <w:tcW w:w="720" w:type="dxa"/>
            <w:tcBorders/>
          </w:tcPr>
          <w:p>
            <w:pPr>
              <w:pStyle w:val="TableBody"/>
              <w:jc w:val="center"/>
              <w:rPr/>
            </w:pPr>
            <w:r>
              <w:rPr/>
              <w:t>1.35</w:t>
            </w:r>
          </w:p>
        </w:tc>
        <w:tc>
          <w:tcPr>
            <w:tcW w:w="720" w:type="dxa"/>
            <w:tcBorders/>
          </w:tcPr>
          <w:p>
            <w:pPr>
              <w:pStyle w:val="TableBody"/>
              <w:jc w:val="center"/>
              <w:rPr/>
            </w:pPr>
            <w:r>
              <w:rPr/>
              <w:t>1.75</w:t>
            </w:r>
          </w:p>
        </w:tc>
        <w:tc>
          <w:tcPr>
            <w:tcW w:w="720" w:type="dxa"/>
            <w:tcBorders/>
          </w:tcPr>
          <w:p>
            <w:pPr>
              <w:pStyle w:val="TableBody"/>
              <w:jc w:val="center"/>
              <w:rPr/>
            </w:pPr>
            <w:r>
              <w:rPr/>
              <w:t>20.7</w:t>
            </w:r>
          </w:p>
        </w:tc>
        <w:tc>
          <w:tcPr>
            <w:tcW w:w="720" w:type="dxa"/>
            <w:tcBorders/>
          </w:tcPr>
          <w:p>
            <w:pPr>
              <w:pStyle w:val="TableBody"/>
              <w:jc w:val="center"/>
              <w:rPr/>
            </w:pPr>
            <w:r>
              <w:rPr/>
              <w:t>15.9</w:t>
            </w:r>
          </w:p>
        </w:tc>
        <w:tc>
          <w:tcPr>
            <w:tcW w:w="720" w:type="dxa"/>
            <w:tcBorders/>
          </w:tcPr>
          <w:p>
            <w:pPr>
              <w:pStyle w:val="TableBody"/>
              <w:snapToGrid w:val="false"/>
              <w:jc w:val="center"/>
              <w:rPr/>
            </w:pPr>
            <w:r>
              <w:rPr/>
            </w:r>
          </w:p>
        </w:tc>
        <w:tc>
          <w:tcPr>
            <w:tcW w:w="791" w:type="dxa"/>
            <w:tcBorders/>
          </w:tcPr>
          <w:p>
            <w:pPr>
              <w:pStyle w:val="TableBody"/>
              <w:snapToGrid w:val="false"/>
              <w:jc w:val="center"/>
              <w:rPr/>
            </w:pPr>
            <w:r>
              <w:rPr/>
            </w:r>
          </w:p>
        </w:tc>
      </w:tr>
      <w:tr>
        <w:trPr/>
        <w:tc>
          <w:tcPr>
            <w:tcW w:w="810" w:type="dxa"/>
            <w:tcBorders>
              <w:bottom w:val="single" w:sz="4" w:space="0" w:color="000000"/>
            </w:tcBorders>
          </w:tcPr>
          <w:p>
            <w:pPr>
              <w:pStyle w:val="TableBody"/>
              <w:rPr/>
            </w:pPr>
            <w:r>
              <w:rPr/>
              <w:t>ORN</w:t>
            </w:r>
          </w:p>
        </w:tc>
        <w:tc>
          <w:tcPr>
            <w:tcW w:w="720" w:type="dxa"/>
            <w:tcBorders>
              <w:bottom w:val="single" w:sz="4" w:space="0" w:color="000000"/>
            </w:tcBorders>
          </w:tcPr>
          <w:p>
            <w:pPr>
              <w:pStyle w:val="TableBody"/>
              <w:rPr/>
            </w:pPr>
            <w:r>
              <w:rPr/>
              <w:t>24.63</w:t>
            </w:r>
          </w:p>
        </w:tc>
        <w:tc>
          <w:tcPr>
            <w:tcW w:w="810" w:type="dxa"/>
            <w:tcBorders>
              <w:bottom w:val="single" w:sz="4" w:space="0" w:color="000000"/>
            </w:tcBorders>
          </w:tcPr>
          <w:p>
            <w:pPr>
              <w:pStyle w:val="TableBody"/>
              <w:jc w:val="center"/>
              <w:rPr/>
            </w:pPr>
            <w:r>
              <w:rPr/>
              <w:t>1.15</w:t>
            </w:r>
          </w:p>
        </w:tc>
        <w:tc>
          <w:tcPr>
            <w:tcW w:w="720" w:type="dxa"/>
            <w:tcBorders>
              <w:bottom w:val="single" w:sz="4" w:space="0" w:color="000000"/>
            </w:tcBorders>
          </w:tcPr>
          <w:p>
            <w:pPr>
              <w:pStyle w:val="TableBody"/>
              <w:jc w:val="center"/>
              <w:rPr/>
            </w:pPr>
            <w:r>
              <w:rPr/>
              <w:t>1.50</w:t>
            </w:r>
          </w:p>
        </w:tc>
        <w:tc>
          <w:tcPr>
            <w:tcW w:w="720" w:type="dxa"/>
            <w:tcBorders>
              <w:bottom w:val="single" w:sz="4" w:space="0" w:color="000000"/>
            </w:tcBorders>
          </w:tcPr>
          <w:p>
            <w:pPr>
              <w:pStyle w:val="TableBody"/>
              <w:jc w:val="center"/>
              <w:rPr/>
            </w:pPr>
            <w:r>
              <w:rPr/>
              <w:t>21.4</w:t>
            </w:r>
          </w:p>
        </w:tc>
        <w:tc>
          <w:tcPr>
            <w:tcW w:w="720" w:type="dxa"/>
            <w:tcBorders>
              <w:bottom w:val="single" w:sz="4" w:space="0" w:color="000000"/>
            </w:tcBorders>
          </w:tcPr>
          <w:p>
            <w:pPr>
              <w:pStyle w:val="TableBody"/>
              <w:jc w:val="center"/>
              <w:rPr/>
            </w:pPr>
            <w:r>
              <w:rPr/>
              <w:t>16.4</w:t>
            </w:r>
          </w:p>
        </w:tc>
        <w:tc>
          <w:tcPr>
            <w:tcW w:w="450" w:type="dxa"/>
            <w:tcBorders/>
          </w:tcPr>
          <w:p>
            <w:pPr>
              <w:pStyle w:val="TableBody"/>
              <w:snapToGrid w:val="false"/>
              <w:rPr/>
            </w:pPr>
            <w:r>
              <w:rPr/>
            </w:r>
          </w:p>
        </w:tc>
        <w:tc>
          <w:tcPr>
            <w:tcW w:w="720" w:type="dxa"/>
            <w:tcBorders>
              <w:bottom w:val="single" w:sz="4" w:space="0" w:color="000000"/>
            </w:tcBorders>
          </w:tcPr>
          <w:p>
            <w:pPr>
              <w:pStyle w:val="TableBody"/>
              <w:rPr/>
            </w:pPr>
            <w:r>
              <w:rPr/>
              <w:t>$27.00</w:t>
            </w:r>
          </w:p>
        </w:tc>
        <w:tc>
          <w:tcPr>
            <w:tcW w:w="720" w:type="dxa"/>
            <w:tcBorders>
              <w:bottom w:val="single" w:sz="4" w:space="0" w:color="000000"/>
            </w:tcBorders>
          </w:tcPr>
          <w:p>
            <w:pPr>
              <w:pStyle w:val="TableBody"/>
              <w:jc w:val="center"/>
              <w:rPr/>
            </w:pPr>
            <w:r>
              <w:rPr/>
              <w:t>1.20</w:t>
            </w:r>
          </w:p>
        </w:tc>
        <w:tc>
          <w:tcPr>
            <w:tcW w:w="720" w:type="dxa"/>
            <w:tcBorders>
              <w:bottom w:val="single" w:sz="4" w:space="0" w:color="000000"/>
            </w:tcBorders>
          </w:tcPr>
          <w:p>
            <w:pPr>
              <w:pStyle w:val="TableBody"/>
              <w:jc w:val="center"/>
              <w:rPr/>
            </w:pPr>
            <w:r>
              <w:rPr/>
              <w:t>1.60</w:t>
            </w:r>
          </w:p>
        </w:tc>
        <w:tc>
          <w:tcPr>
            <w:tcW w:w="720" w:type="dxa"/>
            <w:tcBorders>
              <w:bottom w:val="single" w:sz="4" w:space="0" w:color="000000"/>
            </w:tcBorders>
          </w:tcPr>
          <w:p>
            <w:pPr>
              <w:pStyle w:val="TableBody"/>
              <w:jc w:val="center"/>
              <w:rPr/>
            </w:pPr>
            <w:r>
              <w:rPr/>
              <w:t>22.5</w:t>
            </w:r>
          </w:p>
        </w:tc>
        <w:tc>
          <w:tcPr>
            <w:tcW w:w="720" w:type="dxa"/>
            <w:tcBorders>
              <w:bottom w:val="single" w:sz="4" w:space="0" w:color="000000"/>
            </w:tcBorders>
          </w:tcPr>
          <w:p>
            <w:pPr>
              <w:pStyle w:val="TableBody"/>
              <w:jc w:val="center"/>
              <w:rPr/>
            </w:pPr>
            <w:r>
              <w:rPr/>
              <w:t>16.9</w:t>
            </w:r>
          </w:p>
        </w:tc>
        <w:tc>
          <w:tcPr>
            <w:tcW w:w="720" w:type="dxa"/>
            <w:tcBorders>
              <w:bottom w:val="single" w:sz="4" w:space="0" w:color="000000"/>
            </w:tcBorders>
          </w:tcPr>
          <w:p>
            <w:pPr>
              <w:pStyle w:val="TableBody"/>
              <w:snapToGrid w:val="false"/>
              <w:jc w:val="center"/>
              <w:rPr/>
            </w:pPr>
            <w:r>
              <w:rPr/>
            </w:r>
          </w:p>
        </w:tc>
        <w:tc>
          <w:tcPr>
            <w:tcW w:w="791" w:type="dxa"/>
            <w:tcBorders>
              <w:bottom w:val="single" w:sz="4" w:space="0" w:color="000000"/>
            </w:tcBorders>
          </w:tcPr>
          <w:p>
            <w:pPr>
              <w:pStyle w:val="TableBody"/>
              <w:snapToGrid w:val="false"/>
              <w:jc w:val="center"/>
              <w:rPr/>
            </w:pPr>
            <w:r>
              <w:rPr/>
            </w:r>
          </w:p>
        </w:tc>
      </w:tr>
      <w:tr>
        <w:trPr/>
        <w:tc>
          <w:tcPr>
            <w:tcW w:w="810" w:type="dxa"/>
            <w:tcBorders/>
          </w:tcPr>
          <w:p>
            <w:pPr>
              <w:pStyle w:val="TableBody"/>
              <w:rPr>
                <w:b/>
              </w:rPr>
            </w:pPr>
            <w:r>
              <w:rPr>
                <w:b/>
              </w:rPr>
              <w:t>Average</w:t>
            </w:r>
          </w:p>
        </w:tc>
        <w:tc>
          <w:tcPr>
            <w:tcW w:w="720" w:type="dxa"/>
            <w:tcBorders/>
          </w:tcPr>
          <w:p>
            <w:pPr>
              <w:pStyle w:val="TableBody"/>
              <w:rPr>
                <w:b/>
              </w:rPr>
            </w:pPr>
            <w:r>
              <w:rPr>
                <w:b/>
              </w:rPr>
              <w:t>$36.24</w:t>
            </w:r>
          </w:p>
        </w:tc>
        <w:tc>
          <w:tcPr>
            <w:tcW w:w="810" w:type="dxa"/>
            <w:tcBorders/>
          </w:tcPr>
          <w:p>
            <w:pPr>
              <w:pStyle w:val="TableBody"/>
              <w:jc w:val="center"/>
              <w:rPr>
                <w:b/>
              </w:rPr>
            </w:pPr>
            <w:r>
              <w:rPr>
                <w:b/>
              </w:rPr>
              <w:t>$1.32</w:t>
            </w:r>
          </w:p>
        </w:tc>
        <w:tc>
          <w:tcPr>
            <w:tcW w:w="720" w:type="dxa"/>
            <w:tcBorders/>
          </w:tcPr>
          <w:p>
            <w:pPr>
              <w:pStyle w:val="TableBody"/>
              <w:jc w:val="center"/>
              <w:rPr>
                <w:b/>
              </w:rPr>
            </w:pPr>
            <w:r>
              <w:rPr>
                <w:b/>
              </w:rPr>
              <w:t>$1.68</w:t>
            </w:r>
          </w:p>
        </w:tc>
        <w:tc>
          <w:tcPr>
            <w:tcW w:w="720" w:type="dxa"/>
            <w:tcBorders/>
          </w:tcPr>
          <w:p>
            <w:pPr>
              <w:pStyle w:val="TableBody"/>
              <w:jc w:val="center"/>
              <w:rPr>
                <w:b/>
              </w:rPr>
            </w:pPr>
            <w:r>
              <w:rPr>
                <w:b/>
              </w:rPr>
              <w:t>27.3 x</w:t>
            </w:r>
          </w:p>
        </w:tc>
        <w:tc>
          <w:tcPr>
            <w:tcW w:w="720" w:type="dxa"/>
            <w:tcBorders/>
          </w:tcPr>
          <w:p>
            <w:pPr>
              <w:pStyle w:val="TableBody"/>
              <w:jc w:val="center"/>
              <w:rPr>
                <w:b/>
              </w:rPr>
            </w:pPr>
            <w:r>
              <w:rPr>
                <w:b/>
              </w:rPr>
              <w:t>21.5 x</w:t>
            </w:r>
          </w:p>
        </w:tc>
        <w:tc>
          <w:tcPr>
            <w:tcW w:w="450" w:type="dxa"/>
            <w:tcBorders/>
          </w:tcPr>
          <w:p>
            <w:pPr>
              <w:pStyle w:val="TableBody"/>
              <w:snapToGrid w:val="false"/>
              <w:rPr>
                <w:b/>
              </w:rPr>
            </w:pPr>
            <w:r>
              <w:rPr>
                <w:b/>
              </w:rPr>
            </w:r>
          </w:p>
        </w:tc>
        <w:tc>
          <w:tcPr>
            <w:tcW w:w="720" w:type="dxa"/>
            <w:tcBorders/>
          </w:tcPr>
          <w:p>
            <w:pPr>
              <w:pStyle w:val="TableBody"/>
              <w:rPr>
                <w:b/>
              </w:rPr>
            </w:pPr>
            <w:r>
              <w:rPr>
                <w:b/>
              </w:rPr>
              <w:t>$37.36</w:t>
            </w:r>
          </w:p>
        </w:tc>
        <w:tc>
          <w:tcPr>
            <w:tcW w:w="720" w:type="dxa"/>
            <w:tcBorders/>
          </w:tcPr>
          <w:p>
            <w:pPr>
              <w:pStyle w:val="TableBody"/>
              <w:jc w:val="center"/>
              <w:rPr>
                <w:b/>
              </w:rPr>
            </w:pPr>
            <w:r>
              <w:rPr>
                <w:b/>
              </w:rPr>
              <w:t>$1.65</w:t>
            </w:r>
          </w:p>
        </w:tc>
        <w:tc>
          <w:tcPr>
            <w:tcW w:w="720" w:type="dxa"/>
            <w:tcBorders/>
          </w:tcPr>
          <w:p>
            <w:pPr>
              <w:pStyle w:val="TableBody"/>
              <w:jc w:val="center"/>
              <w:rPr>
                <w:b/>
              </w:rPr>
            </w:pPr>
            <w:r>
              <w:rPr>
                <w:b/>
              </w:rPr>
              <w:t>$2.08</w:t>
            </w:r>
          </w:p>
        </w:tc>
        <w:tc>
          <w:tcPr>
            <w:tcW w:w="720" w:type="dxa"/>
            <w:tcBorders/>
          </w:tcPr>
          <w:p>
            <w:pPr>
              <w:pStyle w:val="TableBody"/>
              <w:jc w:val="center"/>
              <w:rPr>
                <w:b/>
              </w:rPr>
            </w:pPr>
            <w:r>
              <w:rPr>
                <w:b/>
              </w:rPr>
              <w:t>22.6 x</w:t>
            </w:r>
          </w:p>
        </w:tc>
        <w:tc>
          <w:tcPr>
            <w:tcW w:w="720" w:type="dxa"/>
            <w:tcBorders/>
          </w:tcPr>
          <w:p>
            <w:pPr>
              <w:pStyle w:val="TableBody"/>
              <w:jc w:val="center"/>
              <w:rPr>
                <w:b/>
              </w:rPr>
            </w:pPr>
            <w:r>
              <w:rPr>
                <w:b/>
              </w:rPr>
              <w:t>17.8 x</w:t>
            </w:r>
          </w:p>
        </w:tc>
        <w:tc>
          <w:tcPr>
            <w:tcW w:w="720" w:type="dxa"/>
            <w:tcBorders/>
          </w:tcPr>
          <w:p>
            <w:pPr>
              <w:pStyle w:val="TableBody"/>
              <w:jc w:val="center"/>
              <w:rPr>
                <w:b/>
              </w:rPr>
            </w:pPr>
            <w:r>
              <w:rPr>
                <w:b/>
              </w:rPr>
              <w:t>-17.2%</w:t>
            </w:r>
          </w:p>
        </w:tc>
        <w:tc>
          <w:tcPr>
            <w:tcW w:w="791" w:type="dxa"/>
            <w:tcBorders/>
          </w:tcPr>
          <w:p>
            <w:pPr>
              <w:pStyle w:val="TableBody"/>
              <w:jc w:val="center"/>
              <w:rPr>
                <w:b/>
              </w:rPr>
            </w:pPr>
            <w:r>
              <w:rPr>
                <w:b/>
              </w:rPr>
              <w:t>-20.0%</w:t>
            </w:r>
          </w:p>
        </w:tc>
      </w:tr>
    </w:tbl>
    <w:p>
      <w:pPr>
        <w:pStyle w:val="Text"/>
        <w:rPr/>
      </w:pPr>
      <w:r>
        <w:rPr/>
      </w:r>
    </w:p>
    <w:p>
      <w:pPr>
        <w:pStyle w:val="Text"/>
        <w:rPr/>
      </w:pPr>
      <w:r>
        <w:rPr>
          <w:b/>
        </w:rPr>
        <w:t>Embedded Expectations are Low</w:t>
      </w:r>
      <w:r>
        <w:rPr/>
        <w:t xml:space="preserve">   We believe the uncertainties surrounding re-regulation and political backlash are already embedded in the stock prices.  While the pure play US IPP share prices have increased 3.1% on average, our 2001 and 2002 EPS estimates have increased nearly 25% and 24%.  Consequently, over the period the average P/E multiple has declined by 17% and 20%, based on 2001 and 2002 EPS, respectively.</w:t>
      </w:r>
    </w:p>
    <w:p>
      <w:pPr>
        <w:pStyle w:val="Text"/>
        <w:rPr/>
      </w:pPr>
      <w:r>
        <w:rPr/>
        <w:t>We draw 2 conclusions from this data:</w:t>
      </w:r>
    </w:p>
    <w:p>
      <w:pPr>
        <w:pStyle w:val="Text"/>
        <w:rPr/>
      </w:pPr>
      <w:r>
        <w:rPr>
          <w:b/>
        </w:rPr>
        <w:t xml:space="preserve">1. Stock Prices Reflect Normalized Power Market Conditions   </w:t>
      </w:r>
      <w:r>
        <w:rPr/>
        <w:t>One of the main drivers behind rising earnings estimates since the beginning of the year has been higher than expected power prices.  To the extent that stock price performance has not kept pace with rising earnings estimates, it is apparent that current stock prices reflect a more normalized power market environment.</w:t>
      </w:r>
    </w:p>
    <w:p>
      <w:pPr>
        <w:pStyle w:val="Text"/>
        <w:rPr/>
      </w:pPr>
      <w:r>
        <w:rPr>
          <w:b/>
        </w:rPr>
        <w:t>2. Re-regulation and Backlash Uncertainty Already Reflected in Stock Prices</w:t>
      </w:r>
      <w:r>
        <w:rPr/>
        <w:t xml:space="preserve">   In our view, the valuation compression also indicates that many of the political risks identified by investors are already priced into the stocks.  </w:t>
      </w:r>
    </w:p>
    <w:p>
      <w:pPr>
        <w:pStyle w:val="Text"/>
        <w:rPr/>
      </w:pPr>
      <w:r>
        <w:rPr/>
      </w:r>
    </w:p>
    <w:p>
      <w:pPr>
        <w:pStyle w:val="Text"/>
        <w:rPr/>
      </w:pPr>
      <w:r>
        <w:rPr/>
      </w:r>
    </w:p>
    <w:p>
      <w:pPr>
        <w:pStyle w:val="Text"/>
        <w:rPr/>
      </w:pPr>
      <w:r>
        <w:rPr/>
      </w:r>
    </w:p>
    <w:p>
      <w:pPr>
        <w:pStyle w:val="CameraReadyTableTitle"/>
        <w:rPr/>
      </w:pPr>
      <w:r>
        <w:rPr/>
        <w:t>Exhibit 6: Daily California Chronology</w:t>
      </w:r>
    </w:p>
    <w:tbl>
      <w:tblPr>
        <w:tblW w:w="8010" w:type="dxa"/>
        <w:jc w:val="start"/>
        <w:tblInd w:w="30" w:type="dxa"/>
        <w:tblLayout w:type="fixed"/>
        <w:tblCellMar>
          <w:top w:w="0" w:type="dxa"/>
          <w:start w:w="30" w:type="dxa"/>
          <w:bottom w:w="0" w:type="dxa"/>
          <w:end w:w="30" w:type="dxa"/>
        </w:tblCellMar>
      </w:tblPr>
      <w:tblGrid>
        <w:gridCol w:w="1350"/>
        <w:gridCol w:w="6660"/>
      </w:tblGrid>
      <w:tr>
        <w:trPr>
          <w:trHeight w:val="288" w:hRule="atLeast"/>
        </w:trPr>
        <w:tc>
          <w:tcPr>
            <w:tcW w:w="1350" w:type="dxa"/>
            <w:tcBorders>
              <w:bottom w:val="single" w:sz="4" w:space="0" w:color="000000"/>
            </w:tcBorders>
          </w:tcPr>
          <w:p>
            <w:pPr>
              <w:pStyle w:val="Normal"/>
              <w:spacing w:before="120" w:after="0"/>
              <w:rPr>
                <w:rFonts w:ascii="Arial Narrow" w:hAnsi="Arial Narrow" w:cs="Arial Narrow"/>
                <w:b/>
                <w:color w:val="000000"/>
              </w:rPr>
            </w:pPr>
            <w:r>
              <w:rPr>
                <w:rFonts w:cs="Arial Narrow" w:ascii="Arial Narrow" w:hAnsi="Arial Narrow"/>
                <w:b/>
                <w:color w:val="000000"/>
              </w:rPr>
              <w:t>Date</w:t>
            </w:r>
          </w:p>
        </w:tc>
        <w:tc>
          <w:tcPr>
            <w:tcW w:w="6660" w:type="dxa"/>
            <w:tcBorders>
              <w:bottom w:val="single" w:sz="4" w:space="0" w:color="000000"/>
            </w:tcBorders>
          </w:tcPr>
          <w:p>
            <w:pPr>
              <w:pStyle w:val="Normal"/>
              <w:spacing w:before="120" w:after="0"/>
              <w:rPr>
                <w:rFonts w:ascii="Arial Narrow" w:hAnsi="Arial Narrow" w:cs="Arial Narrow"/>
                <w:b/>
                <w:color w:val="000000"/>
              </w:rPr>
            </w:pPr>
            <w:r>
              <w:rPr>
                <w:rFonts w:cs="Arial Narrow" w:ascii="Arial Narrow" w:hAnsi="Arial Narrow"/>
                <w:b/>
                <w:color w:val="000000"/>
              </w:rPr>
              <w:t>Event</w:t>
            </w:r>
          </w:p>
        </w:tc>
      </w:tr>
      <w:tr>
        <w:trPr>
          <w:trHeight w:val="247" w:hRule="atLeast"/>
        </w:trPr>
        <w:tc>
          <w:tcPr>
            <w:tcW w:w="1350" w:type="dxa"/>
            <w:tcBorders/>
          </w:tcPr>
          <w:p>
            <w:pPr>
              <w:pStyle w:val="Normal"/>
              <w:spacing w:before="0" w:after="120"/>
              <w:jc w:val="start"/>
              <w:rPr>
                <w:rFonts w:ascii="Arial Narrow" w:hAnsi="Arial Narrow" w:cs="Arial Narrow"/>
                <w:color w:val="000000"/>
              </w:rPr>
            </w:pPr>
            <w:r>
              <w:rPr>
                <w:rFonts w:cs="Arial Narrow" w:ascii="Arial Narrow" w:hAnsi="Arial Narrow"/>
                <w:color w:val="000000"/>
              </w:rPr>
              <w:t>Monday  5/28</w:t>
            </w:r>
          </w:p>
        </w:tc>
        <w:tc>
          <w:tcPr>
            <w:tcW w:w="6660" w:type="dxa"/>
            <w:tcBorders/>
          </w:tcPr>
          <w:p>
            <w:pPr>
              <w:pStyle w:val="Normal"/>
              <w:numPr>
                <w:ilvl w:val="0"/>
                <w:numId w:val="5"/>
              </w:numPr>
              <w:spacing w:before="40" w:after="40"/>
              <w:jc w:val="start"/>
              <w:rPr>
                <w:rFonts w:ascii="Arial Narrow" w:hAnsi="Arial Narrow" w:cs="Arial Narrow"/>
                <w:b/>
                <w:color w:val="000000"/>
                <w:sz w:val="18"/>
              </w:rPr>
            </w:pPr>
            <w:r>
              <w:rPr>
                <w:rFonts w:cs="Arial Narrow" w:ascii="Arial Narrow" w:hAnsi="Arial Narrow"/>
                <w:b/>
                <w:color w:val="000000"/>
                <w:sz w:val="18"/>
              </w:rPr>
              <w:t>No Significant News</w:t>
            </w:r>
          </w:p>
        </w:tc>
      </w:tr>
      <w:tr>
        <w:trPr>
          <w:trHeight w:val="247" w:hRule="atLeast"/>
        </w:trPr>
        <w:tc>
          <w:tcPr>
            <w:tcW w:w="1350" w:type="dxa"/>
            <w:tcBorders/>
          </w:tcPr>
          <w:p>
            <w:pPr>
              <w:pStyle w:val="Normal"/>
              <w:spacing w:before="0" w:after="120"/>
              <w:jc w:val="start"/>
              <w:rPr>
                <w:rFonts w:ascii="Arial Narrow" w:hAnsi="Arial Narrow" w:cs="Arial Narrow"/>
                <w:color w:val="000000"/>
              </w:rPr>
            </w:pPr>
            <w:r>
              <w:rPr>
                <w:rFonts w:cs="Arial Narrow" w:ascii="Arial Narrow" w:hAnsi="Arial Narrow"/>
                <w:color w:val="000000"/>
              </w:rPr>
              <w:t>Tuesday  5/29</w:t>
            </w:r>
          </w:p>
        </w:tc>
        <w:tc>
          <w:tcPr>
            <w:tcW w:w="6660" w:type="dxa"/>
            <w:tcBorders/>
          </w:tcPr>
          <w:p>
            <w:pPr>
              <w:pStyle w:val="Normal"/>
              <w:numPr>
                <w:ilvl w:val="0"/>
                <w:numId w:val="5"/>
              </w:numPr>
              <w:spacing w:before="40" w:after="40"/>
              <w:jc w:val="start"/>
              <w:rPr>
                <w:rFonts w:ascii="Arial Narrow" w:hAnsi="Arial Narrow" w:cs="Arial Narrow"/>
                <w:b/>
                <w:color w:val="000000"/>
                <w:sz w:val="18"/>
              </w:rPr>
            </w:pPr>
            <w:r>
              <w:rPr>
                <w:rFonts w:cs="Arial Narrow" w:ascii="Arial Narrow" w:hAnsi="Arial Narrow"/>
                <w:b/>
                <w:color w:val="000000"/>
                <w:sz w:val="18"/>
              </w:rPr>
              <w:t>Governor Davis met with President Bush to discuss the energy problems</w:t>
            </w:r>
            <w:r>
              <w:rPr>
                <w:rFonts w:cs="Arial Narrow" w:ascii="Arial Narrow" w:hAnsi="Arial Narrow"/>
                <w:color w:val="000000"/>
                <w:sz w:val="18"/>
              </w:rPr>
              <w:t xml:space="preserve"> in California.  T</w:t>
            </w:r>
            <w:r>
              <w:rPr>
                <w:rFonts w:cs="Arial Narrow" w:ascii="Arial Narrow" w:hAnsi="Arial Narrow"/>
                <w:sz w:val="18"/>
                <w:lang w:eastAsia="en-US"/>
              </w:rPr>
              <w:t xml:space="preserve">he Governor and the President continue to disagree on the appropriate level of federal intervention in the wholesale power markets. </w:t>
            </w:r>
          </w:p>
        </w:tc>
      </w:tr>
      <w:tr>
        <w:trPr>
          <w:trHeight w:val="247" w:hRule="atLeast"/>
        </w:trPr>
        <w:tc>
          <w:tcPr>
            <w:tcW w:w="1350" w:type="dxa"/>
            <w:tcBorders/>
          </w:tcPr>
          <w:p>
            <w:pPr>
              <w:pStyle w:val="Normal"/>
              <w:spacing w:before="0" w:after="120"/>
              <w:jc w:val="start"/>
              <w:rPr>
                <w:rFonts w:ascii="Arial Narrow" w:hAnsi="Arial Narrow" w:cs="Arial Narrow"/>
                <w:color w:val="000000"/>
              </w:rPr>
            </w:pPr>
            <w:r>
              <w:rPr>
                <w:rFonts w:cs="Arial Narrow" w:ascii="Arial Narrow" w:hAnsi="Arial Narrow"/>
                <w:color w:val="000000"/>
              </w:rPr>
              <w:t>Wednesday  5/30</w:t>
            </w:r>
          </w:p>
        </w:tc>
        <w:tc>
          <w:tcPr>
            <w:tcW w:w="6660" w:type="dxa"/>
            <w:tcBorders/>
          </w:tcPr>
          <w:p>
            <w:pPr>
              <w:pStyle w:val="Normal"/>
              <w:numPr>
                <w:ilvl w:val="0"/>
                <w:numId w:val="5"/>
              </w:numPr>
              <w:spacing w:before="40" w:after="40"/>
              <w:jc w:val="start"/>
              <w:rPr>
                <w:rFonts w:ascii="Arial Narrow" w:hAnsi="Arial Narrow" w:cs="Arial Narrow"/>
                <w:color w:val="000000"/>
                <w:sz w:val="18"/>
              </w:rPr>
            </w:pPr>
            <w:r>
              <w:rPr>
                <w:rFonts w:cs="Arial Narrow" w:ascii="Arial Narrow" w:hAnsi="Arial Narrow"/>
                <w:b/>
                <w:sz w:val="18"/>
                <w:lang w:eastAsia="en-US"/>
              </w:rPr>
              <w:t xml:space="preserve">California entered a Stage 2 Emergency as rising temperatures </w:t>
            </w:r>
            <w:r>
              <w:rPr>
                <w:rFonts w:cs="Arial Narrow" w:ascii="Arial Narrow" w:hAnsi="Arial Narrow"/>
                <w:sz w:val="18"/>
                <w:lang w:eastAsia="en-US"/>
              </w:rPr>
              <w:t>created demand for air conditioner load.</w:t>
            </w:r>
          </w:p>
          <w:p>
            <w:pPr>
              <w:pStyle w:val="Normal"/>
              <w:numPr>
                <w:ilvl w:val="0"/>
                <w:numId w:val="5"/>
              </w:numPr>
              <w:spacing w:before="40" w:after="40"/>
              <w:jc w:val="start"/>
              <w:rPr>
                <w:rFonts w:ascii="Arial Narrow" w:hAnsi="Arial Narrow" w:cs="Arial Narrow"/>
                <w:color w:val="000000"/>
                <w:sz w:val="18"/>
              </w:rPr>
            </w:pPr>
            <w:r>
              <w:rPr>
                <w:rFonts w:cs="Arial Narrow" w:ascii="Arial Narrow" w:hAnsi="Arial Narrow"/>
                <w:b/>
                <w:sz w:val="18"/>
                <w:lang w:eastAsia="en-US"/>
              </w:rPr>
              <w:t xml:space="preserve">Governor Davis invited new FERC Commissioners </w:t>
            </w:r>
            <w:r>
              <w:rPr>
                <w:rFonts w:cs="Arial Narrow" w:ascii="Arial Narrow" w:hAnsi="Arial Narrow"/>
                <w:sz w:val="18"/>
                <w:lang w:eastAsia="en-US"/>
              </w:rPr>
              <w:t>Pat Wood and Nora Brownell to California to brief them on the state's energy crisis.</w:t>
            </w:r>
          </w:p>
        </w:tc>
      </w:tr>
      <w:tr>
        <w:trPr>
          <w:trHeight w:val="540" w:hRule="atLeast"/>
        </w:trPr>
        <w:tc>
          <w:tcPr>
            <w:tcW w:w="1350" w:type="dxa"/>
            <w:tcBorders/>
          </w:tcPr>
          <w:p>
            <w:pPr>
              <w:pStyle w:val="Normal"/>
              <w:spacing w:before="0" w:after="120"/>
              <w:jc w:val="start"/>
              <w:rPr>
                <w:rFonts w:ascii="Arial Narrow" w:hAnsi="Arial Narrow" w:cs="Arial Narrow"/>
                <w:color w:val="000000"/>
              </w:rPr>
            </w:pPr>
            <w:r>
              <w:rPr>
                <w:rFonts w:cs="Arial Narrow" w:ascii="Arial Narrow" w:hAnsi="Arial Narrow"/>
                <w:color w:val="000000"/>
              </w:rPr>
              <w:t>Thursday  5/31</w:t>
            </w:r>
          </w:p>
        </w:tc>
        <w:tc>
          <w:tcPr>
            <w:tcW w:w="6660" w:type="dxa"/>
            <w:tcBorders/>
          </w:tcPr>
          <w:p>
            <w:pPr>
              <w:pStyle w:val="Normal"/>
              <w:numPr>
                <w:ilvl w:val="0"/>
                <w:numId w:val="5"/>
              </w:numPr>
              <w:spacing w:before="40" w:after="40"/>
              <w:jc w:val="start"/>
              <w:rPr>
                <w:rFonts w:ascii="Arial Narrow" w:hAnsi="Arial Narrow" w:cs="Arial Narrow"/>
                <w:b/>
                <w:color w:val="000000"/>
                <w:sz w:val="18"/>
              </w:rPr>
            </w:pPr>
            <w:r>
              <w:rPr>
                <w:rFonts w:cs="Arial Narrow" w:ascii="Arial Narrow" w:hAnsi="Arial Narrow"/>
                <w:b/>
                <w:color w:val="000000"/>
                <w:sz w:val="18"/>
              </w:rPr>
              <w:t>Second day of a Stage 2 Emergency.</w:t>
            </w:r>
          </w:p>
          <w:p>
            <w:pPr>
              <w:pStyle w:val="Normal"/>
              <w:numPr>
                <w:ilvl w:val="0"/>
                <w:numId w:val="5"/>
              </w:numPr>
              <w:spacing w:before="40" w:after="40"/>
              <w:jc w:val="start"/>
              <w:rPr>
                <w:rFonts w:ascii="Arial Narrow" w:hAnsi="Arial Narrow" w:cs="Arial Narrow"/>
                <w:b/>
                <w:color w:val="000000"/>
                <w:sz w:val="18"/>
              </w:rPr>
            </w:pPr>
            <w:r>
              <w:rPr>
                <w:rFonts w:cs="Arial Narrow" w:ascii="Arial Narrow" w:hAnsi="Arial Narrow"/>
                <w:b/>
                <w:color w:val="000000"/>
                <w:sz w:val="18"/>
              </w:rPr>
              <w:t xml:space="preserve">A power generator windfall-profits tax bill was approved </w:t>
            </w:r>
            <w:r>
              <w:rPr>
                <w:rFonts w:cs="Arial Narrow" w:ascii="Arial Narrow" w:hAnsi="Arial Narrow"/>
                <w:color w:val="000000"/>
                <w:sz w:val="18"/>
              </w:rPr>
              <w:t>by the Assembly Appropriations Committee and is expected to be heard by the full Assembly this week.</w:t>
            </w:r>
          </w:p>
        </w:tc>
      </w:tr>
      <w:tr>
        <w:trPr>
          <w:trHeight w:val="247" w:hRule="atLeast"/>
        </w:trPr>
        <w:tc>
          <w:tcPr>
            <w:tcW w:w="1350" w:type="dxa"/>
            <w:tcBorders>
              <w:bottom w:val="single" w:sz="4" w:space="0" w:color="000000"/>
            </w:tcBorders>
          </w:tcPr>
          <w:p>
            <w:pPr>
              <w:pStyle w:val="Normal"/>
              <w:spacing w:before="0" w:after="120"/>
              <w:jc w:val="start"/>
              <w:rPr>
                <w:rFonts w:ascii="Arial Narrow" w:hAnsi="Arial Narrow" w:cs="Arial Narrow"/>
                <w:color w:val="000000"/>
              </w:rPr>
            </w:pPr>
            <w:r>
              <w:rPr>
                <w:rFonts w:cs="Arial Narrow" w:ascii="Arial Narrow" w:hAnsi="Arial Narrow"/>
                <w:color w:val="000000"/>
              </w:rPr>
              <w:t>Friday  6/1</w:t>
            </w:r>
          </w:p>
        </w:tc>
        <w:tc>
          <w:tcPr>
            <w:tcW w:w="6660" w:type="dxa"/>
            <w:tcBorders>
              <w:bottom w:val="single" w:sz="4" w:space="0" w:color="000000"/>
            </w:tcBorders>
          </w:tcPr>
          <w:p>
            <w:pPr>
              <w:pStyle w:val="Normal"/>
              <w:numPr>
                <w:ilvl w:val="0"/>
                <w:numId w:val="5"/>
              </w:numPr>
              <w:spacing w:before="40" w:after="40"/>
              <w:jc w:val="start"/>
              <w:rPr>
                <w:rFonts w:ascii="Arial Narrow" w:hAnsi="Arial Narrow" w:cs="Arial Narrow"/>
                <w:b/>
                <w:color w:val="000000"/>
                <w:sz w:val="18"/>
              </w:rPr>
            </w:pPr>
            <w:r>
              <w:rPr>
                <w:rFonts w:eastAsia="Arial Narrow" w:cs="Arial Narrow" w:ascii="Arial Narrow" w:hAnsi="Arial Narrow"/>
                <w:b/>
                <w:color w:val="000000"/>
                <w:sz w:val="18"/>
              </w:rPr>
              <w:t xml:space="preserve"> </w:t>
            </w:r>
            <w:r>
              <w:rPr>
                <w:rFonts w:cs="Arial Narrow" w:ascii="Arial Narrow" w:hAnsi="Arial Narrow"/>
                <w:b/>
                <w:color w:val="000000"/>
                <w:sz w:val="18"/>
              </w:rPr>
              <w:t xml:space="preserve">US Bankruptcy Court Judge Montali </w:t>
            </w:r>
            <w:r>
              <w:rPr>
                <w:rFonts w:cs="Arial Narrow" w:ascii="Arial Narrow" w:hAnsi="Arial Narrow"/>
                <w:color w:val="000000"/>
                <w:sz w:val="18"/>
              </w:rPr>
              <w:t>ruled that PG&amp;E must abide by an earlier CPUC accounting order.</w:t>
            </w:r>
            <w:r>
              <w:rPr>
                <w:rFonts w:cs="Arial Narrow" w:ascii="Arial Narrow" w:hAnsi="Arial Narrow"/>
                <w:b/>
                <w:color w:val="000000"/>
                <w:sz w:val="18"/>
              </w:rPr>
              <w:t xml:space="preserve">  </w:t>
            </w:r>
          </w:p>
        </w:tc>
      </w:tr>
    </w:tbl>
    <w:p>
      <w:pPr>
        <w:pStyle w:val="Head2"/>
        <w:rPr/>
      </w:pPr>
      <w:r>
        <w:rPr/>
      </w:r>
    </w:p>
    <w:p>
      <w:pPr>
        <w:pStyle w:val="Head2"/>
        <w:rPr/>
      </w:pPr>
      <w:r>
        <w:rPr/>
      </w:r>
    </w:p>
    <w:p>
      <w:pPr>
        <w:pStyle w:val="Text"/>
        <w:rPr/>
      </w:pPr>
      <w:r>
        <w:rPr/>
      </w:r>
    </w:p>
    <w:p>
      <w:pPr>
        <w:pStyle w:val="CameraReadyTableTitle"/>
        <w:rPr/>
      </w:pPr>
      <w:r>
        <w:rPr>
          <w:i/>
        </w:rPr>
        <w:t xml:space="preserve">Exhibit 7: </w:t>
      </w:r>
      <w:r>
        <w:rPr/>
        <w:t>Upcoming Conference Calls and Events</w:t>
      </w:r>
    </w:p>
    <w:tbl>
      <w:tblPr>
        <w:tblW w:w="7920" w:type="dxa"/>
        <w:jc w:val="start"/>
        <w:tblInd w:w="30" w:type="dxa"/>
        <w:tblLayout w:type="fixed"/>
        <w:tblCellMar>
          <w:top w:w="0" w:type="dxa"/>
          <w:start w:w="30" w:type="dxa"/>
          <w:bottom w:w="0" w:type="dxa"/>
          <w:end w:w="30" w:type="dxa"/>
        </w:tblCellMar>
      </w:tblPr>
      <w:tblGrid>
        <w:gridCol w:w="900"/>
        <w:gridCol w:w="4140"/>
        <w:gridCol w:w="1350"/>
        <w:gridCol w:w="1530"/>
      </w:tblGrid>
      <w:tr>
        <w:trPr>
          <w:trHeight w:val="247" w:hRule="atLeast"/>
        </w:trPr>
        <w:tc>
          <w:tcPr>
            <w:tcW w:w="900" w:type="dxa"/>
            <w:tcBorders/>
          </w:tcPr>
          <w:p>
            <w:pPr>
              <w:pStyle w:val="Normal"/>
              <w:spacing w:before="320" w:after="0"/>
              <w:rPr>
                <w:rFonts w:ascii="Arial Narrow" w:hAnsi="Arial Narrow" w:cs="Arial Narrow"/>
                <w:b/>
                <w:color w:val="000000"/>
              </w:rPr>
            </w:pPr>
            <w:r>
              <w:rPr>
                <w:rFonts w:cs="Arial Narrow" w:ascii="Arial Narrow" w:hAnsi="Arial Narrow"/>
                <w:b/>
                <w:color w:val="000000"/>
              </w:rPr>
              <w:t>Date</w:t>
            </w:r>
          </w:p>
        </w:tc>
        <w:tc>
          <w:tcPr>
            <w:tcW w:w="4140" w:type="dxa"/>
            <w:tcBorders/>
          </w:tcPr>
          <w:p>
            <w:pPr>
              <w:pStyle w:val="Normal"/>
              <w:spacing w:before="320" w:after="0"/>
              <w:rPr>
                <w:rFonts w:ascii="Arial Narrow" w:hAnsi="Arial Narrow" w:cs="Arial Narrow"/>
                <w:b/>
                <w:color w:val="000000"/>
              </w:rPr>
            </w:pPr>
            <w:r>
              <w:rPr>
                <w:rFonts w:cs="Arial Narrow" w:ascii="Arial Narrow" w:hAnsi="Arial Narrow"/>
                <w:b/>
                <w:color w:val="000000"/>
              </w:rPr>
              <w:t>Description</w:t>
            </w:r>
          </w:p>
        </w:tc>
        <w:tc>
          <w:tcPr>
            <w:tcW w:w="1350" w:type="dxa"/>
            <w:tcBorders/>
          </w:tcPr>
          <w:p>
            <w:pPr>
              <w:pStyle w:val="Normal"/>
              <w:spacing w:before="120" w:after="0"/>
              <w:jc w:val="center"/>
              <w:rPr>
                <w:rFonts w:ascii="Arial Narrow" w:hAnsi="Arial Narrow" w:cs="Arial Narrow"/>
                <w:b/>
                <w:color w:val="000000"/>
              </w:rPr>
            </w:pPr>
            <w:r>
              <w:rPr>
                <w:rFonts w:cs="Arial Narrow" w:ascii="Arial Narrow" w:hAnsi="Arial Narrow"/>
                <w:b/>
                <w:color w:val="000000"/>
              </w:rPr>
              <w:br/>
              <w:t>Time</w:t>
            </w:r>
          </w:p>
        </w:tc>
        <w:tc>
          <w:tcPr>
            <w:tcW w:w="1530" w:type="dxa"/>
            <w:tcBorders/>
          </w:tcPr>
          <w:p>
            <w:pPr>
              <w:pStyle w:val="Normal"/>
              <w:spacing w:before="120" w:after="0"/>
              <w:jc w:val="center"/>
              <w:rPr/>
            </w:pPr>
            <w:r>
              <w:rPr>
                <w:rFonts w:cs="Arial Narrow" w:ascii="Arial Narrow" w:hAnsi="Arial Narrow"/>
                <w:b/>
                <w:color w:val="000000"/>
              </w:rPr>
              <w:t xml:space="preserve">Location </w:t>
              <w:br/>
              <w:t xml:space="preserve"> or Dial-in</w:t>
            </w:r>
          </w:p>
        </w:tc>
      </w:tr>
      <w:tr>
        <w:trPr>
          <w:trHeight w:val="247" w:hRule="atLeast"/>
        </w:trPr>
        <w:tc>
          <w:tcPr>
            <w:tcW w:w="900" w:type="dxa"/>
            <w:tcBorders>
              <w:top w:val="single" w:sz="4" w:space="0" w:color="000000"/>
              <w:bottom w:val="single" w:sz="4" w:space="0" w:color="000000"/>
            </w:tcBorders>
          </w:tcPr>
          <w:p>
            <w:pPr>
              <w:pStyle w:val="TableBody"/>
              <w:rPr/>
            </w:pPr>
            <w:r>
              <w:rPr/>
              <w:t>6/12</w:t>
            </w:r>
          </w:p>
        </w:tc>
        <w:tc>
          <w:tcPr>
            <w:tcW w:w="4140" w:type="dxa"/>
            <w:tcBorders>
              <w:top w:val="single" w:sz="4" w:space="0" w:color="000000"/>
              <w:bottom w:val="single" w:sz="4" w:space="0" w:color="000000"/>
            </w:tcBorders>
          </w:tcPr>
          <w:p>
            <w:pPr>
              <w:pStyle w:val="TableBody"/>
              <w:rPr>
                <w:b/>
              </w:rPr>
            </w:pPr>
            <w:r>
              <w:rPr>
                <w:b/>
              </w:rPr>
              <w:t>Orion Power Analyst Meeting</w:t>
            </w:r>
          </w:p>
        </w:tc>
        <w:tc>
          <w:tcPr>
            <w:tcW w:w="1350" w:type="dxa"/>
            <w:tcBorders>
              <w:top w:val="single" w:sz="4" w:space="0" w:color="000000"/>
              <w:bottom w:val="single" w:sz="4" w:space="0" w:color="000000"/>
            </w:tcBorders>
          </w:tcPr>
          <w:p>
            <w:pPr>
              <w:pStyle w:val="TableBody"/>
              <w:jc w:val="center"/>
              <w:rPr/>
            </w:pPr>
            <w:r>
              <w:rPr/>
              <w:t>All Day</w:t>
            </w:r>
          </w:p>
        </w:tc>
        <w:tc>
          <w:tcPr>
            <w:tcW w:w="1530" w:type="dxa"/>
            <w:tcBorders>
              <w:top w:val="single" w:sz="4" w:space="0" w:color="000000"/>
              <w:bottom w:val="single" w:sz="4" w:space="0" w:color="000000"/>
            </w:tcBorders>
          </w:tcPr>
          <w:p>
            <w:pPr>
              <w:pStyle w:val="TableBody"/>
              <w:jc w:val="center"/>
              <w:rPr/>
            </w:pPr>
            <w:r>
              <w:rPr/>
              <w:t>Baltimore, MD</w:t>
            </w:r>
          </w:p>
        </w:tc>
      </w:tr>
      <w:tr>
        <w:trPr>
          <w:trHeight w:val="247" w:hRule="atLeast"/>
        </w:trPr>
        <w:tc>
          <w:tcPr>
            <w:tcW w:w="900" w:type="dxa"/>
            <w:tcBorders>
              <w:top w:val="single" w:sz="4" w:space="0" w:color="000000"/>
              <w:bottom w:val="single" w:sz="4" w:space="0" w:color="000000"/>
            </w:tcBorders>
          </w:tcPr>
          <w:p>
            <w:pPr>
              <w:pStyle w:val="TableBody"/>
              <w:rPr/>
            </w:pPr>
            <w:r>
              <w:rPr/>
              <w:t>6/26</w:t>
            </w:r>
          </w:p>
        </w:tc>
        <w:tc>
          <w:tcPr>
            <w:tcW w:w="4140" w:type="dxa"/>
            <w:tcBorders>
              <w:top w:val="single" w:sz="4" w:space="0" w:color="000000"/>
              <w:bottom w:val="single" w:sz="4" w:space="0" w:color="000000"/>
            </w:tcBorders>
          </w:tcPr>
          <w:p>
            <w:pPr>
              <w:pStyle w:val="TableBody"/>
              <w:rPr>
                <w:b/>
              </w:rPr>
            </w:pPr>
            <w:r>
              <w:rPr>
                <w:b/>
              </w:rPr>
              <w:t>Reliant Energy Analyst Meeting</w:t>
            </w:r>
          </w:p>
        </w:tc>
        <w:tc>
          <w:tcPr>
            <w:tcW w:w="1350" w:type="dxa"/>
            <w:tcBorders>
              <w:top w:val="single" w:sz="4" w:space="0" w:color="000000"/>
              <w:bottom w:val="single" w:sz="4" w:space="0" w:color="000000"/>
            </w:tcBorders>
          </w:tcPr>
          <w:p>
            <w:pPr>
              <w:pStyle w:val="TableBody"/>
              <w:jc w:val="center"/>
              <w:rPr/>
            </w:pPr>
            <w:r>
              <w:rPr/>
              <w:t>All Day</w:t>
            </w:r>
          </w:p>
        </w:tc>
        <w:tc>
          <w:tcPr>
            <w:tcW w:w="1530" w:type="dxa"/>
            <w:tcBorders>
              <w:top w:val="single" w:sz="4" w:space="0" w:color="000000"/>
              <w:bottom w:val="single" w:sz="4" w:space="0" w:color="000000"/>
            </w:tcBorders>
          </w:tcPr>
          <w:p>
            <w:pPr>
              <w:pStyle w:val="TableBody"/>
              <w:jc w:val="center"/>
              <w:rPr/>
            </w:pPr>
            <w:r>
              <w:rPr/>
              <w:t>Houston, TX</w:t>
            </w:r>
          </w:p>
        </w:tc>
      </w:tr>
    </w:tbl>
    <w:p>
      <w:pPr>
        <w:pStyle w:val="Head2"/>
        <w:rPr/>
      </w:pPr>
      <w:r>
        <w:rPr/>
      </w:r>
    </w:p>
    <w:p>
      <w:pPr>
        <w:pStyle w:val="Head2"/>
        <w:rPr/>
      </w:pPr>
      <w:r>
        <w:rPr/>
        <w:t>Wall Street Journal Article Highlights CPN’s PG&amp;E Receivables</w:t>
      </w:r>
    </w:p>
    <w:p>
      <w:pPr>
        <w:pStyle w:val="Text"/>
        <w:rPr/>
      </w:pPr>
      <w:r>
        <w:rPr/>
        <w:t xml:space="preserve">On June 1, 2001, an article appeared in the </w:t>
      </w:r>
      <w:r>
        <w:rPr>
          <w:i/>
        </w:rPr>
        <w:t>Wall Street Journal</w:t>
      </w:r>
      <w:r>
        <w:rPr/>
        <w:t xml:space="preserve"> highlighting the fact that CPN has not taken reserves against nearly $267 million of receivables from PG&amp;E.  As we have written previously (see our FC note dated 4/10/01), CPN’s rationale for not reserving against its PG&amp;E receivables is valid.  Versus the other major IPPs, CPN’s PG&amp;E exposure is unique in that all of its current receivables have resulted from direct power sales to PG&amp;E under long-term contracts.</w:t>
      </w:r>
    </w:p>
    <w:p>
      <w:pPr>
        <w:pStyle w:val="Text"/>
        <w:rPr/>
      </w:pPr>
      <w:r>
        <w:rPr/>
        <w:t xml:space="preserve">Regardless, it is important to put this issue into perspective.  Even assuming a worst case scenario under which CPN is unable to recover any of its PG&amp;E receivables (highly unlikely), the investment merits of the CPN story would be unaffected.  </w:t>
      </w:r>
    </w:p>
    <w:p>
      <w:pPr>
        <w:pStyle w:val="Text"/>
        <w:rPr/>
      </w:pPr>
      <w:r>
        <w:rPr/>
        <w:t>In particular, the company’s forward earnings power and the long-term growth story would remain intact.  The receivables balance is static and relates only to power sales that took place from December up until the April 6 bankruptcy filing.  Calpine is currently getting paid on all power sales to PG&amp;E.  More importantly, the company remains on track to grow its power plant portfolio to 70,000 MW by 2005.  Assuming a capacity base of this size, CPN’s earnings base will approximate $6.86 in 2005, implying 44% earnings growth.  The receivables issue does not threaten the company’s ability to execute on this goal.</w:t>
      </w:r>
    </w:p>
    <w:p>
      <w:pPr>
        <w:pStyle w:val="Text"/>
        <w:rPr/>
      </w:pPr>
      <w:r>
        <w:rPr/>
      </w:r>
    </w:p>
    <w:p>
      <w:pPr>
        <w:pStyle w:val="Head2"/>
        <w:rPr/>
      </w:pPr>
      <w:r>
        <w:rPr/>
        <w:t>Debt Market Update</w:t>
      </w:r>
    </w:p>
    <w:p>
      <w:pPr>
        <w:pStyle w:val="Text"/>
        <w:rPr>
          <w:i/>
          <w:i/>
        </w:rPr>
      </w:pPr>
      <w:r>
        <w:rPr>
          <w:i/>
        </w:rPr>
        <w:t xml:space="preserve">For this section we asked Andy Brooks, our fixed income analyst, to provide an IPP debt market update.  We have found Andy to be an excellent resource and we encourage you to call him with any questions (212/325-3014).  </w:t>
      </w:r>
    </w:p>
    <w:p>
      <w:pPr>
        <w:pStyle w:val="Text"/>
        <w:rPr>
          <w:i/>
          <w:i/>
        </w:rPr>
      </w:pPr>
      <w:r>
        <w:rPr>
          <w:i/>
        </w:rPr>
        <w:t>From an equity perspective, we believe it is useful to monitor the trading activity of these companies’ fixed income securities.  On the whole, the long-term sustainability of these growth stories depends on an IPP’s ability to identify new investment opportunities as well as its ability to attract funding (both debt and equity) on reasonable terms.</w:t>
      </w:r>
    </w:p>
    <w:p>
      <w:pPr>
        <w:pStyle w:val="Text"/>
        <w:rPr/>
      </w:pPr>
      <w:r>
        <w:rPr>
          <w:b/>
        </w:rPr>
        <w:t xml:space="preserve">From the Desk of Andy Brooks </w:t>
      </w:r>
      <w:r>
        <w:rPr/>
        <w:t xml:space="preserve">  Once again investment grade rated NRG Energy and Mirant more or less held their own during this abbreviated and somewhat quiet trading week, while “four-B” rated AES and Calpine gave up some additional ground. </w:t>
      </w:r>
    </w:p>
    <w:p>
      <w:pPr>
        <w:pStyle w:val="Text"/>
        <w:rPr/>
      </w:pPr>
      <w:r>
        <w:rPr/>
        <w:t xml:space="preserve">The </w:t>
      </w:r>
      <w:r>
        <w:rPr>
          <w:b/>
        </w:rPr>
        <w:t>NRG</w:t>
      </w:r>
      <w:r>
        <w:rPr/>
        <w:t xml:space="preserve"> 7.75% 10-year closed the week marginally tighter bid at +220 bps, while the </w:t>
      </w:r>
      <w:r>
        <w:rPr>
          <w:b/>
        </w:rPr>
        <w:t>Mirant</w:t>
      </w:r>
      <w:r>
        <w:rPr/>
        <w:t xml:space="preserve"> 7.90% due 2009 bid held at +275 bps. </w:t>
      </w:r>
    </w:p>
    <w:p>
      <w:pPr>
        <w:pStyle w:val="Text"/>
        <w:rPr/>
      </w:pPr>
      <w:r>
        <w:rPr>
          <w:b/>
        </w:rPr>
        <w:t>AES</w:t>
      </w:r>
      <w:r>
        <w:rPr/>
        <w:t xml:space="preserve"> came to market this week, pricing $200 million of a new two-year “put-call” structure and $400 million of a new seven-year on Thursday; pricing on the two-year was +325 bps while the seven-year priced at +350 bps. The 8.75% seven-year closed the week on a down note, wider by about 15 bps. The AES 8.875% 10-year consequently also lost a bit of ground, closing the week bid at +370 bps. </w:t>
      </w:r>
    </w:p>
    <w:p>
      <w:pPr>
        <w:pStyle w:val="Text"/>
        <w:rPr/>
      </w:pPr>
      <w:r>
        <w:rPr>
          <w:b/>
        </w:rPr>
        <w:t>Calpine</w:t>
      </w:r>
      <w:r>
        <w:rPr/>
        <w:t xml:space="preserve"> was somewhat bounced around this week, giving up 14 bps from the beginning of the week to close at +340 bps bid on its 8.50% 10-year. Calpine widened a nickel on Friday alone in reaction to The Wall Street Journal article on Calpine’s PG&amp;E receivables.</w:t>
      </w:r>
    </w:p>
    <w:p>
      <w:pPr>
        <w:pStyle w:val="Head2"/>
        <w:rPr/>
      </w:pPr>
      <w:r>
        <w:rPr/>
        <w:t>Coverage Initiated on Reliant Resources with a Buy Rating</w:t>
      </w:r>
    </w:p>
    <w:p>
      <w:pPr>
        <w:pStyle w:val="Text"/>
        <w:rPr/>
      </w:pPr>
      <w:r>
        <w:rPr/>
        <w:t>On May 29, we initiated coverage of Reliant Resources with a Buy rating and $50 price target.</w:t>
      </w:r>
    </w:p>
    <w:p>
      <w:pPr>
        <w:pStyle w:val="Text"/>
        <w:rPr/>
      </w:pPr>
      <w:r>
        <w:rPr/>
        <w:t>Our 2001-2004 diluted EPS estimates are $1.57, $1.95, $2.43 and $3.10, respectively, implying 24% EPS growth.  Our 2001 estimate is pro forma and assumes RRI’s IPO took place on January 1, 2001.</w:t>
      </w:r>
    </w:p>
    <w:p>
      <w:pPr>
        <w:pStyle w:val="Text"/>
        <w:rPr/>
      </w:pPr>
      <w:r>
        <w:rPr/>
        <w:t>Our investment opinion reflects 1) Well positioned to capitalize on deregulating power and gas markets; 2) The whole is greater than the sum of the MWs!; 3) Attractive growth profile; 4. Conservative capitalization supports future growth; and, 5) Compelling valuation.</w:t>
      </w:r>
    </w:p>
    <w:p>
      <w:pPr>
        <w:pStyle w:val="Text"/>
        <w:rPr/>
      </w:pPr>
      <w:r>
        <w:rPr/>
        <w:t xml:space="preserve">On April 30, 2001, Reliant completed an initial public offering of 59.8 million primary shares, or approximately 20% of the total shares outstanding, at $30 per share.  The IPO raised approximately $1.794 billion of gross proceeds for the company.  $147 million will be used to repay debt with Reliant Energy.  </w:t>
      </w:r>
    </w:p>
    <w:p>
      <w:pPr>
        <w:pStyle w:val="Text"/>
        <w:rPr/>
      </w:pPr>
      <w:r>
        <w:rPr/>
        <w:t>Following its initial public offering, RRI shares continue to be about 80% held by Reliant Energy, a Houston, Texas-based electric utility.  REI plans to spin-off its remaining ownership interest in RRI to its shareholders within the next 12 months.</w:t>
      </w:r>
    </w:p>
    <w:p>
      <w:pPr>
        <w:pStyle w:val="Text"/>
        <w:rPr/>
      </w:pPr>
      <w:r>
        <w:rPr/>
      </w:r>
    </w:p>
    <w:p>
      <w:pPr>
        <w:sectPr>
          <w:headerReference w:type="default" r:id="rId11"/>
          <w:footerReference w:type="default" r:id="rId12"/>
          <w:type w:val="nextPage"/>
          <w:pgSz w:w="12240" w:h="15840"/>
          <w:pgMar w:left="3150" w:right="1195" w:gutter="0" w:header="547" w:top="1440" w:footer="360" w:bottom="1080"/>
          <w:pgNumType w:fmt="decimal"/>
          <w:formProt w:val="false"/>
          <w:textDirection w:val="lrTb"/>
          <w:docGrid w:type="default" w:linePitch="360" w:charSpace="0"/>
        </w:sectPr>
        <w:pStyle w:val="Text"/>
        <w:rPr/>
      </w:pPr>
      <w:r>
        <w:rPr/>
      </w:r>
    </w:p>
    <w:p>
      <w:pPr>
        <w:pStyle w:val="Head1"/>
        <w:rPr/>
      </w:pPr>
      <w:r>
        <w:rPr/>
        <w:t xml:space="preserve">Recent Headlines </w:t>
      </w:r>
    </w:p>
    <w:p>
      <w:pPr>
        <w:pStyle w:val="Text"/>
        <w:keepNext w:val="true"/>
        <w:numPr>
          <w:ilvl w:val="0"/>
          <w:numId w:val="10"/>
        </w:numPr>
        <w:tabs>
          <w:tab w:val="clear" w:pos="720"/>
          <w:tab w:val="left" w:pos="360" w:leader="none"/>
        </w:tabs>
        <w:rPr>
          <w:b/>
          <w:color w:val="000000"/>
          <w:sz w:val="22"/>
        </w:rPr>
      </w:pPr>
      <w:r>
        <w:rPr>
          <w:b/>
          <w:color w:val="000000"/>
          <w:sz w:val="22"/>
        </w:rPr>
        <w:t>Mirant Announces Agreement with DWR</w:t>
      </w:r>
    </w:p>
    <w:p>
      <w:pPr>
        <w:pStyle w:val="Normal"/>
        <w:jc w:val="start"/>
        <w:rPr/>
      </w:pPr>
      <w:r>
        <w:rPr>
          <w:b/>
        </w:rPr>
        <w:t>Overview:</w:t>
      </w:r>
      <w:r>
        <w:rPr/>
        <w:t xml:space="preserve">  On May 24, Mirant announced a 19-month agreement with the California DWR to provide the state with 500 MW of electricity from June 1, 2001, to Dec. 31, 2002.  The electricity will be provided during peak demand from three of Mirant’s power plants in Northern California.</w:t>
      </w:r>
    </w:p>
    <w:p>
      <w:pPr>
        <w:pStyle w:val="Text"/>
        <w:keepNext w:val="true"/>
        <w:numPr>
          <w:ilvl w:val="0"/>
          <w:numId w:val="10"/>
        </w:numPr>
        <w:tabs>
          <w:tab w:val="clear" w:pos="720"/>
          <w:tab w:val="left" w:pos="360" w:leader="none"/>
        </w:tabs>
        <w:rPr>
          <w:b/>
          <w:color w:val="000000"/>
          <w:sz w:val="22"/>
        </w:rPr>
      </w:pPr>
      <w:r>
        <w:rPr>
          <w:b/>
          <w:color w:val="000000"/>
          <w:sz w:val="22"/>
        </w:rPr>
        <w:t>AES NewEnergy to Supply Texas Retailer</w:t>
      </w:r>
    </w:p>
    <w:p>
      <w:pPr>
        <w:pStyle w:val="Normal"/>
        <w:jc w:val="start"/>
        <w:rPr/>
      </w:pPr>
      <w:r>
        <w:rPr>
          <w:b/>
        </w:rPr>
        <w:t>Overview:</w:t>
      </w:r>
      <w:r>
        <w:rPr/>
        <w:t xml:space="preserve">  It was reported on May 30 that AES NewEnergy agreed to supply electricity to H-E-B supermarkets in Texas during Texas’ retail electricity pilot.  The deal runs through December 31, 2001, at which time the state will become fully competitive on a  retail basis.  </w:t>
      </w:r>
    </w:p>
    <w:p>
      <w:pPr>
        <w:pStyle w:val="Text"/>
        <w:keepNext w:val="true"/>
        <w:numPr>
          <w:ilvl w:val="0"/>
          <w:numId w:val="10"/>
        </w:numPr>
        <w:tabs>
          <w:tab w:val="clear" w:pos="720"/>
          <w:tab w:val="left" w:pos="360" w:leader="none"/>
        </w:tabs>
        <w:rPr>
          <w:b/>
          <w:color w:val="000000"/>
          <w:sz w:val="22"/>
        </w:rPr>
      </w:pPr>
      <w:r>
        <w:rPr>
          <w:b/>
          <w:color w:val="000000"/>
          <w:sz w:val="22"/>
        </w:rPr>
        <w:t>AES to Bid on Assets in Ecuador</w:t>
      </w:r>
    </w:p>
    <w:p>
      <w:pPr>
        <w:pStyle w:val="Normal"/>
        <w:jc w:val="start"/>
        <w:rPr/>
      </w:pPr>
      <w:r>
        <w:rPr>
          <w:b/>
        </w:rPr>
        <w:t>Overview:</w:t>
      </w:r>
      <w:r>
        <w:rPr/>
        <w:t xml:space="preserve">  It was reported on May 23 that AES signed up to prequalify for the auction of Ecuador's 19 electric distributors.  AES was the first company to sign up for the sale of 5% interest in Ecuador's government-owned electric companies.  The sale is scheduled for the third quarter of 2001.</w:t>
      </w:r>
    </w:p>
    <w:p>
      <w:pPr>
        <w:pStyle w:val="Text"/>
        <w:keepNext w:val="true"/>
        <w:numPr>
          <w:ilvl w:val="0"/>
          <w:numId w:val="10"/>
        </w:numPr>
        <w:tabs>
          <w:tab w:val="clear" w:pos="720"/>
          <w:tab w:val="left" w:pos="360" w:leader="none"/>
        </w:tabs>
        <w:rPr>
          <w:b/>
          <w:color w:val="000000"/>
          <w:sz w:val="22"/>
        </w:rPr>
      </w:pPr>
      <w:r>
        <w:rPr>
          <w:b/>
          <w:color w:val="000000"/>
          <w:sz w:val="22"/>
        </w:rPr>
        <w:t>AES Awarded the Ras Laffan Contract in Qatar</w:t>
      </w:r>
    </w:p>
    <w:p>
      <w:pPr>
        <w:pStyle w:val="Normal"/>
        <w:jc w:val="start"/>
        <w:rPr/>
      </w:pPr>
      <w:r>
        <w:rPr>
          <w:b/>
        </w:rPr>
        <w:t>Overview:</w:t>
      </w:r>
      <w:r>
        <w:rPr/>
        <w:t xml:space="preserve">  On May 24, AES announced that it was awarded the Ras Laffan project in Qatar, a 750 MW and 40 million imperial gallons of water per day natural gas-fired power plant and water desalination project.  AES will own a 55% equity interest with the remaining 45% interest will be held by Qatar Petroleum and the Qatar Electric and Water Company (QEWC), two government owned companies.  AES expects the plant reach full commercial operation by May 2004. </w:t>
      </w:r>
    </w:p>
    <w:p>
      <w:pPr>
        <w:pStyle w:val="Text"/>
        <w:keepNext w:val="true"/>
        <w:numPr>
          <w:ilvl w:val="0"/>
          <w:numId w:val="10"/>
        </w:numPr>
        <w:tabs>
          <w:tab w:val="clear" w:pos="720"/>
          <w:tab w:val="left" w:pos="360" w:leader="none"/>
        </w:tabs>
        <w:rPr>
          <w:b/>
          <w:color w:val="000000"/>
          <w:sz w:val="22"/>
        </w:rPr>
      </w:pPr>
      <w:r>
        <w:rPr>
          <w:b/>
          <w:color w:val="000000"/>
          <w:sz w:val="22"/>
        </w:rPr>
        <w:t>Calpine Gets Approval for Metcalf from SJ Mayor</w:t>
      </w:r>
    </w:p>
    <w:p>
      <w:pPr>
        <w:pStyle w:val="Normal"/>
        <w:jc w:val="start"/>
        <w:rPr/>
      </w:pPr>
      <w:r>
        <w:rPr>
          <w:b/>
        </w:rPr>
        <w:t>Overview:</w:t>
      </w:r>
      <w:r>
        <w:rPr/>
        <w:t xml:space="preserve">  After months of opposition, San Jose Mayor gave Calpine’s 579 MW Metcalf facility has support.  Construction is expected to begin after approval from the California Energy Commission.  Calpine expects the plant to be on-line by the summer of 2003. </w:t>
      </w:r>
    </w:p>
    <w:p>
      <w:pPr>
        <w:pStyle w:val="Text"/>
        <w:keepNext w:val="true"/>
        <w:numPr>
          <w:ilvl w:val="0"/>
          <w:numId w:val="10"/>
        </w:numPr>
        <w:tabs>
          <w:tab w:val="clear" w:pos="720"/>
          <w:tab w:val="left" w:pos="360" w:leader="none"/>
        </w:tabs>
        <w:rPr>
          <w:b/>
          <w:color w:val="000000"/>
          <w:sz w:val="22"/>
        </w:rPr>
      </w:pPr>
      <w:r>
        <w:rPr>
          <w:b/>
          <w:color w:val="000000"/>
          <w:sz w:val="22"/>
        </w:rPr>
        <w:t>Possible Expansion of Big Cajun by NRG</w:t>
      </w:r>
    </w:p>
    <w:p>
      <w:pPr>
        <w:pStyle w:val="Normal"/>
        <w:jc w:val="start"/>
        <w:rPr/>
      </w:pPr>
      <w:r>
        <w:rPr>
          <w:b/>
        </w:rPr>
        <w:t>Overview:</w:t>
      </w:r>
      <w:r>
        <w:rPr/>
        <w:t xml:space="preserve">  NRG Energy chose a site next to its 1,725 MW Big Cajun facility for a possible 600 MW coal-fired expansion to cover new demand.  If NRG goes through with the facility, construction would begin in 2002 with an expected on-line date in 2005.</w:t>
      </w:r>
    </w:p>
    <w:p>
      <w:pPr>
        <w:pStyle w:val="Text"/>
        <w:keepNext w:val="true"/>
        <w:numPr>
          <w:ilvl w:val="0"/>
          <w:numId w:val="10"/>
        </w:numPr>
        <w:tabs>
          <w:tab w:val="clear" w:pos="720"/>
          <w:tab w:val="left" w:pos="360" w:leader="none"/>
        </w:tabs>
        <w:rPr>
          <w:b/>
          <w:color w:val="000000"/>
          <w:sz w:val="22"/>
        </w:rPr>
      </w:pPr>
      <w:r>
        <w:rPr>
          <w:b/>
          <w:color w:val="000000"/>
          <w:sz w:val="22"/>
        </w:rPr>
        <w:t xml:space="preserve">Three Peaking Facilities Announced </w:t>
      </w:r>
    </w:p>
    <w:p>
      <w:pPr>
        <w:pStyle w:val="Normal"/>
        <w:jc w:val="start"/>
        <w:rPr/>
      </w:pPr>
      <w:r>
        <w:rPr>
          <w:b/>
        </w:rPr>
        <w:t>Overview:</w:t>
      </w:r>
      <w:r>
        <w:rPr/>
        <w:t xml:space="preserve">   DTE and Entergy announced plans for a 50/50 venture to build a 320 MW gas-fired peaker in Illinois.  The plant is expected to be on-line by June 2002.</w:t>
      </w:r>
    </w:p>
    <w:p>
      <w:pPr>
        <w:pStyle w:val="Normal"/>
        <w:jc w:val="start"/>
        <w:rPr/>
      </w:pPr>
      <w:r>
        <w:rPr/>
        <w:t>El Paso announced on May 30 that it expects to build a 340 MW gas-fired peaker in Michigan.  The plant is expected to be on-line by May 2003.</w:t>
      </w:r>
    </w:p>
    <w:p>
      <w:pPr>
        <w:pStyle w:val="Normal"/>
        <w:jc w:val="start"/>
        <w:rPr/>
      </w:pPr>
      <w:r>
        <w:rPr/>
        <w:t>Dynegy announced it was contemplating the build of a 675 MW gas-fired plant in Virginia.  Details of when the plant will be on-line were not disclosed.</w:t>
      </w:r>
    </w:p>
    <w:p>
      <w:pPr>
        <w:pStyle w:val="Normal"/>
        <w:jc w:val="start"/>
        <w:rPr/>
      </w:pPr>
      <w:r>
        <w:rPr/>
      </w:r>
    </w:p>
    <w:p>
      <w:pPr>
        <w:pStyle w:val="Normal"/>
        <w:jc w:val="start"/>
        <w:rPr/>
      </w:pPr>
      <w:r>
        <w:rPr/>
      </w:r>
    </w:p>
    <w:p>
      <w:pPr>
        <w:pStyle w:val="NB"/>
        <w:pBdr>
          <w:top w:val="single" w:sz="4" w:space="1" w:color="000000"/>
        </w:pBdr>
        <w:spacing w:before="0" w:after="60"/>
        <w:rPr/>
      </w:pPr>
      <w:r>
        <w:rPr>
          <w:b/>
        </w:rPr>
        <w:t>N.B.:</w:t>
      </w:r>
      <w:r>
        <w:rPr/>
        <w:t xml:space="preserve"> CREDIT SUISSE FIRST BOSTON CORPORATION may have, within the last three years, served as a manager or co-manager of a public offering of securities for or makes a primary market in issues of any or all of the companies mentioned.</w:t>
      </w:r>
    </w:p>
    <w:p>
      <w:pPr>
        <w:sectPr>
          <w:headerReference w:type="default" r:id="rId13"/>
          <w:headerReference w:type="first" r:id="rId14"/>
          <w:footerReference w:type="default" r:id="rId15"/>
          <w:footerReference w:type="first" r:id="rId16"/>
          <w:type w:val="nextPage"/>
          <w:pgSz w:w="12240" w:h="15840"/>
          <w:pgMar w:left="3150" w:right="1195" w:gutter="0" w:header="547" w:top="1440" w:footer="360" w:bottom="1080"/>
          <w:pgNumType w:fmt="decimal"/>
          <w:formProt w:val="false"/>
          <w:textDirection w:val="lrTb"/>
          <w:docGrid w:type="default" w:linePitch="360" w:charSpace="0"/>
        </w:sectPr>
        <w:pStyle w:val="NB"/>
        <w:pBdr>
          <w:top w:val="nil"/>
        </w:pBdr>
        <w:spacing w:before="0" w:after="60"/>
        <w:rPr/>
      </w:pPr>
      <w:r>
        <w:rPr/>
        <w:t xml:space="preserve">Companies mentioned: AES Corporation (AES, $45.75, Strong Buy), Calpine (CPN, $54.65, Strong Buy), Dynegy (DYN), Edison International (EIX, $11.74, Hold), International Power (IPR), NRG Energy (NRG, $34.25, Buy), Orion Power (ORN, $31.35, Restricted), PG&amp;E (PCG, $11.64, Hold), Mirant Corporation (MIR, $45.44, Buy), CMS Energy </w:t>
      </w:r>
    </w:p>
    <w:p>
      <w:pPr>
        <w:pStyle w:val="CameraReadyTableTitle"/>
        <w:pBdr>
          <w:bottom w:val="single" w:sz="4" w:space="1" w:color="000000"/>
        </w:pBdr>
        <w:rPr>
          <w:i/>
          <w:i/>
        </w:rPr>
      </w:pPr>
      <w:r>
        <w:rPr>
          <w:i/>
        </w:rPr>
        <w:t xml:space="preserve">Exhibit 8: </w:t>
      </w:r>
      <w:r>
        <w:rPr/>
        <w:t>Independent Power Producer Valuation</w:t>
      </w:r>
    </w:p>
    <w:p>
      <w:pPr>
        <w:pStyle w:val="CameraReadyTableTitle"/>
        <w:rPr>
          <w:i/>
          <w:i/>
        </w:rPr>
      </w:pPr>
      <w:r>
        <w:rPr>
          <w:b w:val="false"/>
          <w:i/>
        </w:rPr>
        <w:drawing>
          <wp:inline distT="0" distB="0" distL="0" distR="0">
            <wp:extent cx="8274050" cy="5558155"/>
            <wp:effectExtent l="0" t="0" r="0" b="0"/>
            <wp:docPr id="9"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title=""/>
                    <pic:cNvPicPr>
                      <a:picLocks noChangeAspect="1" noChangeArrowheads="1"/>
                    </pic:cNvPicPr>
                  </pic:nvPicPr>
                  <pic:blipFill>
                    <a:blip r:embed="rId17"/>
                    <a:srcRect l="-3" t="-5" r="-3" b="-5"/>
                    <a:stretch>
                      <a:fillRect/>
                    </a:stretch>
                  </pic:blipFill>
                  <pic:spPr bwMode="auto">
                    <a:xfrm>
                      <a:off x="0" y="0"/>
                      <a:ext cx="8274050" cy="5558155"/>
                    </a:xfrm>
                    <a:prstGeom prst="rect">
                      <a:avLst/>
                    </a:prstGeom>
                    <a:noFill/>
                  </pic:spPr>
                </pic:pic>
              </a:graphicData>
            </a:graphic>
          </wp:inline>
        </w:drawing>
      </w:r>
    </w:p>
    <w:p>
      <w:pPr>
        <w:sectPr>
          <w:headerReference w:type="default" r:id="rId18"/>
          <w:headerReference w:type="first" r:id="rId19"/>
          <w:footerReference w:type="default" r:id="rId20"/>
          <w:footerReference w:type="first" r:id="rId21"/>
          <w:type w:val="nextPage"/>
          <w:pgSz w:orient="landscape" w:w="15840" w:h="12240"/>
          <w:pgMar w:left="1080" w:right="1627" w:gutter="0" w:header="547" w:top="1710" w:footer="360" w:bottom="1195"/>
          <w:pgNumType w:fmt="decimal"/>
          <w:formProt w:val="false"/>
          <w:textDirection w:val="lrTb"/>
          <w:docGrid w:type="default" w:linePitch="360" w:charSpace="0"/>
        </w:sectPr>
        <w:pStyle w:val="CameraReadyTableTitle"/>
        <w:rPr>
          <w:i/>
          <w:i/>
        </w:rPr>
      </w:pPr>
      <w:r>
        <w:rPr>
          <w:i/>
        </w:rPr>
      </w:r>
    </w:p>
    <w:p>
      <w:pPr>
        <w:pStyle w:val="Head1"/>
        <w:spacing w:before="0" w:after="60"/>
        <w:rPr/>
      </w:pPr>
      <w:r>
        <w:rPr/>
        <w:t>Power Pricing Trends</w:t>
      </w:r>
    </w:p>
    <w:p>
      <w:pPr>
        <w:pStyle w:val="CameraReadyTableTitle"/>
        <w:pBdr>
          <w:top w:val="single" w:sz="6" w:space="1" w:color="000000"/>
          <w:left w:val="single" w:sz="6" w:space="4" w:color="000000"/>
          <w:bottom w:val="single" w:sz="6" w:space="1" w:color="000000"/>
          <w:right w:val="single" w:sz="6" w:space="4" w:color="000000"/>
        </w:pBdr>
        <w:spacing w:before="0" w:after="80"/>
        <w:rPr/>
      </w:pPr>
      <w:r>
        <w:rPr>
          <w:b w:val="false"/>
          <w:i/>
        </w:rPr>
        <w:t>In this section we include power market commentary for selected US regions, adopted primarily from Platts Daily Price Report, published by the McGraw-Hill Companies.  The prices quoted are for previous day trades to be delivered on that day.</w:t>
      </w:r>
    </w:p>
    <w:p>
      <w:pPr>
        <w:pStyle w:val="CameraReadyTableTitle"/>
        <w:pBdr>
          <w:top w:val="single" w:sz="6" w:space="1" w:color="000000"/>
          <w:left w:val="single" w:sz="6" w:space="4" w:color="000000"/>
          <w:bottom w:val="single" w:sz="6" w:space="1" w:color="000000"/>
          <w:right w:val="single" w:sz="6" w:space="4" w:color="000000"/>
        </w:pBdr>
        <w:rPr/>
      </w:pPr>
      <w:r>
        <w:rPr>
          <w:i/>
        </w:rPr>
        <w:t>Overview:</w:t>
      </w:r>
      <w:r>
        <w:rPr>
          <w:b w:val="false"/>
          <w:i/>
        </w:rPr>
        <w:t xml:space="preserve">  Power prices across most of the country were down for most of the week due to mild weather and weak gas prices.  The Mirant National Power Index was down 30% for the week.  California prices, low for most of the week, rose on Wednesday as warmer weather kicked in the air conditioner load thus pushing California into a Stage II Emergency.</w:t>
      </w:r>
    </w:p>
    <w:p>
      <w:pPr>
        <w:pStyle w:val="CameraReadyTableSubtitle"/>
        <w:spacing w:before="0" w:after="60"/>
        <w:rPr>
          <w:b/>
          <w:i/>
          <w:i/>
        </w:rPr>
      </w:pPr>
      <w:r>
        <w:rPr>
          <w:b/>
          <w:i/>
        </w:rPr>
      </w:r>
    </w:p>
    <w:p>
      <w:pPr>
        <w:pStyle w:val="Text"/>
        <w:pBdr>
          <w:bottom w:val="single" w:sz="4" w:space="1" w:color="000000"/>
        </w:pBdr>
        <w:tabs>
          <w:tab w:val="clear" w:pos="720"/>
          <w:tab w:val="left" w:pos="2790" w:leader="none"/>
        </w:tabs>
        <w:spacing w:before="0" w:after="80"/>
        <w:jc w:val="center"/>
        <w:rPr>
          <w:b/>
        </w:rPr>
      </w:pPr>
      <w:r>
        <w:rPr>
          <w:b/>
        </w:rPr>
      </w:r>
    </w:p>
    <w:p>
      <w:pPr>
        <w:pStyle w:val="Text"/>
        <w:numPr>
          <w:ilvl w:val="0"/>
          <w:numId w:val="9"/>
        </w:numPr>
        <w:tabs>
          <w:tab w:val="clear" w:pos="720"/>
          <w:tab w:val="left" w:pos="2790" w:leader="none"/>
        </w:tabs>
        <w:spacing w:before="0" w:after="60"/>
        <w:rPr>
          <w:b/>
        </w:rPr>
      </w:pPr>
      <w:r>
        <w:rPr>
          <w:b/>
        </w:rPr>
        <w:t xml:space="preserve">California </w:t>
      </w:r>
      <w:r>
        <w:rPr/>
        <w:t xml:space="preserve">and other </w:t>
      </w:r>
      <w:r>
        <w:rPr>
          <w:b/>
        </w:rPr>
        <w:t>Western</w:t>
      </w:r>
      <w:r>
        <w:rPr/>
        <w:t xml:space="preserve"> states had relatively low prices for the early part of the week due to the Memorial Day holiday, mild temperature, and healthy generation.  On Wednesday, however, hot temperatures entered the area thus increasing the need for air conditioner load.  California entered a Stage II Emergency numerous times towards the end of the week.  On Friday, prices declined, albeit slightly, as interruptible load reductions were able to help offset the surging demand. </w:t>
      </w:r>
    </w:p>
    <w:p>
      <w:pPr>
        <w:pStyle w:val="Text"/>
        <w:numPr>
          <w:ilvl w:val="0"/>
          <w:numId w:val="9"/>
        </w:numPr>
        <w:tabs>
          <w:tab w:val="clear" w:pos="720"/>
          <w:tab w:val="left" w:pos="2790" w:leader="none"/>
        </w:tabs>
        <w:spacing w:before="0" w:after="60"/>
        <w:rPr/>
      </w:pPr>
      <w:r>
        <w:rPr>
          <w:b/>
        </w:rPr>
        <w:t>New York</w:t>
      </w:r>
      <w:r>
        <w:rPr/>
        <w:t xml:space="preserve">, the </w:t>
      </w:r>
      <w:r>
        <w:rPr>
          <w:b/>
        </w:rPr>
        <w:t>Northeast</w:t>
      </w:r>
      <w:r>
        <w:rPr/>
        <w:t xml:space="preserve"> and the </w:t>
      </w:r>
      <w:r>
        <w:rPr>
          <w:b/>
        </w:rPr>
        <w:t>Mid-Atlantic</w:t>
      </w:r>
      <w:r>
        <w:rPr/>
        <w:t xml:space="preserve"> all experienced price declines over the week primarily driven by mild weather.  Other drivers included lower gas prices and some generation coming back on-line.  Cooler than normal temperatures in the Northeast threatened heating loads, however, this never really materialized.</w:t>
      </w:r>
    </w:p>
    <w:p>
      <w:pPr>
        <w:pStyle w:val="Text"/>
        <w:numPr>
          <w:ilvl w:val="0"/>
          <w:numId w:val="9"/>
        </w:numPr>
        <w:tabs>
          <w:tab w:val="clear" w:pos="720"/>
          <w:tab w:val="left" w:pos="2790" w:leader="none"/>
        </w:tabs>
        <w:spacing w:before="0" w:after="60"/>
        <w:rPr/>
      </w:pPr>
      <w:r>
        <w:rPr>
          <w:b/>
        </w:rPr>
        <w:t>Texas</w:t>
      </w:r>
      <w:r>
        <w:rPr/>
        <w:t xml:space="preserve"> and the </w:t>
      </w:r>
      <w:r>
        <w:rPr>
          <w:b/>
        </w:rPr>
        <w:t>Midwest</w:t>
      </w:r>
      <w:r>
        <w:rPr/>
        <w:t xml:space="preserve"> both experienced price weakness throughout the week due to mild weather.  Further, weak gas prices contributed to power price weakness.  Finally, in the Midwest, a 1,078 MW plant which was previously offline due to a turbine problems, was restarted.</w:t>
      </w:r>
    </w:p>
    <w:p>
      <w:pPr>
        <w:pStyle w:val="Text"/>
        <w:numPr>
          <w:ilvl w:val="0"/>
          <w:numId w:val="9"/>
        </w:numPr>
        <w:tabs>
          <w:tab w:val="clear" w:pos="720"/>
          <w:tab w:val="left" w:pos="2790" w:leader="none"/>
        </w:tabs>
        <w:spacing w:before="0" w:after="60"/>
        <w:rPr/>
      </w:pPr>
      <w:r>
        <w:rPr/>
        <w:t xml:space="preserve">Finally, the </w:t>
      </w:r>
      <w:r>
        <w:rPr>
          <w:b/>
        </w:rPr>
        <w:t>Southeast</w:t>
      </w:r>
      <w:r>
        <w:rPr/>
        <w:t xml:space="preserve"> experienced weakness as mild temperatures settled into the region.  Further, healthy generation and weak gas prices contributed to the soft prices.</w:t>
      </w:r>
    </w:p>
    <w:p>
      <w:pPr>
        <w:pStyle w:val="CameraReadyTableTitle"/>
        <w:spacing w:before="60" w:after="0"/>
        <w:ind w:start="-900" w:end="0"/>
        <w:rPr>
          <w:i/>
          <w:i/>
        </w:rPr>
      </w:pPr>
      <w:r>
        <w:rPr>
          <w:i/>
        </w:rPr>
        <w:t>Exhibit 9: Day-by-Day Pricing in Select Markets</w:t>
      </w:r>
    </w:p>
    <w:p>
      <w:pPr>
        <w:pStyle w:val="CameraReadyTableSubtitle"/>
        <w:spacing w:before="0" w:after="60"/>
        <w:ind w:start="-900" w:end="0"/>
        <w:rPr/>
      </w:pPr>
      <w:r>
        <w:rPr/>
        <w:t>$ per Mwh</w:t>
      </w:r>
    </w:p>
    <w:p>
      <w:pPr>
        <w:pStyle w:val="Text"/>
        <w:spacing w:before="0" w:after="80"/>
        <w:ind w:start="-900" w:end="0"/>
        <w:rPr/>
      </w:pPr>
      <w:r>
        <w:rPr/>
        <w:drawing>
          <wp:inline distT="0" distB="0" distL="0" distR="0">
            <wp:extent cx="6802120" cy="669925"/>
            <wp:effectExtent l="0" t="0" r="0" b="0"/>
            <wp:docPr id="10"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 descr="" title=""/>
                    <pic:cNvPicPr>
                      <a:picLocks noChangeAspect="1" noChangeArrowheads="1"/>
                    </pic:cNvPicPr>
                  </pic:nvPicPr>
                  <pic:blipFill>
                    <a:blip r:embed="rId22"/>
                    <a:srcRect l="-3" t="-32" r="-3" b="-32"/>
                    <a:stretch>
                      <a:fillRect/>
                    </a:stretch>
                  </pic:blipFill>
                  <pic:spPr bwMode="auto">
                    <a:xfrm>
                      <a:off x="0" y="0"/>
                      <a:ext cx="6802120" cy="669925"/>
                    </a:xfrm>
                    <a:prstGeom prst="rect">
                      <a:avLst/>
                    </a:prstGeom>
                    <a:noFill/>
                  </pic:spPr>
                </pic:pic>
              </a:graphicData>
            </a:graphic>
          </wp:inline>
        </w:drawing>
      </w:r>
    </w:p>
    <w:p>
      <w:pPr>
        <w:pStyle w:val="CameraReadyTableTitle"/>
        <w:pBdr>
          <w:bottom w:val="nil"/>
        </w:pBdr>
        <w:ind w:start="-900" w:end="0"/>
        <w:rPr>
          <w:b w:val="false"/>
          <w:sz w:val="12"/>
        </w:rPr>
      </w:pPr>
      <w:r>
        <w:rPr>
          <w:b w:val="false"/>
          <w:sz w:val="12"/>
        </w:rPr>
        <w:t>1) The daily index represents a volume weighted average for prescheduled, daily on-peak electricity.  Volumes are in MW.</w:t>
      </w:r>
    </w:p>
    <w:p>
      <w:pPr>
        <w:pStyle w:val="CameraReadyTableTitle"/>
        <w:pBdr>
          <w:bottom w:val="nil"/>
        </w:pBdr>
        <w:ind w:start="-900" w:end="0"/>
        <w:rPr>
          <w:b w:val="false"/>
          <w:sz w:val="12"/>
        </w:rPr>
      </w:pPr>
      <w:r>
        <w:rPr>
          <w:b w:val="false"/>
          <w:color w:val="000000"/>
          <w:sz w:val="12"/>
          <w:lang w:eastAsia="en-US"/>
        </w:rPr>
        <w:t>2) NE (New England), CIN (Cinergy), SERC (SERC), NP15 (California North Path 15), NYW (New York West), ERCOT (ERCOT), PJM (PJM)</w:t>
      </w:r>
    </w:p>
    <w:p>
      <w:pPr>
        <w:sectPr>
          <w:headerReference w:type="default" r:id="rId23"/>
          <w:headerReference w:type="first" r:id="rId24"/>
          <w:footerReference w:type="default" r:id="rId25"/>
          <w:footerReference w:type="first" r:id="rId26"/>
          <w:type w:val="nextPage"/>
          <w:pgSz w:w="12240" w:h="15840"/>
          <w:pgMar w:left="1714" w:right="1195" w:gutter="0" w:header="547" w:top="1627" w:footer="360" w:bottom="1080"/>
          <w:pgNumType w:fmt="decimal"/>
          <w:formProt w:val="false"/>
          <w:textDirection w:val="lrTb"/>
          <w:docGrid w:type="default" w:linePitch="360" w:charSpace="0"/>
        </w:sectPr>
        <w:pStyle w:val="CameraReadyTableTitle"/>
        <w:ind w:start="-900" w:end="0"/>
        <w:rPr>
          <w:b w:val="false"/>
          <w:sz w:val="14"/>
        </w:rPr>
      </w:pPr>
      <w:r>
        <w:rPr>
          <w:b w:val="false"/>
          <w:sz w:val="12"/>
        </w:rPr>
        <w:t xml:space="preserve">Source: </w:t>
      </w:r>
      <w:r>
        <w:rPr>
          <w:b w:val="false"/>
          <w:i/>
          <w:sz w:val="12"/>
        </w:rPr>
        <w:t>Platts Daily Price Report</w:t>
      </w:r>
    </w:p>
    <w:p>
      <w:pPr>
        <w:pStyle w:val="CameraReadyTableTitle"/>
        <w:rPr/>
      </w:pPr>
      <w:r>
        <w:rPr>
          <w:i/>
        </w:rPr>
        <w:t xml:space="preserve">Exhibit 10:  </w:t>
      </w:r>
      <w:r>
        <w:rPr/>
        <w:t xml:space="preserve"> Weekly Index of On-Peak Spot Electricity Prices</w:t>
      </w:r>
    </w:p>
    <w:p>
      <w:pPr>
        <w:pStyle w:val="CameraReadyTableSubtitle"/>
        <w:rPr/>
      </w:pPr>
      <w:r>
        <w:rPr/>
        <w:t>$ per Mwh</w:t>
      </w:r>
    </w:p>
    <w:p>
      <w:pPr>
        <w:pStyle w:val="CameraReadyTableTitle"/>
        <w:pBdr>
          <w:bottom w:val="nil"/>
        </w:pBdr>
        <w:jc w:val="center"/>
        <w:rPr>
          <w:b w:val="false"/>
          <w:sz w:val="16"/>
        </w:rPr>
      </w:pPr>
      <w:r>
        <w:rPr>
          <w:b w:val="false"/>
          <w:sz w:val="16"/>
        </w:rPr>
      </w:r>
    </w:p>
    <w:p>
      <w:pPr>
        <w:pStyle w:val="CameraReadyTableTitle"/>
        <w:pBdr>
          <w:bottom w:val="nil"/>
        </w:pBdr>
        <w:jc w:val="center"/>
        <w:rPr>
          <w:b w:val="false"/>
          <w:sz w:val="16"/>
        </w:rPr>
      </w:pPr>
      <w:r>
        <w:rPr>
          <w:sz w:val="16"/>
        </w:rPr>
        <w:drawing>
          <wp:inline distT="0" distB="0" distL="0" distR="0">
            <wp:extent cx="5916295" cy="4947285"/>
            <wp:effectExtent l="0" t="0" r="0" b="0"/>
            <wp:docPr id="11"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 descr="" title=""/>
                    <pic:cNvPicPr>
                      <a:picLocks noChangeAspect="1" noChangeArrowheads="1"/>
                    </pic:cNvPicPr>
                  </pic:nvPicPr>
                  <pic:blipFill>
                    <a:blip r:embed="rId27"/>
                    <a:srcRect l="-3" t="-4" r="-3" b="-4"/>
                    <a:stretch>
                      <a:fillRect/>
                    </a:stretch>
                  </pic:blipFill>
                  <pic:spPr bwMode="auto">
                    <a:xfrm>
                      <a:off x="0" y="0"/>
                      <a:ext cx="5916295" cy="4947285"/>
                    </a:xfrm>
                    <a:prstGeom prst="rect">
                      <a:avLst/>
                    </a:prstGeom>
                    <a:noFill/>
                  </pic:spPr>
                </pic:pic>
              </a:graphicData>
            </a:graphic>
          </wp:inline>
        </w:drawing>
      </w:r>
    </w:p>
    <w:p>
      <w:pPr>
        <w:pStyle w:val="CameraReadyTableTitle"/>
        <w:pBdr>
          <w:bottom w:val="nil"/>
        </w:pBdr>
        <w:spacing w:before="120" w:after="0"/>
        <w:ind w:hanging="446" w:start="446" w:end="0"/>
        <w:rPr>
          <w:b w:val="false"/>
          <w:sz w:val="14"/>
        </w:rPr>
      </w:pPr>
      <w:r>
        <w:rPr>
          <w:b w:val="false"/>
          <w:sz w:val="14"/>
        </w:rPr>
        <w:t>Note: The weekly index represents the average of the daily indexes.  The daily index represents a volume weighted average for prescheduled, daily on-peak electricity.</w:t>
      </w:r>
    </w:p>
    <w:p>
      <w:pPr>
        <w:pStyle w:val="CameraReadyTableTitle"/>
        <w:pBdr>
          <w:bottom w:val="nil"/>
        </w:pBdr>
        <w:rPr>
          <w:b w:val="false"/>
          <w:sz w:val="14"/>
        </w:rPr>
      </w:pPr>
      <w:r>
        <w:rPr>
          <w:b w:val="false"/>
          <w:sz w:val="14"/>
        </w:rPr>
      </w:r>
    </w:p>
    <w:p>
      <w:pPr>
        <w:pStyle w:val="CameraReadyTableTitle"/>
        <w:pBdr>
          <w:bottom w:val="single" w:sz="4" w:space="1" w:color="000000"/>
        </w:pBdr>
        <w:spacing w:before="0" w:after="240"/>
        <w:rPr>
          <w:b w:val="false"/>
          <w:sz w:val="14"/>
        </w:rPr>
      </w:pPr>
      <w:r>
        <w:rPr>
          <w:b w:val="false"/>
          <w:sz w:val="14"/>
        </w:rPr>
        <w:t>Source: Power Markets Week, CSFB</w:t>
      </w:r>
    </w:p>
    <w:p>
      <w:pPr>
        <w:pStyle w:val="CameraReadyTableTitle"/>
        <w:pBdr>
          <w:bottom w:val="nil"/>
        </w:pBdr>
        <w:spacing w:before="240" w:after="0"/>
        <w:rPr/>
      </w:pPr>
      <w:r>
        <w:rPr>
          <w:i/>
        </w:rPr>
        <w:t>Exhibit 11:</w:t>
      </w:r>
      <w:r>
        <w:rPr/>
        <w:t xml:space="preserve"> On-Peak Spot Electricity Price Index Year-Over-Year Comparison</w:t>
      </w:r>
    </w:p>
    <w:p>
      <w:pPr>
        <w:pStyle w:val="CameraReadyTableSubtitle"/>
        <w:pBdr>
          <w:bottom w:val="single" w:sz="4" w:space="1" w:color="000000"/>
        </w:pBdr>
        <w:spacing w:before="0" w:after="120"/>
        <w:rPr/>
      </w:pPr>
      <w:r>
        <w:rPr/>
        <w:t>$ per Mwh</w:t>
      </w:r>
    </w:p>
    <w:p>
      <w:pPr>
        <w:pStyle w:val="CameraReadyTableTitle"/>
        <w:pBdr>
          <w:bottom w:val="nil"/>
        </w:pBdr>
        <w:spacing w:before="120" w:after="0"/>
        <w:jc w:val="center"/>
        <w:rPr>
          <w:b w:val="false"/>
          <w:sz w:val="16"/>
        </w:rPr>
      </w:pPr>
      <w:r>
        <w:rPr>
          <w:sz w:val="16"/>
        </w:rPr>
        <w:drawing>
          <wp:inline distT="0" distB="0" distL="0" distR="0">
            <wp:extent cx="5917565" cy="1443355"/>
            <wp:effectExtent l="0" t="0" r="0" b="0"/>
            <wp:docPr id="12"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 descr="" title=""/>
                    <pic:cNvPicPr>
                      <a:picLocks noChangeAspect="1" noChangeArrowheads="1"/>
                    </pic:cNvPicPr>
                  </pic:nvPicPr>
                  <pic:blipFill>
                    <a:blip r:embed="rId28"/>
                    <a:srcRect l="-5" t="-20" r="-5" b="-20"/>
                    <a:stretch>
                      <a:fillRect/>
                    </a:stretch>
                  </pic:blipFill>
                  <pic:spPr bwMode="auto">
                    <a:xfrm>
                      <a:off x="0" y="0"/>
                      <a:ext cx="5917565" cy="1443355"/>
                    </a:xfrm>
                    <a:prstGeom prst="rect">
                      <a:avLst/>
                    </a:prstGeom>
                    <a:noFill/>
                  </pic:spPr>
                </pic:pic>
              </a:graphicData>
            </a:graphic>
          </wp:inline>
        </w:drawing>
      </w:r>
    </w:p>
    <w:p>
      <w:pPr>
        <w:pStyle w:val="CameraReadyTableTitle"/>
        <w:pBdr>
          <w:bottom w:val="nil"/>
        </w:pBdr>
        <w:spacing w:before="120" w:after="0"/>
        <w:rPr/>
      </w:pPr>
      <w:r>
        <w:rPr>
          <w:b w:val="false"/>
          <w:sz w:val="14"/>
        </w:rPr>
        <w:t>Note: NE (New England), CIN (Cinergy), SERC (SERC), NP15 (California North Path 15), NYW (NY West), ERCOT (ERCOT)</w:t>
      </w:r>
    </w:p>
    <w:p>
      <w:pPr>
        <w:sectPr>
          <w:headerReference w:type="default" r:id="rId29"/>
          <w:headerReference w:type="first" r:id="rId30"/>
          <w:footerReference w:type="default" r:id="rId31"/>
          <w:footerReference w:type="first" r:id="rId32"/>
          <w:type w:val="nextPage"/>
          <w:pgSz w:w="12240" w:h="15840"/>
          <w:pgMar w:left="1714" w:right="1195" w:gutter="0" w:header="547" w:top="1627" w:footer="360" w:bottom="1080"/>
          <w:pgNumType w:fmt="decimal"/>
          <w:formProt w:val="false"/>
          <w:textDirection w:val="lrTb"/>
          <w:docGrid w:type="default" w:linePitch="360" w:charSpace="0"/>
        </w:sectPr>
        <w:pStyle w:val="CameraReadyTableTitle"/>
        <w:rPr>
          <w:b w:val="false"/>
          <w:sz w:val="14"/>
        </w:rPr>
      </w:pPr>
      <w:r>
        <w:rPr>
          <w:b w:val="false"/>
          <w:sz w:val="14"/>
        </w:rPr>
        <w:t>Source: Power Markets Week, CSFB</w:t>
      </w:r>
    </w:p>
    <w:p>
      <w:pPr>
        <w:pStyle w:val="CameraReadyTableTitle"/>
        <w:pBdr>
          <w:bottom w:val="nil"/>
        </w:pBdr>
        <w:rPr/>
      </w:pPr>
      <w:r>
        <w:rPr>
          <w:i/>
        </w:rPr>
        <w:t xml:space="preserve">Exhibit 12: </w:t>
      </w:r>
      <w:r>
        <w:rPr/>
        <w:t>Mirant National Power Index</w:t>
      </w:r>
    </w:p>
    <w:p>
      <w:pPr>
        <w:pStyle w:val="CameraReadyTableTitle"/>
        <w:pBdr>
          <w:bottom w:val="single" w:sz="4" w:space="1" w:color="000000"/>
        </w:pBdr>
        <w:rPr/>
      </w:pPr>
      <w:r>
        <w:rPr/>
        <w:t>$ per Mwh</w:t>
      </w:r>
    </w:p>
    <w:p>
      <w:pPr>
        <w:pStyle w:val="CameraReadyTableTitle"/>
        <w:pBdr>
          <w:bottom w:val="nil"/>
        </w:pBdr>
        <w:spacing w:before="120" w:after="0"/>
        <w:jc w:val="center"/>
        <w:rPr>
          <w:b w:val="false"/>
          <w:i/>
          <w:i/>
        </w:rPr>
      </w:pPr>
      <w:r>
        <w:rPr>
          <w:i/>
        </w:rPr>
        <w:drawing>
          <wp:inline distT="0" distB="0" distL="0" distR="0">
            <wp:extent cx="5183505" cy="2122805"/>
            <wp:effectExtent l="0" t="0" r="0" b="0"/>
            <wp:docPr id="13"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1" descr="" title=""/>
                    <pic:cNvPicPr>
                      <a:picLocks noChangeAspect="1" noChangeArrowheads="1"/>
                    </pic:cNvPicPr>
                  </pic:nvPicPr>
                  <pic:blipFill>
                    <a:blip r:embed="rId33"/>
                    <a:srcRect l="-5" t="-13" r="-5" b="-13"/>
                    <a:stretch>
                      <a:fillRect/>
                    </a:stretch>
                  </pic:blipFill>
                  <pic:spPr bwMode="auto">
                    <a:xfrm>
                      <a:off x="0" y="0"/>
                      <a:ext cx="5183505" cy="2122805"/>
                    </a:xfrm>
                    <a:prstGeom prst="rect">
                      <a:avLst/>
                    </a:prstGeom>
                    <a:noFill/>
                  </pic:spPr>
                </pic:pic>
              </a:graphicData>
            </a:graphic>
          </wp:inline>
        </w:drawing>
      </w:r>
    </w:p>
    <w:p>
      <w:pPr>
        <w:pStyle w:val="CameraReadyTableTitle"/>
        <w:pBdr>
          <w:bottom w:val="nil"/>
        </w:pBdr>
        <w:jc w:val="center"/>
        <w:rPr>
          <w:b w:val="false"/>
          <w:i/>
          <w:i/>
          <w:sz w:val="16"/>
        </w:rPr>
      </w:pPr>
      <w:r>
        <w:rPr>
          <w:b w:val="false"/>
          <w:i/>
          <w:sz w:val="16"/>
        </w:rPr>
      </w:r>
    </w:p>
    <w:p>
      <w:pPr>
        <w:pStyle w:val="TableFooter"/>
        <w:pBdr>
          <w:bottom w:val="single" w:sz="4" w:space="1" w:color="000000"/>
        </w:pBdr>
        <w:rPr/>
      </w:pPr>
      <w:r>
        <w:rPr/>
        <w:t>Source: Wall Street Journal</w:t>
      </w:r>
    </w:p>
    <w:p>
      <w:pPr>
        <w:pStyle w:val="CameraReadyTableTitle"/>
        <w:pBdr>
          <w:bottom w:val="nil"/>
        </w:pBdr>
        <w:rPr>
          <w:i/>
          <w:i/>
        </w:rPr>
      </w:pPr>
      <w:r>
        <w:rPr>
          <w:i/>
        </w:rPr>
      </w:r>
    </w:p>
    <w:p>
      <w:pPr>
        <w:pStyle w:val="CameraReadyTableTitle"/>
        <w:pBdr>
          <w:bottom w:val="nil"/>
        </w:pBdr>
        <w:rPr>
          <w:i/>
          <w:i/>
        </w:rPr>
      </w:pPr>
      <w:r>
        <w:rPr>
          <w:i/>
        </w:rPr>
      </w:r>
    </w:p>
    <w:p>
      <w:pPr>
        <w:pStyle w:val="CameraReadyTableTitle"/>
        <w:pBdr>
          <w:bottom w:val="nil"/>
        </w:pBdr>
        <w:rPr>
          <w:i/>
          <w:i/>
        </w:rPr>
      </w:pPr>
      <w:r>
        <w:rPr>
          <w:i/>
        </w:rPr>
      </w:r>
    </w:p>
    <w:p>
      <w:pPr>
        <w:pStyle w:val="CameraReadyTableTitle"/>
        <w:pBdr>
          <w:bottom w:val="nil"/>
        </w:pBdr>
        <w:rPr>
          <w:i/>
          <w:i/>
        </w:rPr>
      </w:pPr>
      <w:r>
        <w:rPr>
          <w:i/>
        </w:rPr>
      </w:r>
    </w:p>
    <w:p>
      <w:pPr>
        <w:pStyle w:val="CameraReadyTableTitle"/>
        <w:pBdr>
          <w:bottom w:val="nil"/>
        </w:pBdr>
        <w:rPr/>
      </w:pPr>
      <w:r>
        <w:rPr>
          <w:i/>
        </w:rPr>
        <w:t xml:space="preserve">Exhibit 13: </w:t>
      </w:r>
      <w:r>
        <w:rPr/>
        <w:t>Natural Gas Spot Wellhead Composite</w:t>
      </w:r>
    </w:p>
    <w:p>
      <w:pPr>
        <w:pStyle w:val="CameraReadyTableSubtitle"/>
        <w:rPr/>
      </w:pPr>
      <w:r>
        <w:rPr/>
        <w:t>$/MMBtu</w:t>
      </w:r>
    </w:p>
    <w:p>
      <w:pPr>
        <w:pStyle w:val="NB"/>
        <w:pBdr>
          <w:top w:val="nil"/>
        </w:pBdr>
        <w:rPr/>
      </w:pPr>
      <w:r>
        <w:rPr/>
      </w:r>
    </w:p>
    <w:p>
      <w:pPr>
        <w:pStyle w:val="NB"/>
        <w:pBdr>
          <w:top w:val="nil"/>
        </w:pBdr>
        <w:jc w:val="center"/>
        <w:rPr/>
      </w:pPr>
      <w:r>
        <w:rPr/>
        <w:drawing>
          <wp:inline distT="0" distB="0" distL="0" distR="0">
            <wp:extent cx="4512310" cy="2491105"/>
            <wp:effectExtent l="0" t="0" r="0" b="0"/>
            <wp:docPr id="14"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 descr="" title=""/>
                    <pic:cNvPicPr>
                      <a:picLocks noChangeAspect="1" noChangeArrowheads="1"/>
                    </pic:cNvPicPr>
                  </pic:nvPicPr>
                  <pic:blipFill>
                    <a:blip r:embed="rId34"/>
                    <a:srcRect l="-7" t="-13" r="-7" b="-13"/>
                    <a:stretch>
                      <a:fillRect/>
                    </a:stretch>
                  </pic:blipFill>
                  <pic:spPr bwMode="auto">
                    <a:xfrm>
                      <a:off x="0" y="0"/>
                      <a:ext cx="4512310" cy="2491105"/>
                    </a:xfrm>
                    <a:prstGeom prst="rect">
                      <a:avLst/>
                    </a:prstGeom>
                    <a:noFill/>
                  </pic:spPr>
                </pic:pic>
              </a:graphicData>
            </a:graphic>
          </wp:inline>
        </w:drawing>
      </w:r>
    </w:p>
    <w:p>
      <w:pPr>
        <w:pStyle w:val="CameraReadyTableTitle"/>
        <w:pBdr>
          <w:bottom w:val="nil"/>
        </w:pBdr>
        <w:rPr>
          <w:b w:val="false"/>
          <w:sz w:val="16"/>
        </w:rPr>
      </w:pPr>
      <w:r>
        <w:rPr>
          <w:b w:val="false"/>
          <w:sz w:val="16"/>
        </w:rPr>
      </w:r>
    </w:p>
    <w:p>
      <w:pPr>
        <w:sectPr>
          <w:headerReference w:type="default" r:id="rId35"/>
          <w:headerReference w:type="first" r:id="rId36"/>
          <w:footerReference w:type="default" r:id="rId37"/>
          <w:footerReference w:type="first" r:id="rId38"/>
          <w:type w:val="nextPage"/>
          <w:pgSz w:w="12240" w:h="15840"/>
          <w:pgMar w:left="1714" w:right="1195" w:gutter="0" w:header="547" w:top="1627" w:footer="360" w:bottom="1080"/>
          <w:pgNumType w:fmt="decimal"/>
          <w:formProt w:val="false"/>
          <w:textDirection w:val="lrTb"/>
          <w:docGrid w:type="default" w:linePitch="360" w:charSpace="0"/>
        </w:sectPr>
        <w:pStyle w:val="TableFooter"/>
        <w:pBdr>
          <w:bottom w:val="single" w:sz="4" w:space="1" w:color="000000"/>
        </w:pBdr>
        <w:rPr>
          <w:i/>
          <w:i/>
        </w:rPr>
      </w:pPr>
      <w:r>
        <w:rPr/>
        <w:t>Sources:  Natural Gas Week, CSFB estimates</w:t>
      </w:r>
    </w:p>
    <w:p>
      <w:pPr>
        <w:pStyle w:val="CameraReadyTableTitle"/>
        <w:rPr>
          <w:i/>
          <w:i/>
        </w:rPr>
      </w:pPr>
      <w:r>
        <w:rPr>
          <w:i/>
        </w:rPr>
        <w:t>Exhibit 14:  Current Spreads for Selected IPPs / Projects</w:t>
      </w:r>
    </w:p>
    <w:p>
      <w:pPr>
        <w:pStyle w:val="CameraReadyTableSubtitle"/>
        <w:rPr/>
      </w:pPr>
      <w:r>
        <w:rPr/>
        <w:t>Current Spread As of 5/29/01</w:t>
      </w:r>
    </w:p>
    <w:p>
      <w:pPr>
        <w:pStyle w:val="Text"/>
        <w:rPr/>
      </w:pPr>
      <w:r>
        <w:rPr/>
      </w:r>
    </w:p>
    <w:p>
      <w:pPr>
        <w:pStyle w:val="Text"/>
        <w:jc w:val="center"/>
        <w:rPr/>
      </w:pPr>
      <w:r>
        <w:rPr/>
        <w:drawing>
          <wp:inline distT="0" distB="0" distL="0" distR="0">
            <wp:extent cx="8335010" cy="2386965"/>
            <wp:effectExtent l="0" t="0" r="0" b="0"/>
            <wp:docPr id="15"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3" descr="" title=""/>
                    <pic:cNvPicPr>
                      <a:picLocks noChangeAspect="1" noChangeArrowheads="1"/>
                    </pic:cNvPicPr>
                  </pic:nvPicPr>
                  <pic:blipFill>
                    <a:blip r:embed="rId39"/>
                    <a:srcRect l="-4" t="-12" r="-4" b="-12"/>
                    <a:stretch>
                      <a:fillRect/>
                    </a:stretch>
                  </pic:blipFill>
                  <pic:spPr bwMode="auto">
                    <a:xfrm>
                      <a:off x="0" y="0"/>
                      <a:ext cx="8335010" cy="2386965"/>
                    </a:xfrm>
                    <a:prstGeom prst="rect">
                      <a:avLst/>
                    </a:prstGeom>
                    <a:noFill/>
                  </pic:spPr>
                </pic:pic>
              </a:graphicData>
            </a:graphic>
          </wp:inline>
        </w:drawing>
      </w:r>
    </w:p>
    <w:p>
      <w:pPr>
        <w:pStyle w:val="TableFooter"/>
        <w:pBdr>
          <w:bottom w:val="single" w:sz="4" w:space="1" w:color="000000"/>
        </w:pBdr>
        <w:rPr/>
      </w:pPr>
      <w:r>
        <w:rPr/>
        <w:t>Source: CSFB</w:t>
      </w:r>
    </w:p>
    <w:p>
      <w:pPr>
        <w:sectPr>
          <w:headerReference w:type="default" r:id="rId40"/>
          <w:headerReference w:type="first" r:id="rId41"/>
          <w:footerReference w:type="default" r:id="rId42"/>
          <w:footerReference w:type="first" r:id="rId43"/>
          <w:type w:val="nextPage"/>
          <w:pgSz w:orient="landscape" w:w="15840" w:h="12240"/>
          <w:pgMar w:left="1080" w:right="1627" w:gutter="0" w:header="547" w:top="1440" w:footer="360" w:bottom="1195"/>
          <w:pgNumType w:fmt="decimal"/>
          <w:formProt w:val="false"/>
          <w:textDirection w:val="lrTb"/>
          <w:docGrid w:type="default" w:linePitch="360" w:charSpace="0"/>
        </w:sectPr>
      </w:pPr>
      <w:r>
        <w:br w:type="page"/>
      </w:r>
    </w:p>
    <w:p>
      <w:pPr>
        <w:pStyle w:val="officename"/>
        <w:rPr/>
      </w:pPr>
      <w:r>
        <w:rPr/>
        <w:t>AMSTERDAM</w:t>
        <w:tab/>
        <w:t>31 20 5754 890</w:t>
      </w:r>
    </w:p>
    <w:p>
      <w:pPr>
        <w:pStyle w:val="officename"/>
        <w:rPr/>
      </w:pPr>
      <w:r>
        <w:rPr/>
        <w:t>ATLANTA</w:t>
        <w:tab/>
        <w:t>1 404 656 9500</w:t>
      </w:r>
    </w:p>
    <w:p>
      <w:pPr>
        <w:pStyle w:val="officename"/>
        <w:rPr/>
      </w:pPr>
      <w:r>
        <w:rPr/>
        <w:t>AUCKLAND</w:t>
        <w:tab/>
        <w:t>64 9 302 5500</w:t>
      </w:r>
    </w:p>
    <w:p>
      <w:pPr>
        <w:pStyle w:val="officename"/>
        <w:rPr/>
      </w:pPr>
      <w:r>
        <w:rPr/>
        <w:t>BALTIMORE</w:t>
        <w:tab/>
        <w:t>1 410 223 3000</w:t>
      </w:r>
    </w:p>
    <w:p>
      <w:pPr>
        <w:pStyle w:val="officename"/>
        <w:rPr/>
      </w:pPr>
      <w:r>
        <w:rPr/>
        <w:t>BEIJING</w:t>
        <w:tab/>
        <w:t>86 10 6410 6611</w:t>
      </w:r>
    </w:p>
    <w:p>
      <w:pPr>
        <w:pStyle w:val="officename"/>
        <w:rPr/>
      </w:pPr>
      <w:r>
        <w:rPr/>
        <w:t>BOSTON</w:t>
        <w:tab/>
        <w:t>1 617 556 5500</w:t>
      </w:r>
    </w:p>
    <w:p>
      <w:pPr>
        <w:pStyle w:val="officename"/>
        <w:rPr/>
      </w:pPr>
      <w:r>
        <w:rPr/>
        <w:t>BUDAPEST</w:t>
        <w:tab/>
        <w:t>36 1 202 2188</w:t>
      </w:r>
    </w:p>
    <w:p>
      <w:pPr>
        <w:pStyle w:val="officename"/>
        <w:rPr/>
      </w:pPr>
      <w:r>
        <w:rPr/>
        <w:t>BUENOS AIRES</w:t>
        <w:tab/>
        <w:t>54 11 4394 3100</w:t>
      </w:r>
    </w:p>
    <w:p>
      <w:pPr>
        <w:pStyle w:val="officename"/>
        <w:rPr/>
      </w:pPr>
      <w:r>
        <w:rPr/>
        <w:t>CHICAGO</w:t>
        <w:tab/>
        <w:t>1 312 750 3000</w:t>
      </w:r>
    </w:p>
    <w:p>
      <w:pPr>
        <w:pStyle w:val="officename"/>
        <w:rPr/>
      </w:pPr>
      <w:r>
        <w:rPr/>
        <w:t>FRANKFURT</w:t>
        <w:tab/>
        <w:t>49 69 75 38 0</w:t>
      </w:r>
    </w:p>
    <w:p>
      <w:pPr>
        <w:pStyle w:val="officename"/>
        <w:rPr/>
      </w:pPr>
      <w:r>
        <w:rPr/>
        <w:t>GENEVA</w:t>
        <w:tab/>
        <w:t>41 22 394 70 00</w:t>
      </w:r>
    </w:p>
    <w:p>
      <w:pPr>
        <w:pStyle w:val="officename"/>
        <w:rPr/>
      </w:pPr>
      <w:r>
        <w:rPr/>
        <w:t>HOUSTON</w:t>
        <w:tab/>
        <w:t>1 713 220 6700</w:t>
      </w:r>
    </w:p>
    <w:p>
      <w:pPr>
        <w:pStyle w:val="officename"/>
        <w:rPr/>
      </w:pPr>
      <w:r>
        <w:rPr/>
        <w:t>HONG KONG</w:t>
        <w:tab/>
        <w:t>852 2101 6000</w:t>
      </w:r>
    </w:p>
    <w:p>
      <w:pPr>
        <w:pStyle w:val="officename"/>
        <w:rPr/>
      </w:pPr>
      <w:r>
        <w:rPr/>
      </w:r>
    </w:p>
    <w:p>
      <w:pPr>
        <w:pStyle w:val="officename"/>
        <w:rPr/>
      </w:pPr>
      <w:r>
        <w:br w:type="column"/>
      </w:r>
      <w:r>
        <w:rPr/>
        <w:t>LONDON</w:t>
        <w:tab/>
        <w:t>44 20 7888 8888</w:t>
      </w:r>
    </w:p>
    <w:p>
      <w:pPr>
        <w:pStyle w:val="officename"/>
        <w:rPr/>
      </w:pPr>
      <w:r>
        <w:rPr/>
        <w:t>MADRID</w:t>
        <w:tab/>
        <w:t>34 91 423 16 00</w:t>
      </w:r>
    </w:p>
    <w:p>
      <w:pPr>
        <w:pStyle w:val="officename"/>
        <w:rPr/>
      </w:pPr>
      <w:r>
        <w:rPr/>
        <w:t>MELBOURNE</w:t>
        <w:tab/>
        <w:t>61 3 9280 1666</w:t>
      </w:r>
    </w:p>
    <w:p>
      <w:pPr>
        <w:pStyle w:val="officename"/>
        <w:rPr/>
      </w:pPr>
      <w:r>
        <w:rPr/>
        <w:t>MEXICO</w:t>
        <w:tab/>
        <w:t>52 5 283 89 00</w:t>
      </w:r>
    </w:p>
    <w:p>
      <w:pPr>
        <w:pStyle w:val="officename"/>
        <w:rPr/>
      </w:pPr>
      <w:r>
        <w:rPr/>
        <w:t>MILAN</w:t>
        <w:tab/>
        <w:t>39 02 7702 1</w:t>
      </w:r>
    </w:p>
    <w:p>
      <w:pPr>
        <w:pStyle w:val="officename"/>
        <w:rPr/>
      </w:pPr>
      <w:r>
        <w:rPr/>
        <w:t>MOSCOW</w:t>
        <w:tab/>
        <w:t>7 501 967 8200</w:t>
      </w:r>
    </w:p>
    <w:p>
      <w:pPr>
        <w:pStyle w:val="officename"/>
        <w:rPr/>
      </w:pPr>
      <w:r>
        <w:rPr/>
        <w:t>MUMBAI</w:t>
        <w:tab/>
        <w:t>91 22 230 6333</w:t>
      </w:r>
    </w:p>
    <w:p>
      <w:pPr>
        <w:pStyle w:val="officename"/>
        <w:rPr/>
      </w:pPr>
      <w:r>
        <w:rPr/>
        <w:t>NEW YORK</w:t>
        <w:tab/>
        <w:t>1 212 325 2000</w:t>
      </w:r>
    </w:p>
    <w:p>
      <w:pPr>
        <w:pStyle w:val="officename"/>
        <w:rPr/>
      </w:pPr>
      <w:r>
        <w:rPr/>
        <w:t>PALO ALTO</w:t>
        <w:tab/>
        <w:t>1 650 614 5000</w:t>
      </w:r>
    </w:p>
    <w:p>
      <w:pPr>
        <w:pStyle w:val="officename"/>
        <w:rPr/>
      </w:pPr>
      <w:r>
        <w:rPr/>
        <w:t>PARIS</w:t>
        <w:tab/>
        <w:t>33 1 40 76 8888</w:t>
      </w:r>
    </w:p>
    <w:p>
      <w:pPr>
        <w:pStyle w:val="officename"/>
        <w:rPr/>
      </w:pPr>
      <w:r>
        <w:rPr/>
        <w:t>PASADENA</w:t>
        <w:tab/>
        <w:t>1 626 395 5100</w:t>
      </w:r>
    </w:p>
    <w:p>
      <w:pPr>
        <w:pStyle w:val="officename"/>
        <w:rPr/>
      </w:pPr>
      <w:r>
        <w:rPr/>
        <w:t>PHILADELPHIA</w:t>
        <w:tab/>
        <w:t>1 215 851 1000</w:t>
      </w:r>
    </w:p>
    <w:p>
      <w:pPr>
        <w:pStyle w:val="officename"/>
        <w:rPr/>
      </w:pPr>
      <w:r>
        <w:rPr/>
        <w:t>PRAGUE</w:t>
        <w:tab/>
        <w:t>420 2 210 83111</w:t>
      </w:r>
    </w:p>
    <w:p>
      <w:pPr>
        <w:pStyle w:val="officename"/>
        <w:rPr/>
      </w:pPr>
      <w:r>
        <w:rPr/>
      </w:r>
    </w:p>
    <w:p>
      <w:pPr>
        <w:pStyle w:val="officename"/>
        <w:rPr/>
      </w:pPr>
      <w:r>
        <w:br w:type="column"/>
      </w:r>
      <w:r>
        <w:rPr/>
        <w:t>SAN FRANCISCO</w:t>
        <w:tab/>
        <w:t>1 415 836 7600</w:t>
      </w:r>
    </w:p>
    <w:p>
      <w:pPr>
        <w:pStyle w:val="officename"/>
        <w:rPr/>
      </w:pPr>
      <w:r>
        <w:rPr/>
        <w:t>SÃO PAULO</w:t>
        <w:tab/>
        <w:t>55 11 3841 6000</w:t>
      </w:r>
    </w:p>
    <w:p>
      <w:pPr>
        <w:pStyle w:val="officename"/>
        <w:rPr/>
      </w:pPr>
      <w:r>
        <w:rPr/>
        <w:t>SEOUL</w:t>
        <w:tab/>
        <w:t>82 2 3707 3700</w:t>
      </w:r>
    </w:p>
    <w:p>
      <w:pPr>
        <w:pStyle w:val="officename"/>
        <w:rPr/>
      </w:pPr>
      <w:r>
        <w:rPr/>
        <w:t>SHANGHAI</w:t>
        <w:tab/>
        <w:t>86 21 6881 8418</w:t>
      </w:r>
    </w:p>
    <w:p>
      <w:pPr>
        <w:pStyle w:val="officename"/>
        <w:rPr/>
      </w:pPr>
      <w:r>
        <w:rPr/>
        <w:t>SINGAPORE</w:t>
        <w:tab/>
        <w:t>65 538 6322</w:t>
      </w:r>
    </w:p>
    <w:p>
      <w:pPr>
        <w:pStyle w:val="officename"/>
        <w:rPr/>
      </w:pPr>
      <w:r>
        <w:rPr/>
        <w:t>SYDNEY</w:t>
        <w:tab/>
        <w:t>61 2 8205 4400</w:t>
      </w:r>
    </w:p>
    <w:p>
      <w:pPr>
        <w:pStyle w:val="officename"/>
        <w:rPr/>
      </w:pPr>
      <w:r>
        <w:rPr/>
        <w:t>TAIPEI</w:t>
        <w:tab/>
        <w:t>886 2 2715 6388</w:t>
      </w:r>
    </w:p>
    <w:p>
      <w:pPr>
        <w:pStyle w:val="officename"/>
        <w:rPr/>
      </w:pPr>
      <w:r>
        <w:rPr/>
        <w:t>TOKYO</w:t>
        <w:tab/>
        <w:t>81 3 5404 9000</w:t>
      </w:r>
    </w:p>
    <w:p>
      <w:pPr>
        <w:pStyle w:val="officename"/>
        <w:rPr/>
      </w:pPr>
      <w:r>
        <w:rPr/>
        <w:t>TORONTO</w:t>
        <w:tab/>
        <w:t>1 416 352 4500</w:t>
      </w:r>
    </w:p>
    <w:p>
      <w:pPr>
        <w:pStyle w:val="officename"/>
        <w:rPr/>
      </w:pPr>
      <w:r>
        <w:rPr/>
        <w:t>VIENNA</w:t>
        <w:tab/>
        <w:t>43 1 512 3023</w:t>
      </w:r>
    </w:p>
    <w:p>
      <w:pPr>
        <w:pStyle w:val="officename"/>
        <w:rPr/>
      </w:pPr>
      <w:r>
        <w:rPr/>
        <w:t>WARSAW</w:t>
        <w:tab/>
        <w:t>48 22 695 0050</w:t>
      </w:r>
    </w:p>
    <w:p>
      <w:pPr>
        <w:pStyle w:val="officename"/>
        <w:rPr/>
      </w:pPr>
      <w:r>
        <w:rPr/>
        <w:t>WELLINGTON</w:t>
        <w:tab/>
        <w:t>64 4 474 4400</w:t>
      </w:r>
    </w:p>
    <w:p>
      <w:pPr>
        <w:pStyle w:val="officename"/>
        <w:rPr/>
      </w:pPr>
      <w:r>
        <w:rPr/>
        <w:t>ZUG</w:t>
        <w:tab/>
        <w:t>41 41 727 97 00</w:t>
      </w:r>
    </w:p>
    <w:p>
      <w:pPr>
        <w:pStyle w:val="officename"/>
        <w:rPr/>
      </w:pPr>
      <w:r>
        <w:rPr/>
        <w:t>ZURICH</w:t>
        <w:tab/>
        <w:t>41 1 333 55 55</w:t>
      </w:r>
    </w:p>
    <w:p>
      <w:pPr>
        <w:pStyle w:val="Text"/>
        <w:spacing w:before="0" w:after="0"/>
        <w:rPr/>
      </w:pPr>
      <w:r>
        <w:rPr/>
      </w:r>
    </w:p>
    <w:p>
      <w:pPr>
        <w:sectPr>
          <w:headerReference w:type="default" r:id="rId44"/>
          <w:headerReference w:type="first" r:id="rId45"/>
          <w:footerReference w:type="default" r:id="rId46"/>
          <w:footerReference w:type="first" r:id="rId47"/>
          <w:type w:val="nextPage"/>
          <w:pgSz w:w="12240" w:h="15840"/>
          <w:pgMar w:left="1440" w:right="1195" w:gutter="0" w:header="547" w:top="1980" w:footer="675" w:bottom="1080"/>
          <w:pgNumType w:fmt="decimal"/>
          <w:cols w:num="3" w:space="708" w:equalWidth="true" w:sep="false"/>
          <w:formProt w:val="false"/>
          <w:textDirection w:val="lrTb"/>
          <w:docGrid w:type="default" w:linePitch="360" w:charSpace="0"/>
        </w:sectPr>
      </w:pPr>
    </w:p>
    <w:p>
      <w:pPr>
        <w:pStyle w:val="Disclaimer"/>
        <w:rPr/>
      </w:pPr>
      <w:r>
        <w:rPr/>
        <w:t>Copyright Credit Suisse First Boston, and its subsidiaries and affiliates, 2000.  All rights reserved.</w:t>
      </w:r>
    </w:p>
    <w:p>
      <w:pPr>
        <w:pStyle w:val="Disclaimer"/>
        <w:rPr/>
      </w:pPr>
      <w:r>
        <w:rPr/>
        <w:t>This report is</w:t>
      </w:r>
      <w:r>
        <w:rPr>
          <w:lang w:eastAsia="en-US"/>
        </w:rPr>
        <w:t xml:space="preserve"> not directed to, or intended for distribution to or use by, any person or entity who is a citizen or resident of or located in any locality, state, country or other jurisdiction where such distribution, publication, availability or use would be contrary to law or regulation or which would subject Credit Suisse First Boston or its subsidiaries or affiliates (collectively "CSFB") to any registration or licensing requirement within such jurisdiction. </w:t>
      </w:r>
      <w:r>
        <w:rPr/>
        <w:t xml:space="preserve">All material presented in this report, unless specifically indicated otherwise, is under copyright to CSFB. None of the material, nor its content, nor any copy of it, may be altered in any way, transmitted to, or distributed to any other party, without the prior express written permission of CSFB. All trademarks, service marks and logos used in this report are trademarks or service marks or registered trademarks or service marks of CSFB. </w:t>
      </w:r>
    </w:p>
    <w:p>
      <w:pPr>
        <w:pStyle w:val="Disclaimer"/>
        <w:rPr/>
      </w:pPr>
      <w:r>
        <w:rPr/>
        <w:t xml:space="preserve">The information, tools and material presented in this report are provided to you for information purposes only and are not to be used or considered as an offer or the solicitation of an offer to sell or to buy or subscribe for securities or other financial instruments. CSFB has not taken any steps to ensure that the securities referred to in this report are suitable for any particular investor. </w:t>
      </w:r>
    </w:p>
    <w:p>
      <w:pPr>
        <w:pStyle w:val="Disclaimer"/>
        <w:rPr/>
      </w:pPr>
      <w:r>
        <w:rPr/>
        <w:t>Information and opinions presented in this report have been obtained or derived from sources believed by CSFB to be reliable, but CSFB makes no representation as to their accuracy or completeness and CSFB accepts no liability for loss arising from the use of the material presented in this report where permitted by law and/or regulation. This report is not to be relied upon in substitution for the exercise of independent judgment. CSFB may have issued other reports that are inconsistent with, and reach different conclusions from, the information presented in this report. Those reports reflect the different assumptions, views and analytical methods of the analysts who prepared them.</w:t>
      </w:r>
      <w:r>
        <w:rPr>
          <w:lang w:eastAsia="en-US"/>
        </w:rPr>
        <w:t xml:space="preserve"> </w:t>
      </w:r>
    </w:p>
    <w:p>
      <w:pPr>
        <w:pStyle w:val="Disclaimer"/>
        <w:rPr/>
      </w:pPr>
      <w:r>
        <w:rPr/>
        <w:t>CSFB may, to the extent permitted by law, participate or invest in financing transactions with the issuer(s) of the securities referred to in this report, perform services for or solicit business from such issuers, and/or have a position or effect transactions in the securities or options thereon. In addition, it may make markets in the securities mentioned in the material presented in this report. CSFB may, to the extent permitted by law, act upon or use the information or opinions presented herein, or the research or analysis on which they are based, before the material is published. CSFB may have, within the last three years, served as manager or co-manager of a public offering of securities for, or currently may make a primary market in issues of, any or all of the companies mentioned in this report. Additional information is available on request</w:t>
      </w:r>
      <w:r>
        <w:rPr>
          <w:b/>
        </w:rPr>
        <w:t>.</w:t>
      </w:r>
    </w:p>
    <w:p>
      <w:pPr>
        <w:pStyle w:val="Disclaimer"/>
        <w:rPr/>
      </w:pPr>
      <w:r>
        <w:rPr/>
        <w:t>Past performance should not be taken as an indication or guarantee of future performance, and no representation or warranty, express or implied, is made regarding future performance. Information, opinions and estimates contained in this report reflect a judgment at its original date of publication by CSFB and are subject to change. The value and income of any of the securities or financial instruments mentioned in this report can fall as well as rise, and is subject to exchange rate fluctuation that may have a positive or adverse effect on the price or income of such securities or financial instruments. Investors in securities such as ADRs, the values of which are influenced by currency fluctuation, effectively assume this risk.</w:t>
      </w:r>
      <w:r>
        <w:rPr>
          <w:i/>
        </w:rPr>
        <w:t xml:space="preserve"> </w:t>
      </w:r>
    </w:p>
    <w:p>
      <w:pPr>
        <w:pStyle w:val="Disclaimer"/>
        <w:rPr/>
      </w:pPr>
      <w:r>
        <w:rPr/>
        <w:t>Structured securities are complex instruments, typically involve a high degree of risk and are intended for sale only to sophisticated investors who are capable of understanding and assuming the risks involved. The market value of any structured security may be affected by changes in economic, financial and political factors (including, but not limited to, spot and forward interest and exchange rates), time to maturity, market conditions and volatility, and the credit quality of any issuer or reference issuer. Any investor interested in purchasing a structured product should conduct its own investigation and analysis of the product and consult with its own professional advisers as to the risks involved in making such a purchase.</w:t>
      </w:r>
      <w:r>
        <w:rPr>
          <w:i/>
        </w:rPr>
        <w:t xml:space="preserve"> </w:t>
      </w:r>
    </w:p>
    <w:p>
      <w:pPr>
        <w:pStyle w:val="Disclaimer"/>
        <w:rPr/>
      </w:pPr>
      <w:r>
        <w:rPr/>
        <w:t xml:space="preserve">This report is distributed in Europe by Credit Suisse First Boston (Europe) Limited, which is regulated in the United Kingdom by </w:t>
      </w:r>
      <w:r>
        <w:rPr>
          <w:lang w:eastAsia="en-US"/>
        </w:rPr>
        <w:t>The Securities and Futures Authority (“SFA”).</w:t>
      </w:r>
      <w:r>
        <w:rPr/>
        <w:t xml:space="preserve"> It is not for distribution to private customers as defined by the rules of The SFA. This report is distributed in the United States by Credit Suisse First Boston Corporation; in Canada by Credit Suisse First Boston Securities Canada, Inc.; in Brazil by Banco de Investimentos Credit Suisse First Boston Garantia S.A.; in Japan by Credit Suisse First Boston Securities (Japan) Limited; elsewhere in Asia/Pacific by Credit Suisse First Boston (Hong Kong) Limited;. Credit Suisse First Boston Australia Equities Limited; Credit Suisse First Boston NZ Securities Limited, Credit Suisse First Boston Singapore Branch and elsewhere in the world by an authorized affiliate.</w:t>
      </w:r>
    </w:p>
    <w:p>
      <w:pPr>
        <w:pStyle w:val="Disclaimer"/>
        <w:rPr/>
      </w:pPr>
      <w:r>
        <w:rPr/>
        <w:t>I</w:t>
      </w:r>
      <w:r>
        <w:rPr>
          <w:lang w:eastAsia="en-US"/>
        </w:rPr>
        <w:t>n jurisdictions where CSFB is not already registered or licensed to trade in securities, transactions will only be effected in accordance with applicable securities legislation, which will vary from jurisdiction to jurisdiction and may require that the trade be made in accordance with applicable exemptions from registration or licensing requirements.</w:t>
      </w:r>
      <w:r>
        <w:rPr/>
        <w:t xml:space="preserve"> Non-U.S. customers wishing to effect a transaction should contact a CSFB entity in their local jurisdiction unless governing law permits otherwise. U.S. customers wishing to effect a transaction should do so only by contacting a representative at Credit Suisse First Boston Corporation in the U.S. </w:t>
      </w:r>
    </w:p>
    <w:p>
      <w:pPr>
        <w:sectPr>
          <w:type w:val="continuous"/>
          <w:pgSz w:w="12240" w:h="15840"/>
          <w:pgMar w:left="1440" w:right="1195" w:gutter="0" w:header="547" w:top="1980" w:footer="675" w:bottom="1080"/>
          <w:formProt w:val="false"/>
          <w:textDirection w:val="lrTb"/>
          <w:docGrid w:type="default" w:linePitch="360" w:charSpace="0"/>
        </w:sectPr>
      </w:pPr>
    </w:p>
    <w:p>
      <w:pPr>
        <w:pStyle w:val="Text"/>
        <w:spacing w:before="0" w:after="60"/>
        <w:jc w:val="both"/>
        <w:rPr/>
      </w:pPr>
      <w:r>
        <w:rPr/>
      </w:r>
    </w:p>
    <w:sectPr>
      <w:type w:val="continuous"/>
      <w:pgSz w:w="12240" w:h="15840"/>
      <w:pgMar w:left="1440" w:right="1195" w:gutter="0" w:header="547" w:top="1980" w:footer="675" w:bottom="108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altName w:val=" helvetica"/>
    <w:charset w:val="00" w:characterSet="windows-1252"/>
    <w:family w:val="swiss"/>
    <w:pitch w:val="variable"/>
  </w:font>
  <w:font w:name="Helvetica">
    <w:altName w:val="Arial"/>
    <w:charset w:val="00" w:characterSet="windows-1252"/>
    <w:family w:val="swiss"/>
    <w:pitch w:val="variable"/>
  </w:font>
  <w:font w:name="Arial Narrow">
    <w:charset w:val="00" w:characterSet="windows-1252"/>
    <w:family w:val="swiss"/>
    <w:pitch w:val="variable"/>
  </w:font>
  <w:font w:name="Wingdings">
    <w:altName w:val="Symbol"/>
    <w:charset w:val="02"/>
    <w:family w:val="auto"/>
    <w:pitch w:val="variable"/>
  </w:font>
  <w:font w:name="Courier New">
    <w:charset w:val="00" w:characterSet="windows-1252"/>
    <w:family w:val="modern"/>
    <w:pitch w:val="default"/>
  </w:font>
  <w:font w:name="Times New Roman">
    <w:altName w:val="Times"/>
    <w:charset w:val="00" w:characterSet="windows-1252"/>
    <w:family w:val="roman"/>
    <w:pitch w:val="variable"/>
  </w:font>
  <w:font w:name="Bookshelf Symbol 3">
    <w:charset w:val="02"/>
    <w:family w:val="roman"/>
    <w:pitch w:val="variable"/>
  </w:font>
  <w:font w:name="Palatino">
    <w:charset w:val="00" w:characterSet="windows-1252"/>
    <w:family w:val="roman"/>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false"/>
      <w:bidi w:val="0"/>
      <w:spacing w:before="0" w:after="120"/>
      <w:jc w:val="both"/>
      <w:rPr/>
    </w:pPr>
    <w:r>
      <w:rPr>
        <w:rStyle w:val="PageNumber"/>
      </w:rPr>
      <w:t>–</w:t>
    </w:r>
    <w:r>
      <w:rPr>
        <w:rStyle w:val="PageNumber"/>
        <w:rFonts w:eastAsia="Arial; helvetica"/>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Fonts w:eastAsia="Arial; helvetica"/>
      </w:rPr>
      <w:t xml:space="preserve"> </w:t>
    </w:r>
    <w:r>
      <w:rPr>
        <w:rStyle w:val="PageNumber"/>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helvetica"/>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Fonts w:eastAsia="Arial; helvetica"/>
      </w:rPr>
      <w:t xml:space="preserve"> </w:t>
    </w:r>
    <w:r>
      <w:rPr>
        <w:rStyle w:val="PageNumber"/>
      </w:rPr>
      <w:t>–</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helvetica"/>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Fonts w:eastAsia="Arial; helvetica"/>
      </w:rPr>
      <w:t xml:space="preserve"> </w:t>
    </w:r>
    <w:r>
      <w:rPr>
        <w:rStyle w:val="PageNumber"/>
      </w:rPr>
      <w:t>–</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Portrait"/>
      <w:rPr/>
    </w:pPr>
    <w:r>
      <w:rPr>
        <w:rStyle w:val="PageNumber"/>
      </w:rPr>
      <w:t>–</w:t>
    </w:r>
    <w:r>
      <w:rPr>
        <w:rStyle w:val="PageNumber"/>
        <w:rFonts w:eastAsia="Arial; helvetica"/>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Fonts w:eastAsia="Arial; helvetica"/>
      </w:rPr>
      <w:t xml:space="preserve"> </w:t>
    </w:r>
    <w:r>
      <w:rPr>
        <w:rStyle w:val="PageNumber"/>
      </w:rPr>
      <w:t>–</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w:instrText>
    </w:r>
    <w:r>
      <w:rPr>
        <w:sz w:val="18"/>
        <w:rFonts w:cs="Arial Narrow" w:ascii="Arial Narrow" w:hAnsi="Arial Narrow"/>
      </w:rPr>
      <w:fldChar w:fldCharType="separate"/>
    </w:r>
    <w:r>
      <w:rPr>
        <w:sz w:val="18"/>
        <w:rFonts w:cs="Arial Narrow" w:ascii="Arial Narrow" w:hAnsi="Arial Narrow"/>
      </w:rPr>
      <w:t>IPW060401.doc</w:t>
    </w:r>
    <w:r>
      <w:rPr>
        <w:sz w:val="18"/>
        <w:rFonts w:cs="Arial Narrow" w:ascii="Arial Narrow" w:hAnsi="Arial Narrow"/>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9" w:color="000000"/>
      </w:pBd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helvetica"/>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Fonts w:eastAsia="Arial; helvetica"/>
      </w:rPr>
      <w:t xml:space="preserve"> </w:t>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helvetica"/>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Fonts w:eastAsia="Arial; helvetica"/>
      </w:rPr>
      <w:t xml:space="preserve"> </w:t>
    </w:r>
    <w:r>
      <w:rPr>
        <w:rStyle w:val="PageNumbe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helvetica"/>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Fonts w:eastAsia="Arial; helvetica"/>
      </w:rPr>
      <w:t xml:space="preserve"> </w:t>
    </w:r>
    <w:r>
      <w:rPr>
        <w:rStyle w:val="PageNumber"/>
      </w:rPr>
      <w:t>–</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helvetica"/>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Fonts w:eastAsia="Arial; helvetica"/>
      </w:rPr>
      <w:t xml:space="preserve"> </w:t>
    </w:r>
    <w:r>
      <w:rPr>
        <w:rStyle w:val="PageNumber"/>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ogoEvenPg"/>
      <w:pBdr>
        <w:bottom w:val="single" w:sz="6" w:space="3" w:color="000000"/>
      </w:pBdr>
      <w:tabs>
        <w:tab w:val="clear" w:pos="4680"/>
        <w:tab w:val="right" w:pos="7200" w:leader="none"/>
      </w:tabs>
      <w:spacing w:before="60" w:after="0"/>
      <w:rPr/>
    </w:pPr>
    <w:r>
      <w:rPr/>
      <w:tab/>
    </w:r>
    <w:r>
      <w:rPr/>
      <w:drawing>
        <wp:inline distT="0" distB="0" distL="0" distR="0">
          <wp:extent cx="1005840" cy="304165"/>
          <wp:effectExtent l="0" t="0" r="0" b="0"/>
          <wp:docPr id="2"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 descr="" title=""/>
                  <pic:cNvPicPr>
                    <a:picLocks noChangeAspect="1" noChangeArrowheads="1"/>
                  </pic:cNvPicPr>
                </pic:nvPicPr>
                <pic:blipFill>
                  <a:blip r:embed="rId1"/>
                  <a:stretch>
                    <a:fillRect/>
                  </a:stretch>
                </pic:blipFill>
                <pic:spPr bwMode="auto">
                  <a:xfrm>
                    <a:off x="0" y="0"/>
                    <a:ext cx="1005840" cy="304165"/>
                  </a:xfrm>
                  <a:prstGeom prst="rect">
                    <a:avLst/>
                  </a:prstGeom>
                </pic:spPr>
              </pic:pic>
            </a:graphicData>
          </a:graphic>
        </wp:inline>
      </w:drawing>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Portrait"/>
      <w:spacing w:before="60" w:after="0"/>
      <w:ind w:hanging="0" w:start="0" w:end="-43"/>
      <w:rPr/>
    </w:pPr>
    <w:r>
      <w:rPr/>
      <w:t>Independent Power Weekly</w:t>
      <w:tab/>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spacing w:before="0" w:after="0"/>
      <w:rPr/>
    </w:pPr>
    <w:r>
      <w:rPr/>
      <w:drawing>
        <wp:inline distT="0" distB="0" distL="0" distR="0">
          <wp:extent cx="1799590" cy="640080"/>
          <wp:effectExtent l="0" t="0" r="0" b="0"/>
          <wp:docPr id="16"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 descr="" title=""/>
                  <pic:cNvPicPr>
                    <a:picLocks noChangeAspect="1" noChangeArrowheads="1"/>
                  </pic:cNvPicPr>
                </pic:nvPicPr>
                <pic:blipFill>
                  <a:blip r:embed="rId1"/>
                  <a:srcRect l="3760" t="-57" r="-19" b="-340"/>
                  <a:stretch>
                    <a:fillRect/>
                  </a:stretch>
                </pic:blipFill>
                <pic:spPr bwMode="auto">
                  <a:xfrm>
                    <a:off x="0" y="0"/>
                    <a:ext cx="1799590" cy="640080"/>
                  </a:xfrm>
                  <a:prstGeom prst="rect">
                    <a:avLst/>
                  </a:prstGeom>
                  <a:noFill/>
                </pic:spPr>
              </pic:pic>
            </a:graphicData>
          </a:graphic>
        </wp:inline>
      </w:drawing>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0"/>
        </w:tabs>
        <w:ind w:start="0" w:hanging="0"/>
      </w:pPr>
      <w:rPr>
        <w:rFonts w:ascii="Symbol" w:hAnsi="Symbol" w:cs="Symbol" w:hint="default"/>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360"/>
        </w:tabs>
        <w:ind w:start="360" w:hanging="360"/>
      </w:pPr>
      <w:rPr>
        <w:sz w:val="18"/>
        <w:i w:val="false"/>
        <w:b/>
        <w:rFonts w:ascii="Arial Narrow" w:hAnsi="Arial Narrow" w:cs="Arial Narrow"/>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decimal"/>
      <w:lvlText w:val="%1)"/>
      <w:lvlJc w:val="start"/>
      <w:pPr>
        <w:tabs>
          <w:tab w:val="num" w:pos="360"/>
        </w:tabs>
        <w:ind w:start="0" w:hanging="0"/>
      </w:pPr>
    </w:lvl>
    <w:lvl w:ilvl="1">
      <w:start w:val="1"/>
      <w:numFmt w:val="lowerLetter"/>
      <w:lvlText w:val="%2)"/>
      <w:lvlJc w:val="start"/>
      <w:pPr>
        <w:tabs>
          <w:tab w:val="num" w:pos="720"/>
        </w:tabs>
        <w:ind w:start="720" w:hanging="360"/>
      </w:pPr>
      <w:rPr>
        <w:i w:val="false"/>
        <w:b w:val="false"/>
      </w:r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360"/>
        </w:tabs>
        <w:ind w:start="216" w:hanging="216"/>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sz w:val="16"/>
      </w:rPr>
    </w:lvl>
  </w:abstractNum>
  <w:abstractNum w:abstractNumId="10">
    <w:lvl w:ilvl="0">
      <w:numFmt w:val="bullet"/>
      <w:lvlText w:val=""/>
      <w:lvlJc w:val="start"/>
      <w:pPr>
        <w:tabs>
          <w:tab w:val="num" w:pos="360"/>
        </w:tabs>
        <w:ind w:start="360" w:hanging="360"/>
      </w:pPr>
      <w:rPr>
        <w:rFonts w:ascii="Bookshelf Symbol 3" w:hAnsi="Bookshelf Symbol 3" w:cs="Bookshelf Symbol 3"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spacing w:before="0" w:after="120"/>
      <w:jc w:val="both"/>
    </w:pPr>
    <w:rPr>
      <w:rFonts w:ascii="Arial; helvetica" w:hAnsi="Arial; helvetica" w:eastAsia="Times New Roman;Times" w:cs="Arial; helvetica"/>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320"/>
      <w:jc w:val="start"/>
      <w:outlineLvl w:val="0"/>
    </w:pPr>
    <w:rPr>
      <w:rFonts w:ascii="Helvetica" w:hAnsi="Helvetica" w:cs="Helvetica"/>
      <w:b/>
      <w:caps/>
      <w:kern w:val="2"/>
      <w:sz w:val="24"/>
    </w:rPr>
  </w:style>
  <w:style w:type="paragraph" w:styleId="Heading2">
    <w:name w:val="heading 2"/>
    <w:basedOn w:val="Normal"/>
    <w:next w:val="Normal"/>
    <w:qFormat/>
    <w:pPr>
      <w:keepNext w:val="true"/>
      <w:numPr>
        <w:ilvl w:val="1"/>
        <w:numId w:val="1"/>
      </w:numPr>
      <w:spacing w:before="10" w:after="120"/>
      <w:jc w:val="start"/>
      <w:outlineLvl w:val="1"/>
    </w:pPr>
    <w:rPr>
      <w:rFonts w:ascii="Arial Narrow" w:hAnsi="Arial Narrow" w:cs="Arial Narrow"/>
      <w:b/>
    </w:rPr>
  </w:style>
  <w:style w:type="paragraph" w:styleId="Heading3">
    <w:name w:val="heading 3"/>
    <w:basedOn w:val="Normal"/>
    <w:next w:val="Normal"/>
    <w:qFormat/>
    <w:pPr>
      <w:keepNext w:val="true"/>
      <w:numPr>
        <w:ilvl w:val="2"/>
        <w:numId w:val="1"/>
      </w:numPr>
      <w:jc w:val="center"/>
      <w:outlineLvl w:val="2"/>
    </w:pPr>
    <w:rPr>
      <w:sz w:val="22"/>
    </w:rPr>
  </w:style>
  <w:style w:type="paragraph" w:styleId="Heading4">
    <w:name w:val="heading 4"/>
    <w:basedOn w:val="Normal"/>
    <w:next w:val="Normal"/>
    <w:qFormat/>
    <w:pPr>
      <w:keepNext w:val="true"/>
      <w:numPr>
        <w:ilvl w:val="3"/>
        <w:numId w:val="1"/>
      </w:numPr>
      <w:spacing w:before="0" w:after="360"/>
      <w:outlineLvl w:val="3"/>
    </w:pPr>
    <w:rPr>
      <w:sz w:val="24"/>
    </w:rPr>
  </w:style>
  <w:style w:type="paragraph" w:styleId="Heading5">
    <w:name w:val="heading 5"/>
    <w:basedOn w:val="Normal"/>
    <w:next w:val="Normal"/>
    <w:qFormat/>
    <w:pPr>
      <w:keepNext w:val="true"/>
      <w:numPr>
        <w:ilvl w:val="4"/>
        <w:numId w:val="1"/>
      </w:numPr>
      <w:spacing w:before="60" w:after="0"/>
      <w:ind w:hanging="0" w:start="86" w:end="0"/>
      <w:jc w:val="start"/>
      <w:outlineLvl w:val="4"/>
    </w:pPr>
    <w:rPr>
      <w:b/>
    </w:rPr>
  </w:style>
  <w:style w:type="paragraph" w:styleId="Heading6">
    <w:name w:val="heading 6"/>
    <w:basedOn w:val="Normal"/>
    <w:next w:val="Normal"/>
    <w:qFormat/>
    <w:pPr>
      <w:keepNext w:val="true"/>
      <w:numPr>
        <w:ilvl w:val="5"/>
        <w:numId w:val="1"/>
      </w:numPr>
      <w:spacing w:before="60" w:after="0"/>
      <w:ind w:hanging="0" w:start="86" w:end="0"/>
      <w:jc w:val="start"/>
      <w:outlineLvl w:val="5"/>
    </w:pPr>
    <w:rPr>
      <w:b/>
    </w:rPr>
  </w:style>
  <w:style w:type="paragraph" w:styleId="Heading7">
    <w:name w:val="heading 7"/>
    <w:basedOn w:val="Normal"/>
    <w:next w:val="Normal"/>
    <w:qFormat/>
    <w:pPr>
      <w:keepNext w:val="true"/>
      <w:numPr>
        <w:ilvl w:val="6"/>
        <w:numId w:val="1"/>
      </w:numPr>
      <w:spacing w:before="120" w:after="120"/>
      <w:outlineLvl w:val="6"/>
    </w:pPr>
    <w:rPr>
      <w:rFonts w:ascii="Arial Narrow" w:hAnsi="Arial Narrow" w:cs="Arial Narrow"/>
      <w:b/>
      <w:color w:val="000000"/>
      <w:sz w:val="22"/>
    </w:rPr>
  </w:style>
  <w:style w:type="paragraph" w:styleId="Heading8">
    <w:name w:val="heading 8"/>
    <w:basedOn w:val="Normal"/>
    <w:next w:val="Normal"/>
    <w:qFormat/>
    <w:pPr>
      <w:keepNext w:val="true"/>
      <w:numPr>
        <w:ilvl w:val="7"/>
        <w:numId w:val="1"/>
      </w:numPr>
      <w:spacing w:before="120" w:after="0"/>
      <w:outlineLvl w:val="7"/>
    </w:pPr>
    <w:rPr>
      <w:b/>
    </w:rPr>
  </w:style>
  <w:style w:type="paragraph" w:styleId="Heading9">
    <w:name w:val="heading 9"/>
    <w:basedOn w:val="Normal"/>
    <w:next w:val="Normal"/>
    <w:qFormat/>
    <w:pPr>
      <w:keepNext w:val="true"/>
      <w:numPr>
        <w:ilvl w:val="8"/>
        <w:numId w:val="1"/>
      </w:numPr>
      <w:outlineLvl w:val="8"/>
    </w:pPr>
    <w:rPr>
      <w:b/>
      <w:i/>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sz w:val="16"/>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rFonts w:ascii="Symbol" w:hAnsi="Symbol" w:cs="Symbol"/>
      <w:color w:val="auto"/>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sz w:val="16"/>
    </w:rPr>
  </w:style>
  <w:style w:type="character" w:styleId="WW8Num27z0">
    <w:name w:val="WW8Num27z0"/>
    <w:qFormat/>
    <w:rPr>
      <w:rFonts w:ascii="Symbol" w:hAnsi="Symbol" w:cs="Symbol"/>
      <w:sz w:val="16"/>
    </w:rPr>
  </w:style>
  <w:style w:type="character" w:styleId="WW8Num28z0">
    <w:name w:val="WW8Num28z0"/>
    <w:qFormat/>
    <w:rPr>
      <w:rFonts w:ascii="Symbol" w:hAnsi="Symbol" w:cs="Symbol"/>
      <w:sz w:val="16"/>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sz w:val="16"/>
    </w:rPr>
  </w:style>
  <w:style w:type="character" w:styleId="WW8Num34z0">
    <w:name w:val="WW8Num34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sz w:val="16"/>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sz w:val="16"/>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3z0">
    <w:name w:val="WW8Num53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sz w:val="22"/>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sz w:val="16"/>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sz w:val="16"/>
    </w:rPr>
  </w:style>
  <w:style w:type="character" w:styleId="WW8Num77z0">
    <w:name w:val="WW8Num77z0"/>
    <w:qFormat/>
    <w:rPr>
      <w:rFonts w:ascii="Symbol" w:hAnsi="Symbol" w:cs="Symbol"/>
    </w:rPr>
  </w:style>
  <w:style w:type="character" w:styleId="WW8Num78z0">
    <w:name w:val="WW8Num78z0"/>
    <w:qFormat/>
    <w:rPr/>
  </w:style>
  <w:style w:type="character" w:styleId="WW8Num80z0">
    <w:name w:val="WW8Num80z0"/>
    <w:qFormat/>
    <w:rPr>
      <w:rFonts w:ascii="Symbol" w:hAnsi="Symbol" w:cs="Symbol"/>
    </w:rPr>
  </w:style>
  <w:style w:type="character" w:styleId="WW8Num81z0">
    <w:name w:val="WW8Num81z0"/>
    <w:qFormat/>
    <w:rPr>
      <w:b/>
      <w:i w:val="false"/>
      <w:color w:val="FFFFFF"/>
      <w:sz w:val="32"/>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b/>
    </w:rPr>
  </w:style>
  <w:style w:type="character" w:styleId="WW8Num88z0">
    <w:name w:val="WW8Num88z0"/>
    <w:qFormat/>
    <w:rPr>
      <w:rFonts w:ascii="Symbol" w:hAnsi="Symbol" w:cs="Symbol"/>
    </w:rPr>
  </w:style>
  <w:style w:type="character" w:styleId="WW8Num89z0">
    <w:name w:val="WW8Num89z0"/>
    <w:qFormat/>
    <w:rPr/>
  </w:style>
  <w:style w:type="character" w:styleId="WW8Num90z0">
    <w:name w:val="WW8Num90z0"/>
    <w:qFormat/>
    <w:rPr>
      <w:rFonts w:ascii="Symbol" w:hAnsi="Symbol" w:cs="Symbol"/>
    </w:rPr>
  </w:style>
  <w:style w:type="character" w:styleId="WW8Num91z0">
    <w:name w:val="WW8Num91z0"/>
    <w:qFormat/>
    <w:rPr>
      <w:rFonts w:ascii="Arial Narrow" w:hAnsi="Arial Narrow" w:cs="Arial Narrow"/>
      <w:b/>
      <w:i w:val="false"/>
      <w:sz w:val="18"/>
    </w:rPr>
  </w:style>
  <w:style w:type="character" w:styleId="WW8Num92z0">
    <w:name w:val="WW8Num92z0"/>
    <w:qFormat/>
    <w:rPr>
      <w:rFonts w:ascii="Symbol" w:hAnsi="Symbol" w:cs="Symbol"/>
    </w:rPr>
  </w:style>
  <w:style w:type="character" w:styleId="WW8Num93z0">
    <w:name w:val="WW8Num93z0"/>
    <w:qFormat/>
    <w:rPr>
      <w:rFonts w:ascii="Wingdings;Symbol" w:hAnsi="Wingdings;Symbol" w:cs="Wingdings;Symbol"/>
    </w:rPr>
  </w:style>
  <w:style w:type="character" w:styleId="WW8Num95z0">
    <w:name w:val="WW8Num95z0"/>
    <w:qFormat/>
    <w:rPr>
      <w:rFonts w:ascii="Symbol" w:hAnsi="Symbol" w:cs="Symbol"/>
      <w:sz w:val="16"/>
    </w:rPr>
  </w:style>
  <w:style w:type="character" w:styleId="WW8Num97z0">
    <w:name w:val="WW8Num97z0"/>
    <w:qFormat/>
    <w:rPr>
      <w:rFonts w:ascii="Symbol" w:hAnsi="Symbol" w:cs="Symbol"/>
      <w:color w:val="auto"/>
    </w:rPr>
  </w:style>
  <w:style w:type="character" w:styleId="WW8Num99z0">
    <w:name w:val="WW8Num99z0"/>
    <w:qFormat/>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sz w:val="22"/>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b w:val="false"/>
      <w:i w:val="false"/>
    </w:rPr>
  </w:style>
  <w:style w:type="character" w:styleId="WW8Num114z0">
    <w:name w:val="WW8Num114z0"/>
    <w:qFormat/>
    <w:rPr>
      <w:rFonts w:ascii="Symbol" w:hAnsi="Symbol" w:cs="Symbol"/>
    </w:rPr>
  </w:style>
  <w:style w:type="character" w:styleId="WW8Num116z0">
    <w:name w:val="WW8Num116z0"/>
    <w:qFormat/>
    <w:rPr>
      <w:rFonts w:ascii="Symbol" w:hAnsi="Symbol" w:cs="Symbol"/>
    </w:rPr>
  </w:style>
  <w:style w:type="character" w:styleId="WW8Num118z0">
    <w:name w:val="WW8Num118z0"/>
    <w:qFormat/>
    <w:rPr>
      <w:b/>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style>
  <w:style w:type="character" w:styleId="WW8Num125z0">
    <w:name w:val="WW8Num125z0"/>
    <w:qFormat/>
    <w:rPr>
      <w:rFonts w:ascii="Symbol" w:hAnsi="Symbol" w:cs="Symbol"/>
      <w:sz w:val="16"/>
    </w:rPr>
  </w:style>
  <w:style w:type="character" w:styleId="WW8Num126z0">
    <w:name w:val="WW8Num126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sz w:val="22"/>
    </w:rPr>
  </w:style>
  <w:style w:type="character" w:styleId="WW8Num141z0">
    <w:name w:val="WW8Num141z0"/>
    <w:qFormat/>
    <w:rPr>
      <w:rFonts w:ascii="Symbol" w:hAnsi="Symbol" w:cs="Symbol"/>
      <w:sz w:val="16"/>
    </w:rPr>
  </w:style>
  <w:style w:type="character" w:styleId="WW8Num142z0">
    <w:name w:val="WW8Num142z0"/>
    <w:qFormat/>
    <w:rPr>
      <w:rFonts w:ascii="Symbol" w:hAnsi="Symbol" w:cs="Symbol"/>
      <w:sz w:val="16"/>
    </w:rPr>
  </w:style>
  <w:style w:type="character" w:styleId="WW8Num143z0">
    <w:name w:val="WW8Num143z0"/>
    <w:qFormat/>
    <w:rPr>
      <w:rFonts w:ascii="Symbol" w:hAnsi="Symbol" w:cs="Symbol"/>
    </w:rPr>
  </w:style>
  <w:style w:type="character" w:styleId="WW8Num143z1">
    <w:name w:val="WW8Num143z1"/>
    <w:qFormat/>
    <w:rPr>
      <w:rFonts w:ascii="Courier New" w:hAnsi="Courier New" w:cs="Courier New"/>
    </w:rPr>
  </w:style>
  <w:style w:type="character" w:styleId="WW8Num143z2">
    <w:name w:val="WW8Num143z2"/>
    <w:qFormat/>
    <w:rPr>
      <w:rFonts w:ascii="Wingdings;Symbol" w:hAnsi="Wingdings;Symbol" w:cs="Wingding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sz w:val="16"/>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style>
  <w:style w:type="character" w:styleId="WW8Num158z0">
    <w:name w:val="WW8Num158z0"/>
    <w:qFormat/>
    <w:rPr>
      <w:b/>
      <w:i w:val="false"/>
      <w:color w:val="FFFFFF"/>
      <w:sz w:val="32"/>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b/>
      <w:i w:val="false"/>
      <w:color w:val="FFFFFF"/>
      <w:sz w:val="32"/>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2z1">
    <w:name w:val="WW8Num172z1"/>
    <w:qFormat/>
    <w:rPr>
      <w:rFonts w:ascii="Courier New" w:hAnsi="Courier New" w:cs="Courier New"/>
    </w:rPr>
  </w:style>
  <w:style w:type="character" w:styleId="WW8Num172z2">
    <w:name w:val="WW8Num172z2"/>
    <w:qFormat/>
    <w:rPr>
      <w:rFonts w:ascii="Wingdings;Symbol" w:hAnsi="Wingdings;Symbol" w:cs="Wingdings;Symbol"/>
    </w:rPr>
  </w:style>
  <w:style w:type="character" w:styleId="WW8Num173z0">
    <w:name w:val="WW8Num173z0"/>
    <w:qFormat/>
    <w:rPr>
      <w:b/>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style>
  <w:style w:type="character" w:styleId="WW8Num178z0">
    <w:name w:val="WW8Num178z0"/>
    <w:qFormat/>
    <w:rPr/>
  </w:style>
  <w:style w:type="character" w:styleId="WW8Num179z0">
    <w:name w:val="WW8Num179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1">
    <w:name w:val="WW8Num183z1"/>
    <w:qFormat/>
    <w:rPr>
      <w:b w:val="false"/>
      <w:i w:val="false"/>
    </w:rPr>
  </w:style>
  <w:style w:type="character" w:styleId="WW8Num186z0">
    <w:name w:val="WW8Num186z0"/>
    <w:qFormat/>
    <w:rPr>
      <w:rFonts w:ascii="Symbol" w:hAnsi="Symbol" w:cs="Symbol"/>
    </w:rPr>
  </w:style>
  <w:style w:type="character" w:styleId="WW8Num187z0">
    <w:name w:val="WW8Num187z0"/>
    <w:qFormat/>
    <w:rPr>
      <w:rFonts w:ascii="Symbol" w:hAnsi="Symbol" w:cs="Symbol"/>
      <w:sz w:val="16"/>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sz w:val="16"/>
    </w:rPr>
  </w:style>
  <w:style w:type="character" w:styleId="WW8Num192z0">
    <w:name w:val="WW8Num192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7z1">
    <w:name w:val="WW8Num197z1"/>
    <w:qFormat/>
    <w:rPr>
      <w:b w:val="false"/>
      <w:i w:val="false"/>
    </w:rPr>
  </w:style>
  <w:style w:type="character" w:styleId="WW8Num198z0">
    <w:name w:val="WW8Num198z0"/>
    <w:qFormat/>
    <w:rPr>
      <w:rFonts w:ascii="Symbol" w:hAnsi="Symbol" w:cs="Symbol"/>
    </w:rPr>
  </w:style>
  <w:style w:type="character" w:styleId="WW8Num199z0">
    <w:name w:val="WW8Num199z0"/>
    <w:qFormat/>
    <w:rPr>
      <w:b/>
      <w:i w:val="false"/>
      <w:color w:val="FFFFFF"/>
      <w:sz w:val="32"/>
    </w:rPr>
  </w:style>
  <w:style w:type="character" w:styleId="WW8Num200z0">
    <w:name w:val="WW8Num200z0"/>
    <w:qFormat/>
    <w:rPr>
      <w:rFonts w:ascii="Symbol" w:hAnsi="Symbol" w:cs="Symbol"/>
    </w:rPr>
  </w:style>
  <w:style w:type="character" w:styleId="WW8Num201z0">
    <w:name w:val="WW8Num201z0"/>
    <w:qFormat/>
    <w:rPr/>
  </w:style>
  <w:style w:type="character" w:styleId="WW8Num202z0">
    <w:name w:val="WW8Num202z0"/>
    <w:qFormat/>
    <w:rPr>
      <w:rFonts w:ascii="Symbol" w:hAnsi="Symbol" w:cs="Symbol"/>
      <w:sz w:val="16"/>
    </w:rPr>
  </w:style>
  <w:style w:type="character" w:styleId="WW8Num203z0">
    <w:name w:val="WW8Num203z0"/>
    <w:qFormat/>
    <w:rPr>
      <w:rFonts w:ascii="Symbol" w:hAnsi="Symbol" w:cs="Symbol"/>
    </w:rPr>
  </w:style>
  <w:style w:type="character" w:styleId="WW8Num204z0">
    <w:name w:val="WW8Num204z0"/>
    <w:qFormat/>
    <w:rPr/>
  </w:style>
  <w:style w:type="character" w:styleId="WW8Num205z0">
    <w:name w:val="WW8Num205z0"/>
    <w:qFormat/>
    <w:rPr>
      <w:rFonts w:ascii="Symbol" w:hAnsi="Symbol" w:cs="Symbol"/>
      <w:sz w:val="16"/>
    </w:rPr>
  </w:style>
  <w:style w:type="character" w:styleId="WW8Num206z0">
    <w:name w:val="WW8Num206z0"/>
    <w:qFormat/>
    <w:rPr>
      <w:rFonts w:ascii="Symbol" w:hAnsi="Symbol" w:cs="Symbol"/>
    </w:rPr>
  </w:style>
  <w:style w:type="character" w:styleId="WW8Num207z0">
    <w:name w:val="WW8Num207z0"/>
    <w:qFormat/>
    <w:rPr>
      <w:rFonts w:ascii="Times New Roman;Times" w:hAnsi="Times New Roman;Times" w:cs="Times New Roman;Times"/>
    </w:rPr>
  </w:style>
  <w:style w:type="character" w:styleId="WW8Num208z0">
    <w:name w:val="WW8Num208z0"/>
    <w:qFormat/>
    <w:rPr>
      <w:rFonts w:ascii="Symbol" w:hAnsi="Symbol" w:cs="Symbol"/>
    </w:rPr>
  </w:style>
  <w:style w:type="character" w:styleId="WW8Num209z0">
    <w:name w:val="WW8Num209z0"/>
    <w:qFormat/>
    <w:rPr>
      <w:rFonts w:ascii="Wingdings;Symbol" w:hAnsi="Wingdings;Symbol" w:cs="Wingdings;Symbol"/>
    </w:rPr>
  </w:style>
  <w:style w:type="character" w:styleId="WW8Num209z1">
    <w:name w:val="WW8Num209z1"/>
    <w:qFormat/>
    <w:rPr>
      <w:rFonts w:ascii="Courier New" w:hAnsi="Courier New" w:cs="Courier New"/>
    </w:rPr>
  </w:style>
  <w:style w:type="character" w:styleId="WW8Num209z3">
    <w:name w:val="WW8Num209z3"/>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4z0">
    <w:name w:val="WW8Num214z0"/>
    <w:qFormat/>
    <w:rPr>
      <w:rFonts w:ascii="Symbol" w:hAnsi="Symbol" w:cs="Symbol"/>
    </w:rPr>
  </w:style>
  <w:style w:type="character" w:styleId="WW8Num216z0">
    <w:name w:val="WW8Num216z0"/>
    <w:qFormat/>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5z0">
    <w:name w:val="WW8Num225z0"/>
    <w:qFormat/>
    <w:rPr>
      <w:rFonts w:ascii="Symbol" w:hAnsi="Symbol" w:cs="Symbol"/>
      <w:sz w:val="16"/>
    </w:rPr>
  </w:style>
  <w:style w:type="character" w:styleId="WW8Num226z0">
    <w:name w:val="WW8Num226z0"/>
    <w:qFormat/>
    <w:rPr>
      <w:rFonts w:ascii="Symbol" w:hAnsi="Symbol" w:cs="Symbol"/>
    </w:rPr>
  </w:style>
  <w:style w:type="character" w:styleId="WW8Num227z0">
    <w:name w:val="WW8Num227z0"/>
    <w:qFormat/>
    <w:rPr>
      <w:b/>
      <w:i w:val="false"/>
      <w:color w:val="FFFFFF"/>
      <w:sz w:val="32"/>
    </w:rPr>
  </w:style>
  <w:style w:type="character" w:styleId="WW8Num228z0">
    <w:name w:val="WW8Num228z0"/>
    <w:qFormat/>
    <w:rPr>
      <w:rFonts w:ascii="Symbol" w:hAnsi="Symbol" w:cs="Symbol"/>
    </w:rPr>
  </w:style>
  <w:style w:type="character" w:styleId="WW8Num229z0">
    <w:name w:val="WW8Num229z0"/>
    <w:qFormat/>
    <w:rPr>
      <w:rFonts w:ascii="Symbol" w:hAnsi="Symbol" w:cs="Symbol"/>
      <w:sz w:val="16"/>
    </w:rPr>
  </w:style>
  <w:style w:type="character" w:styleId="WW8Num230z0">
    <w:name w:val="WW8Num230z0"/>
    <w:qFormat/>
    <w:rPr>
      <w:rFonts w:ascii="Symbol" w:hAnsi="Symbol" w:cs="Symbol"/>
    </w:rPr>
  </w:style>
  <w:style w:type="character" w:styleId="WW8Num231z0">
    <w:name w:val="WW8Num231z0"/>
    <w:qFormat/>
    <w:rPr>
      <w:rFonts w:ascii="Symbol" w:hAnsi="Symbol" w:cs="Symbol"/>
      <w:color w:val="auto"/>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7z0">
    <w:name w:val="WW8Num237z0"/>
    <w:qFormat/>
    <w:rPr>
      <w:rFonts w:ascii="Symbol" w:hAnsi="Symbol" w:cs="Symbol"/>
      <w:sz w:val="16"/>
    </w:rPr>
  </w:style>
  <w:style w:type="character" w:styleId="WW8Num239z0">
    <w:name w:val="WW8Num239z0"/>
    <w:qFormat/>
    <w:rPr>
      <w:rFonts w:ascii="Symbol" w:hAnsi="Symbol" w:cs="Symbol"/>
      <w:color w:val="auto"/>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sz w:val="16"/>
    </w:rPr>
  </w:style>
  <w:style w:type="character" w:styleId="WW8Num247z0">
    <w:name w:val="WW8Num247z0"/>
    <w:qFormat/>
    <w:rPr>
      <w:rFonts w:ascii="Symbol" w:hAnsi="Symbol" w:cs="Symbol"/>
    </w:rPr>
  </w:style>
  <w:style w:type="character" w:styleId="WW8Num248z0">
    <w:name w:val="WW8Num248z0"/>
    <w:qFormat/>
    <w:rPr/>
  </w:style>
  <w:style w:type="character" w:styleId="WW8Num249z0">
    <w:name w:val="WW8Num249z0"/>
    <w:qFormat/>
    <w:rPr>
      <w:rFonts w:ascii="Times New Roman;Times" w:hAnsi="Times New Roman;Times" w:cs="Times New Roman;Times"/>
    </w:rPr>
  </w:style>
  <w:style w:type="character" w:styleId="WW8Num250z0">
    <w:name w:val="WW8Num250z0"/>
    <w:qFormat/>
    <w:rPr>
      <w:rFonts w:ascii="Symbol" w:hAnsi="Symbol" w:cs="Symbol"/>
    </w:rPr>
  </w:style>
  <w:style w:type="character" w:styleId="WW8Num251z0">
    <w:name w:val="WW8Num251z0"/>
    <w:qFormat/>
    <w:rPr>
      <w:rFonts w:ascii="Wingdings;Symbol" w:hAnsi="Wingdings;Symbol" w:cs="Wingdings;Symbol"/>
      <w:sz w:val="22"/>
    </w:rPr>
  </w:style>
  <w:style w:type="character" w:styleId="WW8Num252z0">
    <w:name w:val="WW8Num252z0"/>
    <w:qFormat/>
    <w:rPr>
      <w:rFonts w:ascii="Symbol" w:hAnsi="Symbol" w:cs="Symbol"/>
      <w:color w:val="auto"/>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sz w:val="16"/>
    </w:rPr>
  </w:style>
  <w:style w:type="character" w:styleId="WW8Num257z0">
    <w:name w:val="WW8Num257z0"/>
    <w:qFormat/>
    <w:rPr/>
  </w:style>
  <w:style w:type="character" w:styleId="WW8Num258z0">
    <w:name w:val="WW8Num258z0"/>
    <w:qFormat/>
    <w:rPr>
      <w:b/>
      <w:i w:val="false"/>
    </w:rPr>
  </w:style>
  <w:style w:type="character" w:styleId="WW8NumSt57z0">
    <w:name w:val="WW8NumSt57z0"/>
    <w:qFormat/>
    <w:rPr>
      <w:rFonts w:ascii="Bookshelf Symbol 3" w:hAnsi="Bookshelf Symbol 3" w:cs="Bookshelf Symbol 3"/>
    </w:rPr>
  </w:style>
  <w:style w:type="character" w:styleId="WW8NumSt115z0">
    <w:name w:val="WW8NumSt115z0"/>
    <w:qFormat/>
    <w:rPr>
      <w:rFonts w:ascii="Symbol" w:hAnsi="Symbol" w:cs="Symbol"/>
    </w:rPr>
  </w:style>
  <w:style w:type="character" w:styleId="WW8NumSt204z0">
    <w:name w:val="WW8NumSt204z0"/>
    <w:qFormat/>
    <w:rPr>
      <w:rFonts w:ascii="Symbol" w:hAnsi="Symbol" w:cs="Symbol"/>
    </w:rPr>
  </w:style>
  <w:style w:type="character" w:styleId="WW8NumSt221z0">
    <w:name w:val="WW8NumSt221z0"/>
    <w:qFormat/>
    <w:rPr>
      <w:rFonts w:ascii="Symbol" w:hAnsi="Symbol" w:cs="Symbol"/>
    </w:rPr>
  </w:style>
  <w:style w:type="character" w:styleId="DefaultParagraphFont">
    <w:name w:val="Default Paragraph Font"/>
    <w:qFormat/>
    <w:rPr/>
  </w:style>
  <w:style w:type="character" w:styleId="Head4">
    <w:name w:val="Head4"/>
    <w:basedOn w:val="DefaultParagraphFont"/>
    <w:qFormat/>
    <w:rPr>
      <w:rFonts w:ascii="Arial; helvetica" w:hAnsi="Arial; helvetica" w:cs="Arial; helvetica"/>
      <w:b/>
      <w:sz w:val="20"/>
      <w:lang w:val="en-US"/>
    </w:rPr>
  </w:style>
  <w:style w:type="character" w:styleId="Location">
    <w:name w:val="Location"/>
    <w:qFormat/>
    <w:rPr>
      <w:sz w:val="16"/>
      <w:lang w:val="en-US"/>
    </w:rPr>
  </w:style>
  <w:style w:type="character" w:styleId="Marker">
    <w:name w:val="Marker"/>
    <w:basedOn w:val="DefaultParagraphFont"/>
    <w:qFormat/>
    <w:rPr>
      <w:rFonts w:ascii="Arial; helvetica" w:hAnsi="Arial; helvetica" w:cs="Arial; helvetica"/>
      <w:b/>
      <w:caps/>
      <w:vanish/>
      <w:color w:val="FF0000"/>
      <w:sz w:val="16"/>
      <w:lang w:val="en-US"/>
    </w:rPr>
  </w:style>
  <w:style w:type="character" w:styleId="PageNumber">
    <w:name w:val="page number"/>
    <w:basedOn w:val="DefaultParagraphFont"/>
    <w:rPr/>
  </w:style>
  <w:style w:type="character" w:styleId="DataBoxDate">
    <w:name w:val="DataBoxDate"/>
    <w:basedOn w:val="DefaultParagraphFont"/>
    <w:qFormat/>
    <w:rPr>
      <w:rFonts w:ascii="Arial Narrow" w:hAnsi="Arial Narrow" w:cs="Arial Narrow"/>
      <w:b/>
      <w:sz w:val="18"/>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Arrow">
    <w:name w:val="Arrow"/>
    <w:basedOn w:val="DefaultParagraphFont"/>
    <w:qFormat/>
    <w:rPr>
      <w:rFonts w:ascii="Arial; helvetica" w:hAnsi="Arial; helvetica" w:cs="Arial; helvetica"/>
      <w:b/>
      <w:sz w:val="28"/>
      <w:lang w:val="en-US"/>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0" w:after="0"/>
      <w:jc w:val="center"/>
    </w:pPr>
    <w:rPr>
      <w:b/>
      <w:sz w:val="24"/>
    </w:rPr>
  </w:style>
  <w:style w:type="paragraph" w:styleId="BodyText">
    <w:name w:val="Body Text"/>
    <w:basedOn w:val="Normal"/>
    <w:pPr>
      <w:jc w:val="start"/>
    </w:pPr>
    <w:rPr>
      <w:rFonts w:ascii="Arial Narrow" w:hAnsi="Arial Narrow" w:cs="Arial Narrow"/>
      <w:color w:val="000000"/>
      <w:sz w:val="22"/>
    </w:rPr>
  </w:style>
  <w:style w:type="paragraph" w:styleId="List">
    <w:name w:val="List"/>
    <w:basedOn w:val="Normal"/>
    <w:pPr>
      <w:spacing w:before="0" w:after="0"/>
      <w:ind w:hanging="360" w:start="360" w:end="0"/>
      <w:jc w:val="start"/>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lHead">
    <w:name w:val="TableColHead"/>
    <w:basedOn w:val="Normal"/>
    <w:qFormat/>
    <w:pPr>
      <w:keepNext w:val="true"/>
      <w:keepLines/>
      <w:spacing w:before="0" w:after="0"/>
      <w:jc w:val="start"/>
    </w:pPr>
    <w:rPr>
      <w:rFonts w:ascii="Arial Narrow" w:hAnsi="Arial Narrow" w:cs="Arial Narrow"/>
      <w:b/>
      <w:sz w:val="16"/>
    </w:rPr>
  </w:style>
  <w:style w:type="paragraph" w:styleId="Address">
    <w:name w:val="Address"/>
    <w:basedOn w:val="Normal"/>
    <w:next w:val="Normal"/>
    <w:qFormat/>
    <w:pPr>
      <w:spacing w:before="0" w:after="240"/>
      <w:jc w:val="star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7655" w:leader="none"/>
      </w:tabs>
      <w:spacing w:before="0" w:after="0"/>
      <w:ind w:hanging="0" w:start="-2376" w:end="0"/>
      <w:jc w:val="start"/>
    </w:pPr>
    <w:rPr/>
  </w:style>
  <w:style w:type="paragraph" w:styleId="Disclaimer">
    <w:name w:val="Disclaimer"/>
    <w:basedOn w:val="Normal"/>
    <w:qFormat/>
    <w:pPr>
      <w:pBdr>
        <w:top w:val="single" w:sz="6" w:space="4" w:color="000000"/>
      </w:pBdr>
      <w:spacing w:before="0" w:after="60"/>
    </w:pPr>
    <w:rPr>
      <w:rFonts w:ascii="Arial Narrow" w:hAnsi="Arial Narrow" w:cs="Arial Narrow"/>
      <w:sz w:val="16"/>
    </w:rPr>
  </w:style>
  <w:style w:type="paragraph" w:styleId="FooterRegular">
    <w:name w:val="Footer Regular"/>
    <w:basedOn w:val="Footer"/>
    <w:qFormat/>
    <w:pPr>
      <w:pBdr>
        <w:top w:val="single" w:sz="6" w:space="1" w:color="000000"/>
      </w:pBdr>
      <w:tabs>
        <w:tab w:val="clear" w:pos="7655"/>
      </w:tabs>
      <w:jc w:val="center"/>
    </w:pPr>
    <w:rPr/>
  </w:style>
  <w:style w:type="paragraph" w:styleId="HeaderLogoEvenPg">
    <w:name w:val="Header Logo Even Pg"/>
    <w:basedOn w:val="Normal"/>
    <w:qFormat/>
    <w:pPr>
      <w:keepNext w:val="true"/>
      <w:pBdr>
        <w:bottom w:val="single" w:sz="6" w:space="6" w:color="000000"/>
      </w:pBdr>
      <w:tabs>
        <w:tab w:val="clear" w:pos="720"/>
        <w:tab w:val="left" w:pos="4680" w:leader="none"/>
      </w:tabs>
      <w:spacing w:before="60" w:after="0"/>
      <w:ind w:hanging="0" w:start="-2390" w:end="-43"/>
      <w:jc w:val="start"/>
    </w:pPr>
    <w:rPr>
      <w:sz w:val="24"/>
    </w:rPr>
  </w:style>
  <w:style w:type="paragraph" w:styleId="Logo">
    <w:name w:val="Logo"/>
    <w:qFormat/>
    <w:pPr>
      <w:widowControl/>
      <w:tabs>
        <w:tab w:val="clear" w:pos="720"/>
        <w:tab w:val="right" w:pos="7430" w:leader="none"/>
      </w:tabs>
      <w:bidi w:val="0"/>
      <w:ind w:hanging="0" w:start="-2477" w:end="0"/>
    </w:pPr>
    <w:rPr>
      <w:rFonts w:ascii="Arial Narrow" w:hAnsi="Arial Narrow" w:eastAsia="Times New Roman;Times" w:cs="Arial Narrow"/>
      <w:caps/>
      <w:color w:val="auto"/>
      <w:sz w:val="20"/>
      <w:szCs w:val="20"/>
      <w:vertAlign w:val="superscript"/>
      <w:lang w:val="en-US" w:eastAsia="zh-CN" w:bidi="hi-IN"/>
    </w:rPr>
  </w:style>
  <w:style w:type="paragraph" w:styleId="OfficeBar">
    <w:name w:val="OfficeBar"/>
    <w:qFormat/>
    <w:pPr>
      <w:widowControl/>
      <w:tabs>
        <w:tab w:val="clear" w:pos="720"/>
        <w:tab w:val="right" w:pos="9957" w:leader="none"/>
      </w:tabs>
      <w:bidi w:val="0"/>
      <w:spacing w:lineRule="exact" w:line="310" w:before="40" w:after="120"/>
      <w:ind w:hanging="0" w:start="2477" w:end="0"/>
      <w:jc w:val="both"/>
    </w:pPr>
    <w:rPr>
      <w:rFonts w:ascii="Arial; helvetica" w:hAnsi="Arial; helvetica" w:eastAsia="Times New Roman;Times" w:cs="Arial; helvetica"/>
      <w:b/>
      <w:color w:val="FFFFFF"/>
      <w:sz w:val="22"/>
      <w:szCs w:val="20"/>
      <w:lang w:val="en-US" w:eastAsia="zh-CN" w:bidi="hi-IN"/>
    </w:rPr>
  </w:style>
  <w:style w:type="paragraph" w:styleId="Head1">
    <w:name w:val="Head1"/>
    <w:next w:val="Text"/>
    <w:qFormat/>
    <w:pPr>
      <w:keepNext w:val="true"/>
      <w:pageBreakBefore/>
      <w:widowControl/>
      <w:pBdr>
        <w:bottom w:val="single" w:sz="4" w:space="1" w:color="000000"/>
      </w:pBdr>
      <w:bidi w:val="0"/>
      <w:spacing w:before="0" w:after="240"/>
    </w:pPr>
    <w:rPr>
      <w:rFonts w:ascii="Arial; helvetica" w:hAnsi="Arial; helvetica" w:eastAsia="Times New Roman;Times" w:cs="Arial; helvetica"/>
      <w:b/>
      <w:color w:val="auto"/>
      <w:sz w:val="24"/>
      <w:szCs w:val="20"/>
      <w:lang w:val="en-US" w:eastAsia="zh-CN" w:bidi="hi-IN"/>
    </w:rPr>
  </w:style>
  <w:style w:type="paragraph" w:styleId="Text">
    <w:name w:val="Text"/>
    <w:qFormat/>
    <w:pPr>
      <w:widowControl/>
      <w:bidi w:val="0"/>
      <w:spacing w:before="0" w:after="120"/>
    </w:pPr>
    <w:rPr>
      <w:rFonts w:ascii="Arial; helvetica" w:hAnsi="Arial; helvetica" w:eastAsia="Times New Roman;Times" w:cs="Arial; helvetica"/>
      <w:color w:val="auto"/>
      <w:sz w:val="20"/>
      <w:szCs w:val="20"/>
      <w:lang w:val="en-US" w:eastAsia="zh-CN" w:bidi="hi-IN"/>
    </w:rPr>
  </w:style>
  <w:style w:type="paragraph" w:styleId="LogoHead">
    <w:name w:val="LogoHead"/>
    <w:basedOn w:val="Normal"/>
    <w:qFormat/>
    <w:pPr>
      <w:tabs>
        <w:tab w:val="clear" w:pos="720"/>
        <w:tab w:val="right" w:pos="4422" w:leader="none"/>
        <w:tab w:val="left" w:pos="5216" w:leader="none"/>
        <w:tab w:val="right" w:pos="8050" w:leader="none"/>
      </w:tabs>
      <w:spacing w:before="1" w:after="120"/>
      <w:jc w:val="start"/>
    </w:pPr>
    <w:rPr>
      <w:rFonts w:ascii="Arial Narrow" w:hAnsi="Arial Narrow" w:cs="Arial Narrow"/>
      <w:caps/>
    </w:rPr>
  </w:style>
  <w:style w:type="paragraph" w:styleId="Office">
    <w:name w:val="Office"/>
    <w:basedOn w:val="Normal"/>
    <w:qFormat/>
    <w:pPr>
      <w:tabs>
        <w:tab w:val="clear" w:pos="720"/>
        <w:tab w:val="right" w:pos="4320" w:leader="none"/>
        <w:tab w:val="left" w:pos="5760" w:leader="none"/>
        <w:tab w:val="right" w:pos="9450" w:leader="none"/>
      </w:tabs>
      <w:spacing w:before="0" w:after="0"/>
      <w:jc w:val="start"/>
    </w:pPr>
    <w:rPr/>
  </w:style>
  <w:style w:type="paragraph" w:styleId="Region2">
    <w:name w:val="Region2"/>
    <w:basedOn w:val="Normal"/>
    <w:next w:val="Address"/>
    <w:qFormat/>
    <w:pPr>
      <w:spacing w:before="240" w:after="120"/>
      <w:jc w:val="start"/>
    </w:pPr>
    <w:rPr>
      <w:b/>
      <w:color w:val="00FFFF"/>
      <w:sz w:val="28"/>
    </w:rPr>
  </w:style>
  <w:style w:type="paragraph" w:styleId="HeaderMain">
    <w:name w:val="HeaderMain"/>
    <w:basedOn w:val="Normal"/>
    <w:qFormat/>
    <w:pPr>
      <w:keepNext w:val="true"/>
      <w:pBdr>
        <w:bottom w:val="single" w:sz="6" w:space="6" w:color="000000"/>
      </w:pBdr>
      <w:tabs>
        <w:tab w:val="clear" w:pos="720"/>
        <w:tab w:val="right" w:pos="7200" w:leader="none"/>
      </w:tabs>
      <w:spacing w:before="60" w:after="0"/>
      <w:ind w:hanging="0" w:start="-2390" w:end="-43"/>
      <w:jc w:val="start"/>
    </w:pPr>
    <w:rPr>
      <w:sz w:val="24"/>
    </w:rPr>
  </w:style>
  <w:style w:type="paragraph" w:styleId="TableTitle">
    <w:name w:val="TableTitle"/>
    <w:basedOn w:val="Normal"/>
    <w:qFormat/>
    <w:pPr>
      <w:keepNext w:val="true"/>
      <w:pBdr>
        <w:top w:val="single" w:sz="6" w:space="1" w:color="000000"/>
      </w:pBdr>
      <w:spacing w:before="0" w:after="0"/>
      <w:jc w:val="start"/>
    </w:pPr>
    <w:rPr>
      <w:b/>
    </w:rPr>
  </w:style>
  <w:style w:type="paragraph" w:styleId="CameraReadyTableTitle">
    <w:name w:val="CameraReadyTableTitle"/>
    <w:basedOn w:val="TableTitle"/>
    <w:qFormat/>
    <w:pPr>
      <w:pBdr>
        <w:top w:val="nil"/>
        <w:bottom w:val="single" w:sz="6" w:space="1" w:color="000000"/>
      </w:pBdr>
    </w:pPr>
    <w:rPr/>
  </w:style>
  <w:style w:type="paragraph" w:styleId="TableSubTitle">
    <w:name w:val="TableSubTitle"/>
    <w:basedOn w:val="TableTitle"/>
    <w:next w:val="TableBody"/>
    <w:qFormat/>
    <w:pPr>
      <w:keepNext w:val="false"/>
      <w:keepLines/>
    </w:pPr>
    <w:rPr>
      <w:b w:val="false"/>
      <w:sz w:val="16"/>
    </w:rPr>
  </w:style>
  <w:style w:type="paragraph" w:styleId="CameraReadyTableSubtitle">
    <w:name w:val="CameraReadyTableSubtitle"/>
    <w:basedOn w:val="TableSubTitle"/>
    <w:qFormat/>
    <w:pPr>
      <w:keepNext w:val="true"/>
      <w:pBdr>
        <w:top w:val="nil"/>
        <w:bottom w:val="single" w:sz="6" w:space="1" w:color="000000"/>
      </w:pBdr>
    </w:pPr>
    <w:rPr/>
  </w:style>
  <w:style w:type="paragraph" w:styleId="TableBody">
    <w:name w:val="TableBody"/>
    <w:basedOn w:val="Normal"/>
    <w:qFormat/>
    <w:pPr>
      <w:keepNext w:val="true"/>
      <w:keepLines/>
      <w:spacing w:before="0" w:after="0"/>
      <w:jc w:val="start"/>
    </w:pPr>
    <w:rPr>
      <w:rFonts w:ascii="Arial Narrow" w:hAnsi="Arial Narrow" w:cs="Arial Narrow"/>
      <w:sz w:val="18"/>
    </w:rPr>
  </w:style>
  <w:style w:type="paragraph" w:styleId="Header">
    <w:name w:val="header"/>
    <w:basedOn w:val="Normal"/>
    <w:pPr>
      <w:tabs>
        <w:tab w:val="clear" w:pos="720"/>
        <w:tab w:val="center" w:pos="4320" w:leader="none"/>
        <w:tab w:val="right" w:pos="8640" w:leader="none"/>
      </w:tabs>
    </w:pPr>
    <w:rPr/>
  </w:style>
  <w:style w:type="paragraph" w:styleId="Tick">
    <w:name w:val="Tick"/>
    <w:qFormat/>
    <w:pPr>
      <w:widowControl/>
      <w:bidi w:val="0"/>
      <w:spacing w:before="156" w:after="0"/>
      <w:ind w:hanging="0" w:start="-115" w:end="14"/>
      <w:jc w:val="end"/>
    </w:pPr>
    <w:rPr>
      <w:rFonts w:ascii="Arial Narrow" w:hAnsi="Arial Narrow" w:eastAsia="Times New Roman;Times" w:cs="Arial Narrow"/>
      <w:b/>
      <w:caps/>
      <w:color w:val="auto"/>
      <w:sz w:val="22"/>
      <w:szCs w:val="20"/>
      <w:lang w:val="en-US" w:eastAsia="zh-CN" w:bidi="hi-IN"/>
    </w:rPr>
  </w:style>
  <w:style w:type="paragraph" w:styleId="DataBox">
    <w:name w:val="DataBox"/>
    <w:basedOn w:val="Normal"/>
    <w:qFormat/>
    <w:pPr>
      <w:tabs>
        <w:tab w:val="clear" w:pos="720"/>
        <w:tab w:val="decimal" w:pos="360" w:leader="none"/>
      </w:tabs>
      <w:spacing w:lineRule="exact" w:line="240" w:before="0" w:after="0"/>
      <w:jc w:val="start"/>
    </w:pPr>
    <w:rPr>
      <w:rFonts w:ascii="Arial Narrow" w:hAnsi="Arial Narrow" w:cs="Arial Narrow"/>
    </w:rPr>
  </w:style>
  <w:style w:type="paragraph" w:styleId="DataBoxTitle">
    <w:name w:val="DataBoxTitle"/>
    <w:basedOn w:val="DataBox"/>
    <w:qFormat/>
    <w:pPr>
      <w:tabs>
        <w:tab w:val="clear" w:pos="360"/>
        <w:tab w:val="right" w:pos="1080" w:leader="none"/>
      </w:tabs>
      <w:spacing w:lineRule="exact" w:line="180"/>
      <w:jc w:val="end"/>
    </w:pPr>
    <w:rPr>
      <w:b/>
      <w:sz w:val="18"/>
    </w:rPr>
  </w:style>
  <w:style w:type="paragraph" w:styleId="Summary">
    <w:name w:val="Summary"/>
    <w:qFormat/>
    <w:pPr>
      <w:widowControl/>
      <w:numPr>
        <w:ilvl w:val="0"/>
        <w:numId w:val="3"/>
      </w:numPr>
      <w:bidi w:val="0"/>
      <w:spacing w:before="60" w:after="60"/>
      <w:ind w:hanging="360" w:start="461" w:end="-14"/>
    </w:pPr>
    <w:rPr>
      <w:rFonts w:ascii="Arial; helvetica" w:hAnsi="Arial; helvetica" w:eastAsia="Times New Roman;Times" w:cs="Arial; helvetica"/>
      <w:color w:val="auto"/>
      <w:sz w:val="22"/>
      <w:szCs w:val="20"/>
      <w:lang w:val="en-US" w:eastAsia="zh-CN" w:bidi="hi-IN"/>
    </w:rPr>
  </w:style>
  <w:style w:type="paragraph" w:styleId="TableFooter">
    <w:name w:val="TableFooter"/>
    <w:basedOn w:val="Normal"/>
    <w:qFormat/>
    <w:pPr>
      <w:spacing w:lineRule="atLeast" w:line="220" w:before="0" w:after="0"/>
      <w:jc w:val="start"/>
    </w:pPr>
    <w:rPr>
      <w:rFonts w:ascii="Arial Narrow" w:hAnsi="Arial Narrow" w:cs="Arial Narrow"/>
      <w:sz w:val="16"/>
    </w:rPr>
  </w:style>
  <w:style w:type="paragraph" w:styleId="Head2">
    <w:name w:val="Head2"/>
    <w:basedOn w:val="Normal"/>
    <w:next w:val="Text"/>
    <w:qFormat/>
    <w:pPr>
      <w:keepNext w:val="true"/>
      <w:jc w:val="start"/>
    </w:pPr>
    <w:rPr>
      <w:b/>
      <w:sz w:val="22"/>
    </w:rPr>
  </w:style>
  <w:style w:type="paragraph" w:styleId="Industry">
    <w:name w:val="Industry"/>
    <w:basedOn w:val="Normal"/>
    <w:qFormat/>
    <w:pPr>
      <w:tabs>
        <w:tab w:val="clear" w:pos="720"/>
        <w:tab w:val="right" w:pos="9720" w:leader="none"/>
      </w:tabs>
      <w:spacing w:before="120" w:after="0"/>
      <w:ind w:hanging="0" w:start="144" w:end="0"/>
    </w:pPr>
    <w:rPr>
      <w:rFonts w:ascii="Arial Narrow" w:hAnsi="Arial Narrow" w:cs="Arial Narrow"/>
      <w:b/>
      <w:sz w:val="18"/>
    </w:rPr>
  </w:style>
  <w:style w:type="paragraph" w:styleId="Opinion">
    <w:name w:val="Opinion"/>
    <w:next w:val="Stamp1"/>
    <w:qFormat/>
    <w:pPr>
      <w:widowControl/>
      <w:shd w:fill="auto" w:val="clear"/>
      <w:bidi w:val="0"/>
      <w:spacing w:before="156" w:after="0"/>
      <w:ind w:hanging="0" w:start="72" w:end="-115"/>
    </w:pPr>
    <w:rPr>
      <w:rFonts w:ascii="Arial Narrow" w:hAnsi="Arial Narrow" w:eastAsia="Times New Roman;Times" w:cs="Arial Narrow"/>
      <w:b/>
      <w:caps/>
      <w:color w:val="auto"/>
      <w:sz w:val="22"/>
      <w:szCs w:val="20"/>
      <w:lang w:val="en-US" w:eastAsia="zh-CN" w:bidi="hi-IN"/>
    </w:rPr>
  </w:style>
  <w:style w:type="paragraph" w:styleId="Stamp1">
    <w:name w:val="Stamp1"/>
    <w:basedOn w:val="Opinion"/>
    <w:next w:val="Stamp2"/>
    <w:qFormat/>
    <w:pPr/>
    <w:rPr/>
  </w:style>
  <w:style w:type="paragraph" w:styleId="Stamp2">
    <w:name w:val="Stamp2"/>
    <w:basedOn w:val="Opinion"/>
    <w:next w:val="Stamp3"/>
    <w:qFormat/>
    <w:pPr/>
    <w:rPr/>
  </w:style>
  <w:style w:type="paragraph" w:styleId="Stamp3">
    <w:name w:val="Stamp3"/>
    <w:basedOn w:val="Opinion"/>
    <w:qFormat/>
    <w:pPr/>
    <w:rPr/>
  </w:style>
  <w:style w:type="paragraph" w:styleId="NB">
    <w:name w:val="NB"/>
    <w:qFormat/>
    <w:pPr>
      <w:widowControl/>
      <w:pBdr>
        <w:top w:val="single" w:sz="6" w:space="1" w:color="000000"/>
      </w:pBdr>
      <w:bidi w:val="0"/>
      <w:spacing w:before="0" w:after="120"/>
    </w:pPr>
    <w:rPr>
      <w:rFonts w:ascii="Arial Narrow" w:hAnsi="Arial Narrow" w:eastAsia="Times New Roman;Times" w:cs="Arial Narrow"/>
      <w:color w:val="auto"/>
      <w:sz w:val="16"/>
      <w:szCs w:val="20"/>
      <w:lang w:val="en-US" w:eastAsia="zh-CN" w:bidi="hi-IN"/>
    </w:rPr>
  </w:style>
  <w:style w:type="paragraph" w:styleId="FootnoteText">
    <w:name w:val="footnote text"/>
    <w:basedOn w:val="NB"/>
    <w:pPr/>
    <w:rPr/>
  </w:style>
  <w:style w:type="paragraph" w:styleId="HeadTitle">
    <w:name w:val="HeadTitle"/>
    <w:qFormat/>
    <w:pPr>
      <w:widowControl/>
      <w:bidi w:val="0"/>
      <w:spacing w:before="0" w:after="120"/>
      <w:ind w:hanging="0" w:start="86" w:end="-115"/>
    </w:pPr>
    <w:rPr>
      <w:rFonts w:ascii="Arial; helvetica" w:hAnsi="Arial; helvetica" w:eastAsia="Times New Roman;Times" w:cs="Arial; helvetica"/>
      <w:b/>
      <w:color w:val="auto"/>
      <w:sz w:val="40"/>
      <w:szCs w:val="20"/>
      <w:lang w:val="en-US" w:eastAsia="zh-CN" w:bidi="hi-IN"/>
    </w:rPr>
  </w:style>
  <w:style w:type="paragraph" w:styleId="NewCompany">
    <w:name w:val="NewCompany"/>
    <w:basedOn w:val="HeadTitle"/>
    <w:qFormat/>
    <w:pPr/>
    <w:rPr/>
  </w:style>
  <w:style w:type="paragraph" w:styleId="NewTick">
    <w:name w:val="NewTick"/>
    <w:basedOn w:val="Normal"/>
    <w:qFormat/>
    <w:pPr>
      <w:keepNext w:val="true"/>
      <w:keepLines/>
      <w:ind w:hanging="0" w:start="0" w:end="58"/>
      <w:jc w:val="end"/>
    </w:pPr>
    <w:rPr>
      <w:rFonts w:ascii="Arial Narrow" w:hAnsi="Arial Narrow" w:cs="Arial Narrow"/>
      <w:b/>
      <w:smallCaps/>
      <w:sz w:val="32"/>
    </w:rPr>
  </w:style>
  <w:style w:type="paragraph" w:styleId="NewAnalystName">
    <w:name w:val="NewAnalystName"/>
    <w:basedOn w:val="Normal"/>
    <w:qFormat/>
    <w:pPr>
      <w:keepNext w:val="true"/>
      <w:keepLines/>
      <w:spacing w:before="0" w:after="0"/>
      <w:jc w:val="start"/>
    </w:pPr>
    <w:rPr>
      <w:sz w:val="28"/>
    </w:rPr>
  </w:style>
  <w:style w:type="paragraph" w:styleId="NewIndustry">
    <w:name w:val="NewIndustry"/>
    <w:basedOn w:val="NewAnalystName"/>
    <w:qFormat/>
    <w:pPr>
      <w:jc w:val="end"/>
    </w:pPr>
    <w:rPr>
      <w:b/>
    </w:rPr>
  </w:style>
  <w:style w:type="paragraph" w:styleId="Phone">
    <w:name w:val="Phone"/>
    <w:qFormat/>
    <w:pPr>
      <w:widowControl/>
      <w:bidi w:val="0"/>
      <w:ind w:hanging="0" w:start="86" w:end="0"/>
    </w:pPr>
    <w:rPr>
      <w:rFonts w:ascii="Arial; helvetica" w:hAnsi="Arial; helvetica" w:eastAsia="Times New Roman;Times" w:cs="Arial; helvetica"/>
      <w:color w:val="auto"/>
      <w:sz w:val="16"/>
      <w:szCs w:val="20"/>
      <w:lang w:val="en-US" w:eastAsia="zh-CN" w:bidi="hi-IN"/>
    </w:rPr>
  </w:style>
  <w:style w:type="paragraph" w:styleId="HangingText">
    <w:name w:val="HangingText"/>
    <w:basedOn w:val="Normal"/>
    <w:qFormat/>
    <w:pPr>
      <w:keepNext w:val="true"/>
      <w:spacing w:before="10" w:after="120"/>
      <w:jc w:val="start"/>
    </w:pPr>
    <w:rPr>
      <w:rFonts w:ascii="Arial Narrow" w:hAnsi="Arial Narrow" w:cs="Arial Narrow"/>
      <w:b/>
    </w:rPr>
  </w:style>
  <w:style w:type="paragraph" w:styleId="Subtitle">
    <w:name w:val="Subtitle"/>
    <w:next w:val="BodyText"/>
    <w:qFormat/>
    <w:pPr>
      <w:widowControl/>
      <w:bidi w:val="0"/>
      <w:spacing w:before="0" w:after="480"/>
      <w:ind w:hanging="0" w:start="130" w:end="-115"/>
    </w:pPr>
    <w:rPr>
      <w:rFonts w:ascii="Arial; helvetica" w:hAnsi="Arial; helvetica" w:eastAsia="Times New Roman;Times" w:cs="Arial; helvetica"/>
      <w:color w:val="auto"/>
      <w:sz w:val="24"/>
      <w:szCs w:val="20"/>
      <w:lang w:val="en-US" w:eastAsia="zh-CN" w:bidi="hi-IN"/>
    </w:rPr>
  </w:style>
  <w:style w:type="paragraph" w:styleId="IndustryDate">
    <w:name w:val="IndustryDate"/>
    <w:basedOn w:val="Industry"/>
    <w:qFormat/>
    <w:pPr>
      <w:tabs>
        <w:tab w:val="left" w:pos="2367" w:leader="none"/>
        <w:tab w:val="right" w:pos="9720" w:leader="none"/>
      </w:tabs>
      <w:ind w:hanging="0" w:start="0" w:end="0"/>
      <w:jc w:val="end"/>
    </w:pPr>
    <w:rPr/>
  </w:style>
  <w:style w:type="paragraph" w:styleId="CompanyDesc">
    <w:name w:val="CompanyDesc"/>
    <w:qFormat/>
    <w:pPr>
      <w:keepLines/>
      <w:widowControl/>
      <w:bidi w:val="0"/>
      <w:spacing w:lineRule="exact" w:line="240" w:before="60" w:after="60"/>
      <w:ind w:hanging="0" w:start="29" w:end="0"/>
    </w:pPr>
    <w:rPr>
      <w:rFonts w:ascii="Arial Narrow" w:hAnsi="Arial Narrow" w:eastAsia="Times New Roman;Times" w:cs="Arial Narrow"/>
      <w:b/>
      <w:color w:val="auto"/>
      <w:sz w:val="22"/>
      <w:szCs w:val="20"/>
      <w:lang w:val="en-US" w:eastAsia="zh-CN" w:bidi="hi-IN"/>
    </w:rPr>
  </w:style>
  <w:style w:type="paragraph" w:styleId="Email">
    <w:name w:val="Email"/>
    <w:qFormat/>
    <w:pPr>
      <w:widowControl/>
      <w:bidi w:val="0"/>
      <w:spacing w:before="0" w:after="120"/>
      <w:ind w:hanging="0" w:start="86" w:end="0"/>
    </w:pPr>
    <w:rPr>
      <w:rFonts w:ascii="Arial; helvetica" w:hAnsi="Arial; helvetica" w:eastAsia="Times New Roman;Times" w:cs="Arial; helvetica"/>
      <w:color w:val="auto"/>
      <w:sz w:val="16"/>
      <w:szCs w:val="20"/>
      <w:lang w:val="en-US" w:eastAsia="zh-CN" w:bidi="hi-IN"/>
    </w:rPr>
  </w:style>
  <w:style w:type="paragraph" w:styleId="Name">
    <w:name w:val="Name"/>
    <w:qFormat/>
    <w:pPr>
      <w:keepNext w:val="true"/>
      <w:widowControl/>
      <w:bidi w:val="0"/>
      <w:spacing w:before="60" w:after="0"/>
      <w:ind w:hanging="0" w:start="86" w:end="0"/>
    </w:pPr>
    <w:rPr>
      <w:rFonts w:ascii="Arial; helvetica" w:hAnsi="Arial; helvetica" w:eastAsia="Times New Roman;Times" w:cs="Arial; helvetica"/>
      <w:b/>
      <w:color w:val="auto"/>
      <w:sz w:val="16"/>
      <w:szCs w:val="20"/>
      <w:lang w:val="en-US" w:eastAsia="zh-CN" w:bidi="hi-IN"/>
    </w:rPr>
  </w:style>
  <w:style w:type="paragraph" w:styleId="DeskNoteBar">
    <w:name w:val="DeskNoteBar"/>
    <w:qFormat/>
    <w:pPr>
      <w:widowControl/>
      <w:shd w:fill="FF0000" w:val="clear"/>
      <w:tabs>
        <w:tab w:val="clear" w:pos="720"/>
        <w:tab w:val="center" w:pos="4320" w:leader="none"/>
        <w:tab w:val="right" w:pos="8640" w:leader="none"/>
      </w:tabs>
      <w:bidi w:val="0"/>
      <w:spacing w:before="0" w:after="120"/>
      <w:ind w:hanging="0" w:start="720" w:end="3240"/>
      <w:jc w:val="center"/>
    </w:pPr>
    <w:rPr>
      <w:rFonts w:ascii="Arial; helvetica" w:hAnsi="Arial; helvetica" w:eastAsia="Times New Roman;Times" w:cs="Arial; helvetica"/>
      <w:b/>
      <w:caps/>
      <w:color w:val="FFFFFF"/>
      <w:sz w:val="32"/>
      <w:szCs w:val="20"/>
      <w:lang w:val="en-US" w:eastAsia="zh-CN" w:bidi="hi-IN"/>
    </w:rPr>
  </w:style>
  <w:style w:type="paragraph" w:styleId="Reut">
    <w:name w:val="Reut"/>
    <w:basedOn w:val="Tick"/>
    <w:qFormat/>
    <w:pPr/>
    <w:rPr/>
  </w:style>
  <w:style w:type="paragraph" w:styleId="Other">
    <w:name w:val="Other"/>
    <w:basedOn w:val="Tick"/>
    <w:qFormat/>
    <w:pPr/>
    <w:rPr/>
  </w:style>
  <w:style w:type="paragraph" w:styleId="headerfield">
    <w:name w:val="headerfield"/>
    <w:qFormat/>
    <w:pPr>
      <w:keepNext w:val="true"/>
      <w:widowControl/>
      <w:pBdr>
        <w:bottom w:val="single" w:sz="6" w:space="6" w:color="000000"/>
      </w:pBdr>
      <w:tabs>
        <w:tab w:val="clear" w:pos="720"/>
        <w:tab w:val="left" w:pos="4680" w:leader="none"/>
      </w:tabs>
      <w:bidi w:val="0"/>
      <w:spacing w:before="60" w:after="0"/>
      <w:ind w:hanging="0" w:start="-2390" w:end="-43"/>
    </w:pPr>
    <w:rPr>
      <w:rFonts w:ascii="Arial; helvetica" w:hAnsi="Arial; helvetica" w:eastAsia="Times New Roman;Times" w:cs="Arial; helvetica"/>
      <w:color w:val="auto"/>
      <w:sz w:val="24"/>
      <w:szCs w:val="20"/>
      <w:lang w:val="en-US" w:eastAsia="zh-CN" w:bidi="hi-IN"/>
    </w:rPr>
  </w:style>
  <w:style w:type="paragraph" w:styleId="Head3">
    <w:name w:val="Head3"/>
    <w:basedOn w:val="Head2"/>
    <w:next w:val="Text"/>
    <w:qFormat/>
    <w:pPr>
      <w:spacing w:before="0" w:after="0"/>
    </w:pPr>
    <w:rPr/>
  </w:style>
  <w:style w:type="paragraph" w:styleId="NewIndustryName">
    <w:name w:val="NewIndustryName"/>
    <w:basedOn w:val="NewIndustry"/>
    <w:qFormat/>
    <w:pPr>
      <w:keepLines w:val="false"/>
      <w:spacing w:before="0" w:after="120"/>
      <w:ind w:hanging="0" w:start="43" w:end="0"/>
      <w:jc w:val="start"/>
    </w:pPr>
    <w:rPr>
      <w:b w:val="false"/>
      <w:sz w:val="16"/>
    </w:rPr>
  </w:style>
  <w:style w:type="paragraph" w:styleId="PlaceHolder">
    <w:name w:val="PlaceHolder"/>
    <w:qFormat/>
    <w:pPr>
      <w:widowControl/>
      <w:bidi w:val="0"/>
      <w:jc w:val="center"/>
    </w:pPr>
    <w:rPr>
      <w:rFonts w:ascii="Arial; helvetica" w:hAnsi="Arial; helvetica" w:eastAsia="Times New Roman;Times" w:cs="Arial; helvetica"/>
      <w:b/>
      <w:caps/>
      <w:vanish/>
      <w:color w:val="FF0000"/>
      <w:sz w:val="16"/>
      <w:szCs w:val="20"/>
      <w:lang w:val="en-US" w:eastAsia="zh-CN" w:bidi="hi-IN"/>
    </w:rPr>
  </w:style>
  <w:style w:type="paragraph" w:styleId="TOC1">
    <w:name w:val="TOC1"/>
    <w:basedOn w:val="Normal"/>
    <w:next w:val="TOC2"/>
    <w:qFormat/>
    <w:pPr>
      <w:keepNext w:val="true"/>
      <w:pBdr>
        <w:bottom w:val="single" w:sz="4" w:space="1" w:color="000000"/>
      </w:pBdr>
      <w:tabs>
        <w:tab w:val="clear" w:pos="720"/>
        <w:tab w:val="right" w:pos="7200" w:leader="none"/>
      </w:tabs>
      <w:suppressAutoHyphens w:val="true"/>
      <w:spacing w:lineRule="exact" w:line="280" w:before="0" w:after="0"/>
      <w:jc w:val="start"/>
    </w:pPr>
    <w:rPr>
      <w:b/>
      <w:sz w:val="22"/>
    </w:rPr>
  </w:style>
  <w:style w:type="paragraph" w:styleId="TOC2">
    <w:name w:val="TOC2"/>
    <w:basedOn w:val="TOC1"/>
    <w:qFormat/>
    <w:pPr>
      <w:keepNext w:val="false"/>
      <w:keepLines/>
      <w:pBdr>
        <w:bottom w:val="single" w:sz="6" w:space="3" w:color="000000"/>
      </w:pBdr>
      <w:ind w:firstLine="202" w:start="0" w:end="0"/>
    </w:pPr>
    <w:rPr>
      <w:b w:val="false"/>
    </w:rPr>
  </w:style>
  <w:style w:type="paragraph" w:styleId="SPC">
    <w:name w:val="SPC"/>
    <w:basedOn w:val="Normal"/>
    <w:qFormat/>
    <w:pPr>
      <w:pBdr>
        <w:bottom w:val="single" w:sz="6" w:space="1" w:color="000000"/>
      </w:pBdr>
      <w:tabs>
        <w:tab w:val="clear" w:pos="720"/>
        <w:tab w:val="right" w:pos="1080" w:leader="none"/>
      </w:tabs>
      <w:spacing w:before="300" w:after="360"/>
      <w:ind w:hanging="72" w:start="72" w:end="-144"/>
      <w:jc w:val="start"/>
    </w:pPr>
    <w:rPr>
      <w:rFonts w:ascii="Arial Narrow" w:hAnsi="Arial Narrow" w:cs="Arial Narrow"/>
      <w:b/>
      <w:sz w:val="22"/>
    </w:rPr>
  </w:style>
  <w:style w:type="paragraph" w:styleId="GraphicTitle">
    <w:name w:val="GraphicTitle"/>
    <w:qFormat/>
    <w:pPr>
      <w:widowControl/>
      <w:bidi w:val="0"/>
      <w:spacing w:before="60" w:after="60"/>
      <w:ind w:hanging="0" w:start="-115" w:end="-115"/>
      <w:jc w:val="center"/>
    </w:pPr>
    <w:rPr>
      <w:rFonts w:ascii="Arial; helvetica" w:hAnsi="Arial; helvetica" w:eastAsia="Times New Roman;Times" w:cs="Arial; helvetica"/>
      <w:b/>
      <w:i/>
      <w:color w:val="auto"/>
      <w:sz w:val="16"/>
      <w:szCs w:val="20"/>
      <w:lang w:val="en-US" w:eastAsia="zh-CN" w:bidi="hi-IN"/>
    </w:rPr>
  </w:style>
  <w:style w:type="paragraph" w:styleId="TableOfContents">
    <w:name w:val="TableOfContents"/>
    <w:basedOn w:val="Normal"/>
    <w:qFormat/>
    <w:pPr>
      <w:keepNext w:val="true"/>
      <w:pageBreakBefore/>
      <w:pBdr>
        <w:bottom w:val="single" w:sz="4" w:space="1" w:color="000000"/>
      </w:pBdr>
      <w:spacing w:before="0" w:after="240"/>
      <w:jc w:val="start"/>
    </w:pPr>
    <w:rPr>
      <w:b/>
      <w:sz w:val="24"/>
    </w:rPr>
  </w:style>
  <w:style w:type="paragraph" w:styleId="Picture">
    <w:name w:val="Picture"/>
    <w:qFormat/>
    <w:pPr>
      <w:widowControl/>
      <w:bidi w:val="0"/>
      <w:spacing w:before="60" w:after="120"/>
    </w:pPr>
    <w:rPr>
      <w:rFonts w:ascii="Arial; helvetica" w:hAnsi="Arial; helvetica" w:eastAsia="Times New Roman;Times" w:cs="Arial; helvetica"/>
      <w:color w:val="auto"/>
      <w:sz w:val="20"/>
      <w:szCs w:val="20"/>
      <w:lang w:val="en-US" w:eastAsia="zh-CN" w:bidi="hi-IN"/>
    </w:rPr>
  </w:style>
  <w:style w:type="paragraph" w:styleId="Price">
    <w:name w:val="Price"/>
    <w:basedOn w:val="Opinion"/>
    <w:qFormat/>
    <w:pPr>
      <w:spacing w:before="0" w:after="0"/>
      <w:ind w:hanging="0" w:start="43" w:end="-115"/>
    </w:pPr>
    <w:rPr/>
  </w:style>
  <w:style w:type="paragraph" w:styleId="InsertTOC">
    <w:name w:val="InsertTOC"/>
    <w:qFormat/>
    <w:pPr>
      <w:widowControl/>
      <w:bidi w:val="0"/>
    </w:pPr>
    <w:rPr>
      <w:rFonts w:ascii="Arial; helvetica" w:hAnsi="Arial; helvetica" w:eastAsia="Times New Roman;Times" w:cs="Arial; helvetica"/>
      <w:b/>
      <w:caps/>
      <w:vanish/>
      <w:color w:val="FF0000"/>
      <w:sz w:val="18"/>
      <w:szCs w:val="20"/>
      <w:lang w:val="en-US" w:eastAsia="zh-CN" w:bidi="hi-IN"/>
    </w:rPr>
  </w:style>
  <w:style w:type="paragraph" w:styleId="GraphicSource">
    <w:name w:val="GraphicSource"/>
    <w:basedOn w:val="GraphicTitle"/>
    <w:qFormat/>
    <w:pPr>
      <w:spacing w:before="60" w:after="0"/>
      <w:ind w:hanging="0" w:start="0" w:end="-115"/>
      <w:jc w:val="start"/>
    </w:pPr>
    <w:rPr>
      <w:b w:val="false"/>
      <w:i w:val="false"/>
    </w:rPr>
  </w:style>
  <w:style w:type="paragraph" w:styleId="HeaderPortrait">
    <w:name w:val="HeaderPortrait"/>
    <w:basedOn w:val="HeaderMain"/>
    <w:qFormat/>
    <w:pPr>
      <w:tabs>
        <w:tab w:val="clear" w:pos="7200"/>
        <w:tab w:val="right" w:pos="9446" w:leader="none"/>
      </w:tabs>
      <w:ind w:hanging="0" w:start="0" w:end="-43"/>
    </w:pPr>
    <w:rPr/>
  </w:style>
  <w:style w:type="paragraph" w:styleId="HeaderTitleEvenPg">
    <w:name w:val="Header Title Even Pg"/>
    <w:basedOn w:val="HeaderMain"/>
    <w:qFormat/>
    <w:pPr>
      <w:spacing w:before="60" w:after="120"/>
      <w:jc w:val="end"/>
    </w:pPr>
    <w:rPr/>
  </w:style>
  <w:style w:type="paragraph" w:styleId="HeaderTitleOddPg">
    <w:name w:val="Header Title OddPg"/>
    <w:basedOn w:val="HeaderTitleEvenPg"/>
    <w:qFormat/>
    <w:pPr>
      <w:jc w:val="start"/>
    </w:pPr>
    <w:rPr/>
  </w:style>
  <w:style w:type="paragraph" w:styleId="Top">
    <w:name w:val="Top"/>
    <w:basedOn w:val="Normal"/>
    <w:qFormat/>
    <w:pPr>
      <w:pBdr>
        <w:top w:val="single" w:sz="6" w:space="1" w:color="000000"/>
      </w:pBdr>
      <w:spacing w:before="0" w:after="0"/>
      <w:jc w:val="start"/>
    </w:pPr>
    <w:rPr>
      <w:caps/>
      <w:sz w:val="16"/>
    </w:rPr>
  </w:style>
  <w:style w:type="paragraph" w:styleId="Region">
    <w:name w:val="Region"/>
    <w:qFormat/>
    <w:pPr>
      <w:widowControl/>
      <w:tabs>
        <w:tab w:val="clear" w:pos="720"/>
        <w:tab w:val="left" w:pos="2367" w:leader="none"/>
      </w:tabs>
      <w:bidi w:val="0"/>
      <w:spacing w:before="120" w:after="0"/>
      <w:ind w:hanging="0" w:start="86" w:end="0"/>
    </w:pPr>
    <w:rPr>
      <w:rFonts w:ascii="Arial Narrow" w:hAnsi="Arial Narrow" w:eastAsia="Times New Roman;Times" w:cs="Arial Narrow"/>
      <w:b/>
      <w:color w:val="auto"/>
      <w:sz w:val="18"/>
      <w:szCs w:val="20"/>
      <w:lang w:val="en-US" w:eastAsia="zh-CN" w:bidi="hi-IN"/>
    </w:rPr>
  </w:style>
  <w:style w:type="paragraph" w:styleId="BranchList">
    <w:name w:val="BranchList"/>
    <w:basedOn w:val="Text"/>
    <w:qFormat/>
    <w:pPr/>
    <w:rPr/>
  </w:style>
  <w:style w:type="paragraph" w:styleId="BlankPage">
    <w:name w:val="BlankPage"/>
    <w:basedOn w:val="Text"/>
    <w:qFormat/>
    <w:pPr/>
    <w:rPr>
      <w:rFonts w:ascii="Palatino" w:hAnsi="Palatino" w:cs="Palatino"/>
      <w:b/>
      <w:vanish/>
      <w:color w:val="FF0000"/>
      <w:sz w:val="28"/>
    </w:rPr>
  </w:style>
  <w:style w:type="paragraph" w:styleId="FooterMain">
    <w:name w:val="FooterMain"/>
    <w:qFormat/>
    <w:pPr>
      <w:widowControl/>
      <w:pBdr>
        <w:top w:val="single" w:sz="4" w:space="1" w:color="000000"/>
      </w:pBdr>
      <w:bidi w:val="0"/>
      <w:ind w:hanging="0" w:start="-2390" w:end="0"/>
      <w:jc w:val="center"/>
    </w:pPr>
    <w:rPr>
      <w:rFonts w:ascii="Arial; helvetica" w:hAnsi="Arial; helvetica" w:eastAsia="Times New Roman;Times" w:cs="Arial; helvetica"/>
      <w:color w:val="auto"/>
      <w:sz w:val="20"/>
      <w:szCs w:val="20"/>
      <w:lang w:val="en-US" w:eastAsia="zh-CN" w:bidi="hi-IN"/>
    </w:rPr>
  </w:style>
  <w:style w:type="paragraph" w:styleId="officename">
    <w:name w:val="officename"/>
    <w:basedOn w:val="Office"/>
    <w:qFormat/>
    <w:pPr>
      <w:pBdr>
        <w:right w:val="single" w:sz="12" w:space="4" w:color="000000"/>
      </w:pBdr>
      <w:tabs>
        <w:tab w:val="clear" w:pos="4320"/>
        <w:tab w:val="right" w:pos="2700" w:leader="dot"/>
        <w:tab w:val="left" w:pos="5760" w:leader="none"/>
        <w:tab w:val="right" w:pos="9450" w:leader="none"/>
      </w:tabs>
      <w:spacing w:before="0" w:after="60"/>
    </w:pPr>
    <w:rPr>
      <w:rFonts w:ascii="Arial Narrow" w:hAnsi="Arial Narrow" w:cs="Arial Narrow"/>
      <w:b/>
    </w:rPr>
  </w:style>
  <w:style w:type="paragraph" w:styleId="FooterPortrait">
    <w:name w:val="FooterPortrait"/>
    <w:basedOn w:val="FooterMain"/>
    <w:qFormat/>
    <w:pPr>
      <w:ind w:hanging="0" w:start="0" w:end="0"/>
    </w:pPr>
    <w:rPr/>
  </w:style>
  <w:style w:type="paragraph" w:styleId="HeaderLandscape">
    <w:name w:val="HeaderLandscape"/>
    <w:basedOn w:val="HeaderPortrait"/>
    <w:qFormat/>
    <w:pPr>
      <w:tabs>
        <w:tab w:val="clear" w:pos="9446"/>
        <w:tab w:val="right" w:pos="13234" w:leader="none"/>
      </w:tabs>
    </w:pPr>
    <w:rPr/>
  </w:style>
  <w:style w:type="paragraph" w:styleId="MarkTable">
    <w:name w:val="MarkTable"/>
    <w:basedOn w:val="TableColHead"/>
    <w:qFormat/>
    <w:pPr/>
    <w:rPr/>
  </w:style>
  <w:style w:type="paragraph" w:styleId="TOC11">
    <w:name w:val="toc 1"/>
    <w:basedOn w:val="Normal"/>
    <w:next w:val="Normal"/>
    <w:pPr>
      <w:spacing w:lineRule="exact" w:line="280" w:before="0" w:after="0"/>
      <w:jc w:val="start"/>
    </w:pPr>
    <w:rPr>
      <w:b/>
      <w:lang w:val="en-GB"/>
    </w:rPr>
  </w:style>
  <w:style w:type="paragraph" w:styleId="AAABulletsSC">
    <w:name w:val="AAA_Bullets_SC"/>
    <w:basedOn w:val="Normal"/>
    <w:qFormat/>
    <w:pPr>
      <w:numPr>
        <w:ilvl w:val="0"/>
        <w:numId w:val="8"/>
      </w:numPr>
      <w:tabs>
        <w:tab w:val="clear" w:pos="720"/>
        <w:tab w:val="left" w:pos="0" w:leader="none"/>
      </w:tabs>
      <w:spacing w:before="60" w:after="60"/>
      <w:ind w:hanging="0" w:start="0" w:end="-14"/>
      <w:jc w:val="start"/>
    </w:pPr>
    <w:rPr>
      <w:sz w:val="22"/>
      <w:lang w:val="en-CA"/>
    </w:rPr>
  </w:style>
  <w:style w:type="paragraph" w:styleId="FootnoteText1">
    <w:name w:val="Footnote Text1"/>
    <w:basedOn w:val="Normal"/>
    <w:qFormat/>
    <w:pPr/>
    <w:rPr/>
  </w:style>
  <w:style w:type="paragraph" w:styleId="BodyTextIndent">
    <w:name w:val="Body Text Indent"/>
    <w:basedOn w:val="Normal"/>
    <w:pPr>
      <w:spacing w:lineRule="auto" w:line="360" w:before="0" w:after="0"/>
      <w:ind w:firstLine="720" w:start="0" w:end="0"/>
      <w:jc w:val="start"/>
    </w:pPr>
    <w:rPr>
      <w:rFonts w:ascii="Times New Roman;Times" w:hAnsi="Times New Roman;Times" w:cs="Times New Roman;Times"/>
    </w:rPr>
  </w:style>
  <w:style w:type="paragraph" w:styleId="BodyText2">
    <w:name w:val="Body Text 2"/>
    <w:basedOn w:val="Normal"/>
    <w:qFormat/>
    <w:pPr>
      <w:spacing w:before="0" w:after="0"/>
      <w:jc w:val="start"/>
    </w:pPr>
    <w:rPr>
      <w:rFonts w:ascii="Times New Roman;Times" w:hAnsi="Times New Roman;Times" w:cs="Times New Roman;Times"/>
      <w:b/>
      <w:sz w:val="24"/>
    </w:rPr>
  </w:style>
  <w:style w:type="paragraph" w:styleId="BodyText3">
    <w:name w:val="Body Text 3"/>
    <w:basedOn w:val="Normal"/>
    <w:qFormat/>
    <w:pPr>
      <w:spacing w:before="0" w:after="0"/>
      <w:jc w:val="start"/>
    </w:pPr>
    <w:rPr>
      <w:rFonts w:ascii="Times New Roman;Times" w:hAnsi="Times New Roman;Times" w:cs="Times New Roman;Times"/>
      <w:i/>
      <w:sz w:val="24"/>
    </w:rPr>
  </w:style>
  <w:style w:type="paragraph" w:styleId="ListBullet">
    <w:name w:val="List Bullet"/>
    <w:basedOn w:val="Normal"/>
    <w:qFormat/>
    <w:pPr>
      <w:numPr>
        <w:ilvl w:val="0"/>
        <w:numId w:val="2"/>
      </w:numPr>
      <w:spacing w:before="0" w:after="0"/>
      <w:jc w:val="start"/>
    </w:pPr>
    <w:rPr/>
  </w:style>
  <w:style w:type="paragraph" w:styleId="BottomBar">
    <w:name w:val="Bottom Bar"/>
    <w:basedOn w:val="Normal"/>
    <w:qFormat/>
    <w:pPr>
      <w:pBdr>
        <w:bottom w:val="single" w:sz="36" w:space="0" w:color="00FFFF"/>
      </w:pBdr>
      <w:spacing w:before="0" w:after="0"/>
      <w:jc w:val="center"/>
    </w:pPr>
    <w:rPr/>
  </w:style>
  <w:style w:type="paragraph" w:styleId="SymbolBox">
    <w:name w:val="SymbolBox"/>
    <w:basedOn w:val="Normal"/>
    <w:qFormat/>
    <w:pPr>
      <w:spacing w:before="0" w:after="0"/>
      <w:jc w:val="center"/>
    </w:pPr>
    <w:rPr>
      <w:sz w:val="8"/>
    </w:rPr>
  </w:style>
  <w:style w:type="paragraph" w:styleId="CompanyInfo">
    <w:name w:val="CompanyInfo"/>
    <w:basedOn w:val="DataBoxTitle"/>
    <w:qFormat/>
    <w:pPr>
      <w:pBdr>
        <w:bottom w:val="single" w:sz="12" w:space="6" w:color="000000"/>
      </w:pBdr>
      <w:spacing w:lineRule="auto" w:line="240" w:before="60" w:after="360"/>
      <w:ind w:hanging="72" w:start="72" w:end="-151"/>
      <w:jc w:val="start"/>
    </w:pPr>
    <w:rPr>
      <w:sz w:val="22"/>
    </w:rPr>
  </w:style>
  <w:style w:type="paragraph" w:styleId="CompanyReport">
    <w:name w:val="Company Report"/>
    <w:basedOn w:val="Head1"/>
    <w:qFormat/>
    <w:pPr/>
    <w:rPr>
      <w:sz w:val="22"/>
    </w:rPr>
  </w:style>
  <w:style w:type="paragraph" w:styleId="Body">
    <w:name w:val="Body"/>
    <w:basedOn w:val="Normal"/>
    <w:qFormat/>
    <w:pPr>
      <w:spacing w:before="0" w:after="0"/>
    </w:pPr>
    <w:rPr>
      <w:kern w:val="2"/>
      <w:sz w:val="14"/>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3492" w:leader="none"/>
        <w:tab w:val="right" w:pos="6984"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image" Target="media/image6.wmf"/><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image" Target="media/image7.wmf"/><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image" Target="media/image8.wmf"/><Relationship Id="rId23" Type="http://schemas.openxmlformats.org/officeDocument/2006/relationships/header" Target="header8.xml"/><Relationship Id="rId24" Type="http://schemas.openxmlformats.org/officeDocument/2006/relationships/header" Target="header9.xml"/><Relationship Id="rId25" Type="http://schemas.openxmlformats.org/officeDocument/2006/relationships/footer" Target="footer8.xml"/><Relationship Id="rId26" Type="http://schemas.openxmlformats.org/officeDocument/2006/relationships/footer" Target="footer9.xml"/><Relationship Id="rId27" Type="http://schemas.openxmlformats.org/officeDocument/2006/relationships/image" Target="media/image9.wmf"/><Relationship Id="rId28" Type="http://schemas.openxmlformats.org/officeDocument/2006/relationships/image" Target="media/image10.wmf"/><Relationship Id="rId29" Type="http://schemas.openxmlformats.org/officeDocument/2006/relationships/header" Target="header10.xml"/><Relationship Id="rId30" Type="http://schemas.openxmlformats.org/officeDocument/2006/relationships/header" Target="header11.xml"/><Relationship Id="rId31" Type="http://schemas.openxmlformats.org/officeDocument/2006/relationships/footer" Target="footer10.xml"/><Relationship Id="rId32" Type="http://schemas.openxmlformats.org/officeDocument/2006/relationships/footer" Target="footer11.xml"/><Relationship Id="rId33" Type="http://schemas.openxmlformats.org/officeDocument/2006/relationships/image" Target="media/image11.wmf"/><Relationship Id="rId34" Type="http://schemas.openxmlformats.org/officeDocument/2006/relationships/image" Target="media/image12.wmf"/><Relationship Id="rId35" Type="http://schemas.openxmlformats.org/officeDocument/2006/relationships/header" Target="header12.xml"/><Relationship Id="rId36" Type="http://schemas.openxmlformats.org/officeDocument/2006/relationships/header" Target="header13.xml"/><Relationship Id="rId37" Type="http://schemas.openxmlformats.org/officeDocument/2006/relationships/footer" Target="footer12.xml"/><Relationship Id="rId38" Type="http://schemas.openxmlformats.org/officeDocument/2006/relationships/footer" Target="footer13.xml"/><Relationship Id="rId39" Type="http://schemas.openxmlformats.org/officeDocument/2006/relationships/image" Target="media/image13.wmf"/><Relationship Id="rId40" Type="http://schemas.openxmlformats.org/officeDocument/2006/relationships/header" Target="header14.xml"/><Relationship Id="rId41" Type="http://schemas.openxmlformats.org/officeDocument/2006/relationships/header" Target="header15.xml"/><Relationship Id="rId42" Type="http://schemas.openxmlformats.org/officeDocument/2006/relationships/footer" Target="footer14.xml"/><Relationship Id="rId43" Type="http://schemas.openxmlformats.org/officeDocument/2006/relationships/footer" Target="footer15.xml"/><Relationship Id="rId44" Type="http://schemas.openxmlformats.org/officeDocument/2006/relationships/header" Target="header16.xml"/><Relationship Id="rId45" Type="http://schemas.openxmlformats.org/officeDocument/2006/relationships/header" Target="header17.xml"/><Relationship Id="rId46" Type="http://schemas.openxmlformats.org/officeDocument/2006/relationships/footer" Target="footer16.xml"/><Relationship Id="rId47" Type="http://schemas.openxmlformats.org/officeDocument/2006/relationships/footer" Target="footer17.xm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_rels/header16.xml.rels><?xml version="1.0" encoding="UTF-8"?>
<Relationships xmlns="http://schemas.openxmlformats.org/package/2006/relationships"><Relationship Id="rId1" Type="http://schemas.openxmlformats.org/officeDocument/2006/relationships/image" Target="media/image14.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Self99.dot</Template>
  <TotalTime>861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2001-06-03T11:50:00Z</dcterms:created>
  <dc:creator>Bryan Sifert</dc:creator>
  <dc:description/>
  <dc:language>en-CA</dc:language>
  <cp:lastModifiedBy>CSFB1</cp:lastModifiedBy>
  <cp:lastPrinted>2001-06-03T19:46:00Z</cp:lastPrinted>
  <dcterms:modified xsi:type="dcterms:W3CDTF">2001-06-04T09:46:00Z</dcterms:modified>
  <cp:revision>36</cp:revision>
  <dc:subject>Research Report</dc:subject>
  <dc:title>Self 1997 Template</dc:title>
</cp:coreProperties>
</file>