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16.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2.wmf" ContentType="image/x-wmf"/>
  <Override PartName="/word/media/image3.wmf" ContentType="image/x-wmf"/>
  <Override PartName="/word/media/image1.png" ContentType="image/png"/>
  <Override PartName="/word/media/image14.wmf" ContentType="image/x-wmf"/>
  <Override PartName="/word/media/image5.wmf" ContentType="image/x-wmf"/>
  <Override PartName="/word/media/image15.wmf" ContentType="image/x-wmf"/>
  <Override PartName="/word/media/image6.wmf" ContentType="image/x-wmf"/>
  <Override PartName="/word/media/image10.wmf" ContentType="image/x-wmf"/>
  <Override PartName="/word/media/image7.wmf" ContentType="image/x-wmf"/>
  <Override PartName="/word/media/image8.png" ContentType="image/png"/>
  <Override PartName="/word/media/image11.wmf" ContentType="image/x-wmf"/>
  <Override PartName="/word/media/image2.wmf" ContentType="image/x-wmf"/>
  <Override PartName="/word/media/image9.wmf" ContentType="image/x-wmf"/>
  <Override PartName="/word/media/image13.wmf" ContentType="image/x-wmf"/>
  <Override PartName="/word/media/image4.wmf" ContentType="image/x-wmf"/>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go"/>
        <w:jc w:val="center"/>
        <w:rPr/>
      </w:pPr>
      <w:r>
        <w:rPr>
          <w:rFonts w:eastAsia="Arial Narrow"/>
          <w:b/>
          <w:caps w:val="false"/>
          <w:smallCaps w:val="false"/>
          <w:color w:val="000000"/>
          <w:sz w:val="28"/>
        </w:rPr>
        <w:t xml:space="preserve"> </w:t>
      </w:r>
      <w:r>
        <w:rPr>
          <w:b/>
          <w:caps w:val="false"/>
          <w:smallCaps w:val="false"/>
          <w:color w:val="000000"/>
          <w:sz w:val="28"/>
        </w:rPr>
        <w:drawing>
          <wp:inline distT="0" distB="0" distL="0" distR="0">
            <wp:extent cx="1410970" cy="39751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26" t="-90" r="-26" b="-90"/>
                    <a:stretch>
                      <a:fillRect/>
                    </a:stretch>
                  </pic:blipFill>
                  <pic:spPr bwMode="auto">
                    <a:xfrm>
                      <a:off x="0" y="0"/>
                      <a:ext cx="1410970" cy="397510"/>
                    </a:xfrm>
                    <a:prstGeom prst="rect">
                      <a:avLst/>
                    </a:prstGeom>
                    <a:noFill/>
                  </pic:spPr>
                </pic:pic>
              </a:graphicData>
            </a:graphic>
          </wp:inline>
        </w:drawing>
      </w:r>
      <w:r>
        <w:rPr>
          <w:b/>
          <w:color w:val="000000"/>
          <w:sz w:val="28"/>
        </w:rPr>
        <w:tab/>
      </w:r>
      <w:r>
        <w:rPr/>
        <w:t>may 21, 2001</w:t>
      </w:r>
    </w:p>
    <w:p>
      <w:pPr>
        <w:sectPr>
          <w:headerReference w:type="default" r:id="rId3"/>
          <w:headerReference w:type="first" r:id="rId4"/>
          <w:footerReference w:type="default" r:id="rId5"/>
          <w:footerReference w:type="first" r:id="rId6"/>
          <w:type w:val="nextPage"/>
          <w:pgSz w:w="12240" w:h="15840"/>
          <w:pgMar w:left="3816" w:right="1440" w:gutter="0" w:header="720" w:top="994" w:footer="360" w:bottom="1080"/>
          <w:pgNumType w:fmt="decimal"/>
          <w:formProt w:val="false"/>
          <w:titlePg/>
          <w:textDirection w:val="lrTb"/>
          <w:docGrid w:type="default" w:linePitch="360" w:charSpace="0"/>
        </w:sectPr>
      </w:pPr>
    </w:p>
    <w:tbl>
      <w:tblPr>
        <w:tblW w:w="10170" w:type="dxa"/>
        <w:jc w:val="start"/>
        <w:tblInd w:w="-2070" w:type="dxa"/>
        <w:tblLayout w:type="fixed"/>
        <w:tblCellMar>
          <w:top w:w="0" w:type="dxa"/>
          <w:start w:w="0" w:type="dxa"/>
          <w:bottom w:w="0" w:type="dxa"/>
          <w:end w:w="0" w:type="dxa"/>
        </w:tblCellMar>
      </w:tblPr>
      <w:tblGrid>
        <w:gridCol w:w="10170"/>
      </w:tblGrid>
      <w:tr>
        <w:trPr>
          <w:trHeight w:val="1110" w:hRule="exact"/>
        </w:trPr>
        <w:tc>
          <w:tcPr>
            <w:tcW w:w="10170" w:type="dxa"/>
            <w:tcBorders>
              <w:top w:val="single" w:sz="4" w:space="0" w:color="000000"/>
              <w:bottom w:val="single" w:sz="4" w:space="0" w:color="000000"/>
            </w:tcBorders>
          </w:tcPr>
          <w:p>
            <w:pPr>
              <w:pStyle w:val="HeadTitle"/>
              <w:spacing w:before="60" w:after="0"/>
              <w:ind w:start="0" w:end="0"/>
              <w:jc w:val="center"/>
              <w:rPr>
                <w:rFonts w:ascii="Arial Black" w:hAnsi="Arial Black" w:cs="Arial Black"/>
                <w:i/>
                <w:i/>
                <w:caps/>
                <w:color w:val="0000FF"/>
                <w:sz w:val="52"/>
              </w:rPr>
            </w:pPr>
            <w:r>
              <w:rPr>
                <w:rFonts w:cs="Arial Black" w:ascii="Arial Black" w:hAnsi="Arial Black"/>
                <w:i/>
                <w:caps/>
                <w:color w:val="0000FF"/>
                <w:sz w:val="52"/>
              </w:rPr>
              <w:t>Independent Power Weekly</w:t>
            </w:r>
          </w:p>
          <w:p>
            <w:pPr>
              <w:pStyle w:val="HeadTitle"/>
              <w:spacing w:before="0" w:after="0"/>
              <w:ind w:start="0" w:end="0"/>
              <w:jc w:val="center"/>
              <w:rPr>
                <w:rFonts w:ascii="Arial Black" w:hAnsi="Arial Black" w:cs="Arial Black"/>
                <w:b w:val="false"/>
                <w:caps/>
                <w:color w:val="FF0000"/>
                <w:sz w:val="20"/>
              </w:rPr>
            </w:pPr>
            <w:r>
              <w:rPr>
                <w:rFonts w:cs="Arial Black" w:ascii="Arial Black" w:hAnsi="Arial Black"/>
                <w:b w:val="false"/>
                <w:caps/>
                <w:color w:val="FF0000"/>
                <w:sz w:val="20"/>
              </w:rPr>
              <w:t>ISSUE TWENTY-eight</w:t>
            </w:r>
          </w:p>
          <w:p>
            <w:pPr>
              <w:pStyle w:val="HeadTitle"/>
              <w:spacing w:before="60" w:after="0"/>
              <w:ind w:start="0" w:end="0"/>
              <w:jc w:val="end"/>
              <w:rPr>
                <w:rFonts w:ascii="Arial Black" w:hAnsi="Arial Black" w:cs="Arial Black"/>
                <w:b w:val="false"/>
                <w:caps/>
                <w:color w:val="FF0000"/>
                <w:sz w:val="20"/>
              </w:rPr>
            </w:pPr>
            <w:r>
              <w:rPr>
                <w:rFonts w:cs="Arial Black" w:ascii="Arial Black" w:hAnsi="Arial Black"/>
                <w:b w:val="false"/>
                <w:caps/>
                <w:color w:val="FF0000"/>
                <w:sz w:val="20"/>
              </w:rPr>
            </w:r>
          </w:p>
        </w:tc>
      </w:tr>
    </w:tbl>
    <w:p>
      <w:pPr>
        <w:pStyle w:val="CameraReadyTableTitle"/>
        <w:spacing w:before="240" w:after="0"/>
        <w:rPr/>
      </w:pPr>
      <w:r>
        <w:rPr>
          <w:i/>
        </w:rPr>
        <w:t>Exhibit 1:</w:t>
      </w:r>
      <w:r>
        <w:rPr/>
        <w:t xml:space="preserve">   CSFB IPP Composite</w:t>
      </w:r>
      <w:r>
        <mc:AlternateContent>
          <mc:Choice Requires="wps">
            <w:drawing>
              <wp:anchor behindDoc="0" distT="0" distB="0" distL="0" distR="0" simplePos="0" locked="0" layoutInCell="0" allowOverlap="1" relativeHeight="3">
                <wp:simplePos x="0" y="0"/>
                <wp:positionH relativeFrom="page">
                  <wp:posOffset>732155</wp:posOffset>
                </wp:positionH>
                <wp:positionV relativeFrom="paragraph">
                  <wp:posOffset>191770</wp:posOffset>
                </wp:positionV>
                <wp:extent cx="1187450" cy="1468120"/>
                <wp:effectExtent l="0" t="0" r="0" b="0"/>
                <wp:wrapSquare wrapText="bothSides"/>
                <wp:docPr id="3" name="Frame1"/>
                <a:graphic xmlns:a="http://schemas.openxmlformats.org/drawingml/2006/main">
                  <a:graphicData uri="http://schemas.microsoft.com/office/word/2010/wordprocessingShape">
                    <wps:wsp>
                      <wps:cNvSpPr txBox="1"/>
                      <wps:spPr>
                        <a:xfrm>
                          <a:off x="0" y="0"/>
                          <a:ext cx="1187450" cy="1468120"/>
                        </a:xfrm>
                        <a:prstGeom prst="rect"/>
                        <a:solidFill>
                          <a:srgbClr val="FFFFFF">
                            <a:alpha val="0"/>
                          </a:srgbClr>
                        </a:solidFill>
                      </wps:spPr>
                      <wps:txbx>
                        <w:txbxContent>
                          <w:p>
                            <w:pPr>
                              <w:pStyle w:val="HangingText"/>
                              <w:keepNext w:val="true"/>
                              <w:spacing w:before="10" w:after="120"/>
                              <w:jc w:val="start"/>
                              <w:rPr/>
                            </w:pPr>
                            <w:r>
                              <w:rPr>
                                <w:sz w:val="18"/>
                              </w:rPr>
                              <w:t>Neil Stein</w:t>
                              <w:br/>
                            </w:r>
                            <w:r>
                              <w:rPr>
                                <w:b w:val="false"/>
                                <w:sz w:val="18"/>
                              </w:rPr>
                              <w:t>1 212 325 4217</w:t>
                              <w:br/>
                              <w:t>neil.stein@csfb.com</w:t>
                            </w:r>
                          </w:p>
                          <w:p>
                            <w:pPr>
                              <w:pStyle w:val="HangingText"/>
                              <w:rPr/>
                            </w:pPr>
                            <w:r>
                              <w:rPr>
                                <w:sz w:val="18"/>
                              </w:rPr>
                              <w:t xml:space="preserve">Bryan Sifert </w:t>
                              <w:br/>
                            </w:r>
                            <w:r>
                              <w:rPr>
                                <w:b w:val="false"/>
                                <w:sz w:val="18"/>
                              </w:rPr>
                              <w:t>1 212 325 3906</w:t>
                              <w:br/>
                              <w:t>bryan.sifert@csfb.com</w:t>
                            </w:r>
                          </w:p>
                          <w:p>
                            <w:pPr>
                              <w:pStyle w:val="HangingText"/>
                              <w:keepNext w:val="true"/>
                              <w:spacing w:before="10" w:after="120"/>
                              <w:jc w:val="start"/>
                              <w:rPr/>
                            </w:pPr>
                            <w:r>
                              <w:rPr>
                                <w:sz w:val="18"/>
                              </w:rPr>
                              <w:t>Paul Patterson</w:t>
                              <w:br/>
                            </w:r>
                            <w:r>
                              <w:rPr>
                                <w:b w:val="false"/>
                                <w:sz w:val="18"/>
                              </w:rPr>
                              <w:t>1 212 325 5876</w:t>
                              <w:br/>
                              <w:t>paul.patterson@csfb.com</w:t>
                            </w:r>
                          </w:p>
                        </w:txbxContent>
                      </wps:txbx>
                      <wps:bodyPr anchor="t" lIns="0" tIns="0" rIns="0" bIns="0">
                        <a:noAutofit/>
                      </wps:bodyPr>
                    </wps:wsp>
                  </a:graphicData>
                </a:graphic>
              </wp:anchor>
            </w:drawing>
          </mc:Choice>
          <mc:Fallback>
            <w:pict>
              <v:rect fillcolor="#FFFFFF" style="position:absolute;rotation:-0;width:93.5pt;height:115.6pt;mso-wrap-distance-left:0pt;mso-wrap-distance-right:0pt;mso-wrap-distance-top:0pt;mso-wrap-distance-bottom:0pt;margin-top:15.1pt;mso-position-vertical-relative:text;margin-left:57.65pt;mso-position-horizontal-relative:page">
                <v:fill opacity="0f"/>
                <v:textbox inset="0in,0in,0in,0in">
                  <w:txbxContent>
                    <w:p>
                      <w:pPr>
                        <w:pStyle w:val="HangingText"/>
                        <w:keepNext w:val="true"/>
                        <w:spacing w:before="10" w:after="120"/>
                        <w:jc w:val="start"/>
                        <w:rPr/>
                      </w:pPr>
                      <w:r>
                        <w:rPr>
                          <w:sz w:val="18"/>
                        </w:rPr>
                        <w:t>Neil Stein</w:t>
                        <w:br/>
                      </w:r>
                      <w:r>
                        <w:rPr>
                          <w:b w:val="false"/>
                          <w:sz w:val="18"/>
                        </w:rPr>
                        <w:t>1 212 325 4217</w:t>
                        <w:br/>
                        <w:t>neil.stein@csfb.com</w:t>
                      </w:r>
                    </w:p>
                    <w:p>
                      <w:pPr>
                        <w:pStyle w:val="HangingText"/>
                        <w:rPr/>
                      </w:pPr>
                      <w:r>
                        <w:rPr>
                          <w:sz w:val="18"/>
                        </w:rPr>
                        <w:t xml:space="preserve">Bryan Sifert </w:t>
                        <w:br/>
                      </w:r>
                      <w:r>
                        <w:rPr>
                          <w:b w:val="false"/>
                          <w:sz w:val="18"/>
                        </w:rPr>
                        <w:t>1 212 325 3906</w:t>
                        <w:br/>
                        <w:t>bryan.sifert@csfb.com</w:t>
                      </w:r>
                    </w:p>
                    <w:p>
                      <w:pPr>
                        <w:pStyle w:val="HangingText"/>
                        <w:keepNext w:val="true"/>
                        <w:spacing w:before="10" w:after="120"/>
                        <w:jc w:val="start"/>
                        <w:rPr/>
                      </w:pPr>
                      <w:r>
                        <w:rPr>
                          <w:sz w:val="18"/>
                        </w:rPr>
                        <w:t>Paul Patterson</w:t>
                        <w:br/>
                      </w:r>
                      <w:r>
                        <w:rPr>
                          <w:b w:val="false"/>
                          <w:sz w:val="18"/>
                        </w:rPr>
                        <w:t>1 212 325 5876</w:t>
                        <w:br/>
                        <w:t>paul.patterson@csfb.com</w:t>
                      </w:r>
                    </w:p>
                  </w:txbxContent>
                </v:textbox>
                <w10:wrap type="square"/>
              </v:rect>
            </w:pict>
          </mc:Fallback>
        </mc:AlternateContent>
      </w:r>
    </w:p>
    <w:p>
      <w:pPr>
        <w:pStyle w:val="Text"/>
        <w:spacing w:before="0" w:after="0"/>
        <w:jc w:val="center"/>
        <w:rPr>
          <w:sz w:val="16"/>
        </w:rPr>
      </w:pPr>
      <w:r>
        <w:rPr>
          <w:sz w:val="16"/>
        </w:rPr>
        <w:drawing>
          <wp:inline distT="0" distB="0" distL="0" distR="0">
            <wp:extent cx="3590925" cy="2416810"/>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7"/>
                    <a:srcRect l="-5" t="-8" r="-5" b="-8"/>
                    <a:stretch>
                      <a:fillRect/>
                    </a:stretch>
                  </pic:blipFill>
                  <pic:spPr bwMode="auto">
                    <a:xfrm>
                      <a:off x="0" y="0"/>
                      <a:ext cx="3590925" cy="2416810"/>
                    </a:xfrm>
                    <a:prstGeom prst="rect">
                      <a:avLst/>
                    </a:prstGeom>
                    <a:noFill/>
                  </pic:spPr>
                </pic:pic>
              </a:graphicData>
            </a:graphic>
          </wp:inline>
        </w:drawing>
      </w:r>
    </w:p>
    <w:p>
      <w:pPr>
        <w:pStyle w:val="Text"/>
        <w:spacing w:before="120" w:after="0"/>
        <w:rPr>
          <w:sz w:val="16"/>
        </w:rPr>
      </w:pPr>
      <w:r>
        <w:rPr>
          <w:sz w:val="16"/>
        </w:rPr>
        <w:t>Note:  IPP Composite includes:  AES, CPN, IPR, MIR, NRG, ORN and SGR.</w:t>
      </w:r>
    </w:p>
    <w:p>
      <w:pPr>
        <w:pStyle w:val="Text"/>
        <w:pBdr>
          <w:bottom w:val="single" w:sz="4" w:space="1" w:color="000000"/>
        </w:pBdr>
        <w:spacing w:before="0" w:after="0"/>
        <w:rPr>
          <w:sz w:val="16"/>
        </w:rPr>
      </w:pPr>
      <w:r>
        <w:rPr>
          <w:sz w:val="16"/>
        </w:rPr>
        <w:t>Source:  FactSet and CSFB Estimates</w:t>
      </w:r>
    </w:p>
    <w:p>
      <w:pPr>
        <w:pStyle w:val="Head2"/>
        <w:spacing w:before="120" w:after="0"/>
        <w:rPr/>
      </w:pPr>
      <w:r>
        <w:rPr/>
        <w:t>WEEKLY PERFORMANCE</w:t>
      </w:r>
      <w:r>
        <mc:AlternateContent>
          <mc:Choice Requires="wps">
            <w:drawing>
              <wp:anchor behindDoc="0" distT="0" distB="0" distL="114935" distR="114935" simplePos="0" locked="0" layoutInCell="1" allowOverlap="1" relativeHeight="18">
                <wp:simplePos x="0" y="0"/>
                <wp:positionH relativeFrom="column">
                  <wp:posOffset>-1929765</wp:posOffset>
                </wp:positionH>
                <wp:positionV relativeFrom="paragraph">
                  <wp:posOffset>122555</wp:posOffset>
                </wp:positionV>
                <wp:extent cx="1756410" cy="2684780"/>
                <wp:effectExtent l="0" t="0" r="0" b="0"/>
                <wp:wrapNone/>
                <wp:docPr id="5" name="Frame2"/>
                <a:graphic xmlns:a="http://schemas.openxmlformats.org/drawingml/2006/main">
                  <a:graphicData uri="http://schemas.microsoft.com/office/word/2010/wordprocessingShape">
                    <wps:wsp>
                      <wps:cNvSpPr txBox="1"/>
                      <wps:spPr>
                        <a:xfrm>
                          <a:off x="0" y="0"/>
                          <a:ext cx="1756410" cy="2684780"/>
                        </a:xfrm>
                        <a:prstGeom prst="rect"/>
                        <a:solidFill>
                          <a:srgbClr val="FFFFFF"/>
                        </a:solidFill>
                        <a:ln w="19050">
                          <a:solidFill>
                            <a:srgbClr val="000000"/>
                          </a:solidFill>
                        </a:ln>
                      </wps:spPr>
                      <wps:txbx>
                        <w:txbxContent>
                          <w:p>
                            <w:pPr>
                              <w:pStyle w:val="Heading9"/>
                              <w:ind w:hanging="270" w:start="270" w:end="0"/>
                              <w:jc w:val="start"/>
                              <w:rPr>
                                <w:rFonts w:ascii="Arial Narrow" w:hAnsi="Arial Narrow" w:cs="Arial Narrow"/>
                                <w:color w:val="0000FF"/>
                              </w:rPr>
                            </w:pPr>
                            <w:r>
                              <w:rPr>
                                <w:rFonts w:cs="Arial Narrow" w:ascii="Arial Narrow" w:hAnsi="Arial Narrow"/>
                                <w:color w:val="0000FF"/>
                              </w:rPr>
                              <w:t>INSIDE THIS ISSUE (Page #)</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Weekly Commentary (2)</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Daily California Chronology (3)</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Looking Ahead (3)</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Upcoming Events (4)</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NERC Summer Assessment (4)</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Brazil’s Rationing Measures (5)</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Debt Market Update (7)</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Recent Headlines (8)</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Valuation Table (9)</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Power Prices (10)</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Bond Spreads (13)</w:t>
                            </w:r>
                          </w:p>
                        </w:txbxContent>
                      </wps:txbx>
                      <wps:bodyPr anchor="t" lIns="91440" tIns="45720" rIns="91440" bIns="45720">
                        <a:noAutofit/>
                      </wps:bodyPr>
                    </wps:wsp>
                  </a:graphicData>
                </a:graphic>
              </wp:anchor>
            </w:drawing>
          </mc:Choice>
          <mc:Fallback>
            <w:pict>
              <v:rect fillcolor="#FFFFFF" strokecolor="#000000" strokeweight="1pt" style="position:absolute;rotation:-0;width:138.3pt;height:211.4pt;mso-wrap-distance-left:9.05pt;mso-wrap-distance-right:9.05pt;mso-wrap-distance-top:0pt;mso-wrap-distance-bottom:0pt;margin-top:9.65pt;mso-position-vertical-relative:text;margin-left:-151.95pt;mso-position-horizontal-relative:text">
                <v:textbox>
                  <w:txbxContent>
                    <w:p>
                      <w:pPr>
                        <w:pStyle w:val="Heading9"/>
                        <w:ind w:hanging="270" w:start="270" w:end="0"/>
                        <w:jc w:val="start"/>
                        <w:rPr>
                          <w:rFonts w:ascii="Arial Narrow" w:hAnsi="Arial Narrow" w:cs="Arial Narrow"/>
                          <w:color w:val="0000FF"/>
                        </w:rPr>
                      </w:pPr>
                      <w:r>
                        <w:rPr>
                          <w:rFonts w:cs="Arial Narrow" w:ascii="Arial Narrow" w:hAnsi="Arial Narrow"/>
                          <w:color w:val="0000FF"/>
                        </w:rPr>
                        <w:t>INSIDE THIS ISSUE (Page #)</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Weekly Commentary (2)</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Daily California Chronology (3)</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Looking Ahead (3)</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Upcoming Events (4)</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NERC Summer Assessment (4)</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Brazil’s Rationing Measures (5)</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Debt Market Update (7)</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Recent Headlines (8)</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Valuation Table (9)</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Power Prices (10)</w:t>
                      </w:r>
                    </w:p>
                    <w:p>
                      <w:pPr>
                        <w:pStyle w:val="Normal"/>
                        <w:numPr>
                          <w:ilvl w:val="0"/>
                          <w:numId w:val="7"/>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Bond Spreads (13)</w:t>
                      </w:r>
                    </w:p>
                  </w:txbxContent>
                </v:textbox>
                <w10:wrap type="none"/>
              </v:rect>
            </w:pict>
          </mc:Fallback>
        </mc:AlternateContent>
      </w:r>
    </w:p>
    <w:p>
      <w:pPr>
        <w:pStyle w:val="CameraReadyTableTitle"/>
        <w:spacing w:before="180" w:after="0"/>
        <w:rPr/>
      </w:pPr>
      <w:r>
        <w:rPr>
          <w:i/>
        </w:rPr>
        <w:t>Exhibit 2:</w:t>
      </w:r>
      <w:r>
        <w:rPr/>
        <w:t xml:space="preserve">   Independent Power Producer Performance</w:t>
      </w:r>
    </w:p>
    <w:p>
      <w:pPr>
        <w:pStyle w:val="Text"/>
        <w:spacing w:before="60" w:after="0"/>
        <w:jc w:val="center"/>
        <w:rPr/>
      </w:pPr>
      <w:r>
        <w:rPr/>
        <w:drawing>
          <wp:inline distT="0" distB="0" distL="0" distR="0">
            <wp:extent cx="4907915" cy="1487805"/>
            <wp:effectExtent l="0" t="0" r="0" b="0"/>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8"/>
                    <a:srcRect l="-5" t="-17" r="-5" b="-17"/>
                    <a:stretch>
                      <a:fillRect/>
                    </a:stretch>
                  </pic:blipFill>
                  <pic:spPr bwMode="auto">
                    <a:xfrm>
                      <a:off x="0" y="0"/>
                      <a:ext cx="4907915" cy="1487805"/>
                    </a:xfrm>
                    <a:prstGeom prst="rect">
                      <a:avLst/>
                    </a:prstGeom>
                    <a:noFill/>
                  </pic:spPr>
                </pic:pic>
              </a:graphicData>
            </a:graphic>
          </wp:inline>
        </w:drawing>
      </w:r>
    </w:p>
    <w:p>
      <w:pPr>
        <w:pStyle w:val="CameraReadyTableTitle"/>
        <w:spacing w:before="120" w:after="60"/>
        <w:rPr/>
      </w:pPr>
      <w:r>
        <w:rPr>
          <w:i/>
        </w:rPr>
        <w:t xml:space="preserve">Exhibit 3:   </w:t>
      </w:r>
      <w:r>
        <w:rPr/>
        <w:t>Utilities with Significant Unregulated Generation Assets</w:t>
      </w:r>
    </w:p>
    <w:p>
      <w:pPr>
        <w:pStyle w:val="Text"/>
        <w:spacing w:before="0" w:after="0"/>
        <w:jc w:val="center"/>
        <w:rPr/>
      </w:pPr>
      <w:r>
        <w:rPr/>
        <w:drawing>
          <wp:inline distT="0" distB="0" distL="0" distR="0">
            <wp:extent cx="4907915" cy="1937385"/>
            <wp:effectExtent l="0" t="0" r="0" b="0"/>
            <wp:docPr id="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title=""/>
                    <pic:cNvPicPr>
                      <a:picLocks noChangeAspect="1" noChangeArrowheads="1"/>
                    </pic:cNvPicPr>
                  </pic:nvPicPr>
                  <pic:blipFill>
                    <a:blip r:embed="rId9"/>
                    <a:srcRect l="-5" t="-13" r="-5" b="-13"/>
                    <a:stretch>
                      <a:fillRect/>
                    </a:stretch>
                  </pic:blipFill>
                  <pic:spPr bwMode="auto">
                    <a:xfrm>
                      <a:off x="0" y="0"/>
                      <a:ext cx="4907915" cy="1937385"/>
                    </a:xfrm>
                    <a:prstGeom prst="rect">
                      <a:avLst/>
                    </a:prstGeom>
                    <a:noFill/>
                  </pic:spPr>
                </pic:pic>
              </a:graphicData>
            </a:graphic>
          </wp:inline>
        </w:drawing>
      </w:r>
    </w:p>
    <w:p>
      <w:pPr>
        <w:pStyle w:val="Text"/>
        <w:spacing w:before="120" w:after="0"/>
        <w:rPr>
          <w:sz w:val="16"/>
        </w:rPr>
      </w:pPr>
      <w:r>
        <w:rPr>
          <w:sz w:val="16"/>
        </w:rPr>
        <w:t>Source: CSFB estimates, FactSet</w:t>
      </w:r>
    </w:p>
    <w:p>
      <w:pPr>
        <w:sectPr>
          <w:type w:val="continuous"/>
          <w:pgSz w:w="12240" w:h="15840"/>
          <w:pgMar w:left="3312" w:right="1195" w:gutter="0" w:header="720" w:top="994" w:footer="360" w:bottom="1080"/>
          <w:formProt w:val="false"/>
          <w:titlePg/>
          <w:textDirection w:val="lrTb"/>
          <w:docGrid w:type="default" w:linePitch="360" w:charSpace="0"/>
        </w:sectPr>
      </w:pPr>
    </w:p>
    <w:p>
      <w:pPr>
        <w:pStyle w:val="Head1"/>
        <w:rPr/>
      </w:pPr>
      <w:r>
        <w:rPr/>
        <w:t>Weekly Commentary</w:t>
      </w:r>
    </w:p>
    <w:p>
      <w:pPr>
        <w:pStyle w:val="Text"/>
        <w:rPr/>
      </w:pPr>
      <w:r>
        <w:rPr/>
        <w:t>Last week our IPP composite closed up 4.6%, outperforming both the NASDAQ (+4.3%) and the S&amp;P 500 (+3.7%).  NRG Energy and Mirant Corp. were the strongest performers in the group, rising 8.0% and 7.9%, respectively.  International Power was the weakest performer, falling 1.2%.</w:t>
      </w:r>
    </w:p>
    <w:p>
      <w:pPr>
        <w:pStyle w:val="CameraReadyTableTitle"/>
        <w:spacing w:before="120" w:after="60"/>
        <w:ind w:start="-1170" w:end="0"/>
        <w:rPr>
          <w:i/>
          <w:i/>
        </w:rPr>
      </w:pPr>
      <w:r>
        <w:rPr>
          <w:i/>
        </w:rPr>
        <w:t>Exhibit 4: Daily Performance For Week Ended 5/18/01</w:t>
      </w:r>
    </w:p>
    <w:p>
      <w:pPr>
        <w:pStyle w:val="Head2"/>
        <w:ind w:start="-1170" w:end="0"/>
        <w:rPr>
          <w:b w:val="false"/>
        </w:rPr>
      </w:pPr>
      <w:r>
        <w:rPr/>
        <w:drawing>
          <wp:inline distT="0" distB="0" distL="0" distR="0">
            <wp:extent cx="5972175" cy="837565"/>
            <wp:effectExtent l="0" t="0" r="0" b="0"/>
            <wp:docPr id="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title=""/>
                    <pic:cNvPicPr>
                      <a:picLocks noChangeAspect="1" noChangeArrowheads="1"/>
                    </pic:cNvPicPr>
                  </pic:nvPicPr>
                  <pic:blipFill>
                    <a:blip r:embed="rId10"/>
                    <a:srcRect l="-4" t="-32" r="-4" b="-32"/>
                    <a:stretch>
                      <a:fillRect/>
                    </a:stretch>
                  </pic:blipFill>
                  <pic:spPr bwMode="auto">
                    <a:xfrm>
                      <a:off x="0" y="0"/>
                      <a:ext cx="5972175" cy="837565"/>
                    </a:xfrm>
                    <a:prstGeom prst="rect">
                      <a:avLst/>
                    </a:prstGeom>
                    <a:noFill/>
                  </pic:spPr>
                </pic:pic>
              </a:graphicData>
            </a:graphic>
          </wp:inline>
        </w:drawing>
      </w:r>
    </w:p>
    <w:p>
      <w:pPr>
        <w:pStyle w:val="Text"/>
        <w:pBdr>
          <w:bottom w:val="single" w:sz="4" w:space="1" w:color="000000"/>
        </w:pBdr>
        <w:spacing w:before="0" w:after="60"/>
        <w:ind w:start="-1166" w:end="0"/>
        <w:rPr>
          <w:sz w:val="16"/>
        </w:rPr>
      </w:pPr>
      <w:r>
        <w:rPr>
          <w:sz w:val="16"/>
        </w:rPr>
        <w:t>Source: CSFB, Factset</w:t>
      </w:r>
    </w:p>
    <w:p>
      <w:pPr>
        <w:pStyle w:val="Head2"/>
        <w:rPr>
          <w:sz w:val="16"/>
        </w:rPr>
      </w:pPr>
      <w:r>
        <w:rPr>
          <w:sz w:val="16"/>
        </w:rPr>
      </w:r>
    </w:p>
    <w:p>
      <w:pPr>
        <w:pStyle w:val="Head2"/>
        <w:rPr/>
      </w:pPr>
      <w:r>
        <w:rPr/>
        <w:t>Week in Detail: Mirant Shines at Analyst Meeting</w:t>
      </w:r>
    </w:p>
    <w:p>
      <w:pPr>
        <w:pStyle w:val="Summary"/>
        <w:numPr>
          <w:ilvl w:val="0"/>
          <w:numId w:val="0"/>
        </w:numPr>
        <w:ind w:hanging="0" w:start="0"/>
        <w:rPr>
          <w:sz w:val="20"/>
        </w:rPr>
      </w:pPr>
      <w:r>
        <w:rPr>
          <w:sz w:val="20"/>
        </w:rPr>
        <w:t xml:space="preserve">The major event last week was Mirant’s analyst meeting on Monday and Tuesday (5/14 and 5/15).  Following the meeting, we raised out target price to $62 from $48.  </w:t>
      </w:r>
    </w:p>
    <w:p>
      <w:pPr>
        <w:pStyle w:val="Summary"/>
        <w:numPr>
          <w:ilvl w:val="0"/>
          <w:numId w:val="0"/>
        </w:numPr>
        <w:ind w:hanging="0" w:start="0"/>
        <w:rPr/>
      </w:pPr>
      <w:r>
        <w:rPr>
          <w:sz w:val="20"/>
        </w:rPr>
        <w:t>Overall we came away with greater comfort that MIR is on track to achieve its strategic objectives and meet our earnings expectations.  Further, we believe the meeting showcased the breadth and depth of the management team.</w:t>
      </w:r>
    </w:p>
    <w:p>
      <w:pPr>
        <w:pStyle w:val="Text"/>
        <w:rPr/>
      </w:pPr>
      <w:r>
        <w:rPr>
          <w:b/>
        </w:rPr>
        <w:t>3 Major Conclusions</w:t>
      </w:r>
      <w:r>
        <w:rPr/>
        <w:t xml:space="preserve">   We left the meeting with 3 major conclusions:</w:t>
      </w:r>
    </w:p>
    <w:p>
      <w:pPr>
        <w:pStyle w:val="Text"/>
        <w:rPr/>
      </w:pPr>
      <w:r>
        <w:rPr>
          <w:b/>
        </w:rPr>
        <w:t>1. The Whole is Greater than the Sum of the MWs</w:t>
      </w:r>
      <w:r>
        <w:rPr/>
        <w:t xml:space="preserve">   We believe investors have overlooked the value in MIR’s integrated asset/trading and marketing energy merchant platform by solely focusing on the company’s power generation business. </w:t>
      </w:r>
      <w:r>
        <w:rPr>
          <w:i/>
        </w:rPr>
        <w:t>We would argue that investors must look beyond the power plants in order to fully appreciate the power of the Mirant story.</w:t>
      </w:r>
      <w:r>
        <w:rPr/>
        <w:t xml:space="preserve">  Indeed, MIR’s growing presence in the natural gas market will be a major source of future earnings growth.</w:t>
      </w:r>
    </w:p>
    <w:p>
      <w:pPr>
        <w:pStyle w:val="Text"/>
        <w:rPr/>
      </w:pPr>
      <w:r>
        <w:rPr>
          <w:b/>
        </w:rPr>
        <w:t>2. Mirant is Executing</w:t>
      </w:r>
      <w:r>
        <w:rPr/>
        <w:t xml:space="preserve">   MIR has executed flawlessly since its September 2000 IPO.  Most importantly, our 2001 EPS estimate has increased about 90% since the IPO owing to generally strong business performance, the ability of MIR’s trading and marketing business to capitalize on natural gas volatility and strong North American power prices.  Combined with businesses currently in place, MIR’s new business development effort gives us comfort that the company is well on track to deliver 20-25% EPS growth through 2005.  </w:t>
      </w:r>
    </w:p>
    <w:p>
      <w:pPr>
        <w:pStyle w:val="Text"/>
        <w:rPr/>
      </w:pPr>
      <w:r>
        <w:rPr>
          <w:b/>
        </w:rPr>
        <w:t>3. Mirant is Undervalued</w:t>
      </w:r>
      <w:r>
        <w:rPr/>
        <w:t xml:space="preserve">   MIR clearly represents one of the best values in the IPP group.  The stock is trading at 23.9 times our 2001 EPS estimate, which represents a 14% discount to the IPP group average of 27.8x.  We believe this discount reflects investor confusion surrounding recent sources of earnings upside and MIR’s ability to sustain its growth rate.  By providing better insight into the economics of its marketing and trading business—particularly as it related to natural gas , we believe management cleared up much of this confusion at the meeting.</w:t>
      </w:r>
    </w:p>
    <w:p>
      <w:pPr>
        <w:pStyle w:val="Text"/>
        <w:rPr>
          <w:b/>
        </w:rPr>
      </w:pPr>
      <w:r>
        <w:rPr>
          <w:b/>
        </w:rPr>
        <w:t>President’s “Free Market” Based Energy Plan Positive for IPPs</w:t>
      </w:r>
    </w:p>
    <w:p>
      <w:pPr>
        <w:pStyle w:val="Text"/>
        <w:rPr/>
      </w:pPr>
      <w:r>
        <w:rPr/>
        <w:t>On Thursday (5/17), President Bush presented the framework of a comprehensive national energy plan that emphasizes more supply, efficiency, fuel diversity, and conservation.  The plan was based on proposals put forth by Bush’s National Energy Policy Development Group (NEPD), headed by Vice President Dick Cheney.</w:t>
      </w:r>
    </w:p>
    <w:p>
      <w:pPr>
        <w:pStyle w:val="Text"/>
        <w:rPr/>
      </w:pPr>
      <w:r>
        <w:rPr/>
        <w:t>To the extent that the plan emphasizes “free market” approaches to solving the nation’s energy shortages, we regard it as positive for the Independent Power Producers.  The plan resists calling for interventionist measures, such as price caps, to mitigate high wholesale power prices.  In addition, the report attributes the California power crisis to poor public policy and a fundamental supply/demand imbalance.  It does not embrace the theory, put forth by many local California politicians, that power generator market manipulation and price gouging gave rise to the situation.</w:t>
      </w:r>
    </w:p>
    <w:p>
      <w:pPr>
        <w:pStyle w:val="Text"/>
        <w:rPr/>
      </w:pPr>
      <w:r>
        <w:rPr/>
        <w:t>As positive for the sector, the White House believes that the US will need between 1,300 and 1,900 new power plants over the next 20 years.  The administration wants to remove government impediments to power plant development.</w:t>
      </w:r>
    </w:p>
    <w:p>
      <w:pPr>
        <w:pStyle w:val="Text"/>
        <w:rPr/>
      </w:pPr>
      <w:r>
        <w:rPr/>
        <w:t>Proposals specific to the power industry call for: 1) development of clean coal technology; 2) expansion of nuclear energy; 3) streamlining of hydro licensing; 4) mitigation of transmission bottlenecks and the potential creation of a national transmission grid; 5) repeal of PUHCA; and, 6) incentivizing energy efficiency and alternative technologies.</w:t>
      </w:r>
    </w:p>
    <w:p>
      <w:pPr>
        <w:pStyle w:val="Text"/>
        <w:rPr/>
      </w:pPr>
      <w:r>
        <w:rPr/>
      </w:r>
    </w:p>
    <w:p>
      <w:pPr>
        <w:pStyle w:val="CameraReadyTableTitle"/>
        <w:rPr/>
      </w:pPr>
      <w:r>
        <w:rPr/>
        <w:t>Exhibit 5: Daily California Chronology</w:t>
      </w:r>
    </w:p>
    <w:tbl>
      <w:tblPr>
        <w:tblW w:w="8010" w:type="dxa"/>
        <w:jc w:val="start"/>
        <w:tblInd w:w="30" w:type="dxa"/>
        <w:tblLayout w:type="fixed"/>
        <w:tblCellMar>
          <w:top w:w="0" w:type="dxa"/>
          <w:start w:w="30" w:type="dxa"/>
          <w:bottom w:w="0" w:type="dxa"/>
          <w:end w:w="30" w:type="dxa"/>
        </w:tblCellMar>
      </w:tblPr>
      <w:tblGrid>
        <w:gridCol w:w="1350"/>
        <w:gridCol w:w="6660"/>
      </w:tblGrid>
      <w:tr>
        <w:trPr>
          <w:trHeight w:val="288" w:hRule="atLeast"/>
        </w:trPr>
        <w:tc>
          <w:tcPr>
            <w:tcW w:w="1350" w:type="dxa"/>
            <w:tcBorders>
              <w:bottom w:val="single" w:sz="4" w:space="0" w:color="000000"/>
            </w:tcBorders>
          </w:tcPr>
          <w:p>
            <w:pPr>
              <w:pStyle w:val="Normal"/>
              <w:spacing w:before="120" w:after="0"/>
              <w:rPr>
                <w:rFonts w:ascii="Arial Narrow" w:hAnsi="Arial Narrow" w:cs="Arial Narrow"/>
                <w:b/>
                <w:color w:val="000000"/>
              </w:rPr>
            </w:pPr>
            <w:r>
              <w:rPr>
                <w:rFonts w:cs="Arial Narrow" w:ascii="Arial Narrow" w:hAnsi="Arial Narrow"/>
                <w:b/>
                <w:color w:val="000000"/>
              </w:rPr>
              <w:t>Date</w:t>
            </w:r>
          </w:p>
        </w:tc>
        <w:tc>
          <w:tcPr>
            <w:tcW w:w="6660" w:type="dxa"/>
            <w:tcBorders>
              <w:bottom w:val="single" w:sz="4" w:space="0" w:color="000000"/>
            </w:tcBorders>
          </w:tcPr>
          <w:p>
            <w:pPr>
              <w:pStyle w:val="Normal"/>
              <w:spacing w:before="120" w:after="0"/>
              <w:rPr>
                <w:rFonts w:ascii="Arial Narrow" w:hAnsi="Arial Narrow" w:cs="Arial Narrow"/>
                <w:b/>
                <w:color w:val="000000"/>
              </w:rPr>
            </w:pPr>
            <w:r>
              <w:rPr>
                <w:rFonts w:cs="Arial Narrow" w:ascii="Arial Narrow" w:hAnsi="Arial Narrow"/>
                <w:b/>
                <w:color w:val="000000"/>
              </w:rPr>
              <w:t>Event</w:t>
            </w:r>
          </w:p>
        </w:tc>
      </w:tr>
      <w:tr>
        <w:trPr>
          <w:trHeight w:val="247" w:hRule="atLeast"/>
        </w:trPr>
        <w:tc>
          <w:tcPr>
            <w:tcW w:w="1350" w:type="dxa"/>
            <w:tcBorders/>
          </w:tcPr>
          <w:p>
            <w:pPr>
              <w:pStyle w:val="Normal"/>
              <w:spacing w:before="0" w:after="120"/>
              <w:jc w:val="start"/>
              <w:rPr>
                <w:rFonts w:ascii="Arial Narrow" w:hAnsi="Arial Narrow" w:cs="Arial Narrow"/>
                <w:color w:val="000000"/>
              </w:rPr>
            </w:pPr>
            <w:r>
              <w:rPr>
                <w:rFonts w:cs="Arial Narrow" w:ascii="Arial Narrow" w:hAnsi="Arial Narrow"/>
                <w:color w:val="000000"/>
              </w:rPr>
              <w:t>Monday  5/14</w:t>
            </w:r>
          </w:p>
        </w:tc>
        <w:tc>
          <w:tcPr>
            <w:tcW w:w="6660" w:type="dxa"/>
            <w:tcBorders/>
          </w:tcPr>
          <w:p>
            <w:pPr>
              <w:pStyle w:val="Normal"/>
              <w:numPr>
                <w:ilvl w:val="0"/>
                <w:numId w:val="5"/>
              </w:numPr>
              <w:spacing w:before="40" w:after="40"/>
              <w:jc w:val="start"/>
              <w:rPr>
                <w:rFonts w:ascii="Arial Narrow" w:hAnsi="Arial Narrow" w:cs="Arial Narrow"/>
                <w:color w:val="000000"/>
                <w:sz w:val="18"/>
              </w:rPr>
            </w:pPr>
            <w:r>
              <w:rPr>
                <w:rFonts w:cs="Arial Narrow" w:ascii="Arial Narrow" w:hAnsi="Arial Narrow"/>
                <w:b/>
                <w:sz w:val="18"/>
                <w:lang w:eastAsia="en-US"/>
              </w:rPr>
              <w:t>FERC approved Edison’s application to create a holding company</w:t>
            </w:r>
            <w:r>
              <w:rPr>
                <w:rFonts w:cs="Arial Narrow" w:ascii="Arial Narrow" w:hAnsi="Arial Narrow"/>
                <w:sz w:val="18"/>
                <w:lang w:eastAsia="en-US"/>
              </w:rPr>
              <w:t xml:space="preserve"> that would effectively ring-fence Edison Mission Energy from the parent. The bankruptcy remote structure would allow Edison to use the unregulated business unit as collateral to obtain funds.</w:t>
            </w:r>
          </w:p>
          <w:p>
            <w:pPr>
              <w:pStyle w:val="Normal"/>
              <w:numPr>
                <w:ilvl w:val="0"/>
                <w:numId w:val="5"/>
              </w:numPr>
              <w:spacing w:before="40" w:after="40"/>
              <w:jc w:val="start"/>
              <w:rPr>
                <w:rFonts w:ascii="Arial Narrow" w:hAnsi="Arial Narrow" w:cs="Arial Narrow"/>
                <w:b/>
                <w:color w:val="000000"/>
                <w:sz w:val="18"/>
              </w:rPr>
            </w:pPr>
            <w:r>
              <w:rPr>
                <w:rFonts w:cs="Arial Narrow" w:ascii="Arial Narrow" w:hAnsi="Arial Narrow"/>
                <w:b/>
                <w:sz w:val="18"/>
                <w:lang w:eastAsia="en-US"/>
              </w:rPr>
              <w:t>Edison International announced first quarter EPS of $0.14 per share</w:t>
            </w:r>
            <w:r>
              <w:rPr>
                <w:rFonts w:cs="Arial Narrow" w:ascii="Arial Narrow" w:hAnsi="Arial Narrow"/>
                <w:sz w:val="18"/>
                <w:lang w:eastAsia="en-US"/>
              </w:rPr>
              <w:t xml:space="preserve"> before losses related to uncollected wholesale costs, compared with $0.32 in the same period of 2000.</w:t>
            </w:r>
          </w:p>
        </w:tc>
      </w:tr>
      <w:tr>
        <w:trPr>
          <w:trHeight w:val="247" w:hRule="atLeast"/>
        </w:trPr>
        <w:tc>
          <w:tcPr>
            <w:tcW w:w="1350" w:type="dxa"/>
            <w:tcBorders/>
          </w:tcPr>
          <w:p>
            <w:pPr>
              <w:pStyle w:val="Normal"/>
              <w:spacing w:before="0" w:after="120"/>
              <w:jc w:val="start"/>
              <w:rPr>
                <w:rFonts w:ascii="Arial Narrow" w:hAnsi="Arial Narrow" w:cs="Arial Narrow"/>
                <w:color w:val="000000"/>
              </w:rPr>
            </w:pPr>
            <w:r>
              <w:rPr>
                <w:rFonts w:cs="Arial Narrow" w:ascii="Arial Narrow" w:hAnsi="Arial Narrow"/>
                <w:color w:val="000000"/>
              </w:rPr>
              <w:t>Tuesday  5/15</w:t>
            </w:r>
          </w:p>
        </w:tc>
        <w:tc>
          <w:tcPr>
            <w:tcW w:w="6660" w:type="dxa"/>
            <w:tcBorders/>
          </w:tcPr>
          <w:p>
            <w:pPr>
              <w:pStyle w:val="Normal"/>
              <w:numPr>
                <w:ilvl w:val="0"/>
                <w:numId w:val="5"/>
              </w:numPr>
              <w:spacing w:before="40" w:after="40"/>
              <w:jc w:val="start"/>
              <w:rPr>
                <w:rFonts w:ascii="Arial Narrow" w:hAnsi="Arial Narrow" w:cs="Arial Narrow"/>
                <w:b/>
                <w:color w:val="000000"/>
                <w:sz w:val="18"/>
              </w:rPr>
            </w:pPr>
            <w:r>
              <w:rPr>
                <w:rFonts w:cs="Arial Narrow" w:ascii="Arial Narrow" w:hAnsi="Arial Narrow"/>
                <w:b/>
                <w:color w:val="000000"/>
                <w:sz w:val="18"/>
              </w:rPr>
              <w:t>The CPUC approved a rate increase</w:t>
            </w:r>
            <w:r>
              <w:rPr>
                <w:rFonts w:cs="Arial Narrow" w:ascii="Arial Narrow" w:hAnsi="Arial Narrow"/>
                <w:color w:val="000000"/>
                <w:sz w:val="18"/>
              </w:rPr>
              <w:t xml:space="preserve"> that average between 7%-55%. Industrial customers' average rates will rise 49%-50%, commercial customers' rates will increase 36%-41%, and agricultural customers will see an increase of 18%-19%. </w:t>
            </w:r>
          </w:p>
        </w:tc>
      </w:tr>
      <w:tr>
        <w:trPr>
          <w:trHeight w:val="247" w:hRule="atLeast"/>
        </w:trPr>
        <w:tc>
          <w:tcPr>
            <w:tcW w:w="1350" w:type="dxa"/>
            <w:tcBorders/>
          </w:tcPr>
          <w:p>
            <w:pPr>
              <w:pStyle w:val="Normal"/>
              <w:spacing w:before="0" w:after="120"/>
              <w:jc w:val="start"/>
              <w:rPr>
                <w:rFonts w:ascii="Arial Narrow" w:hAnsi="Arial Narrow" w:cs="Arial Narrow"/>
                <w:color w:val="000000"/>
              </w:rPr>
            </w:pPr>
            <w:r>
              <w:rPr>
                <w:rFonts w:cs="Arial Narrow" w:ascii="Arial Narrow" w:hAnsi="Arial Narrow"/>
                <w:color w:val="000000"/>
              </w:rPr>
              <w:t>Wednesday  5/16</w:t>
            </w:r>
          </w:p>
        </w:tc>
        <w:tc>
          <w:tcPr>
            <w:tcW w:w="6660" w:type="dxa"/>
            <w:tcBorders/>
          </w:tcPr>
          <w:p>
            <w:pPr>
              <w:pStyle w:val="Normal"/>
              <w:numPr>
                <w:ilvl w:val="0"/>
                <w:numId w:val="5"/>
              </w:numPr>
              <w:spacing w:before="40" w:after="40"/>
              <w:jc w:val="start"/>
              <w:rPr>
                <w:rFonts w:ascii="Arial Narrow" w:hAnsi="Arial Narrow" w:cs="Arial Narrow"/>
                <w:sz w:val="18"/>
                <w:lang w:eastAsia="en-US"/>
              </w:rPr>
            </w:pPr>
            <w:r>
              <w:rPr>
                <w:rFonts w:cs="Arial Narrow" w:ascii="Arial Narrow" w:hAnsi="Arial Narrow"/>
                <w:b/>
                <w:sz w:val="18"/>
                <w:lang w:eastAsia="en-US"/>
              </w:rPr>
              <w:t>The FERC approved measures to increase natural gas supplies into California</w:t>
            </w:r>
            <w:r>
              <w:rPr>
                <w:rFonts w:cs="Arial Narrow" w:ascii="Arial Narrow" w:hAnsi="Arial Narrow"/>
                <w:sz w:val="18"/>
                <w:lang w:eastAsia="en-US"/>
              </w:rPr>
              <w:t xml:space="preserve"> by easing its approval process for new natural gas pipelines into the state.</w:t>
            </w:r>
          </w:p>
          <w:p>
            <w:pPr>
              <w:pStyle w:val="Normal"/>
              <w:numPr>
                <w:ilvl w:val="0"/>
                <w:numId w:val="5"/>
              </w:numPr>
              <w:spacing w:before="40" w:after="40"/>
              <w:jc w:val="start"/>
              <w:rPr>
                <w:rFonts w:ascii="Arial Narrow" w:hAnsi="Arial Narrow" w:cs="Arial Narrow"/>
                <w:color w:val="000000"/>
                <w:sz w:val="18"/>
              </w:rPr>
            </w:pPr>
            <w:r>
              <w:rPr>
                <w:rFonts w:cs="Arial Narrow" w:ascii="Arial Narrow" w:hAnsi="Arial Narrow"/>
                <w:b/>
                <w:color w:val="000000"/>
                <w:sz w:val="18"/>
              </w:rPr>
              <w:t>The FERC ruled that QFs in California can sell electricity to third parties</w:t>
            </w:r>
            <w:r>
              <w:rPr>
                <w:rFonts w:cs="Arial Narrow" w:ascii="Arial Narrow" w:hAnsi="Arial Narrow"/>
                <w:color w:val="000000"/>
                <w:sz w:val="18"/>
              </w:rPr>
              <w:t xml:space="preserve"> if they have power available above and beyond the amount they need to meet their existing contractual agreements.</w:t>
            </w:r>
          </w:p>
          <w:p>
            <w:pPr>
              <w:pStyle w:val="Normal"/>
              <w:numPr>
                <w:ilvl w:val="0"/>
                <w:numId w:val="5"/>
              </w:numPr>
              <w:spacing w:before="40" w:after="40"/>
              <w:jc w:val="start"/>
              <w:rPr>
                <w:rFonts w:ascii="Arial Narrow" w:hAnsi="Arial Narrow" w:cs="Arial Narrow"/>
                <w:color w:val="000000"/>
                <w:sz w:val="18"/>
              </w:rPr>
            </w:pPr>
            <w:r>
              <w:rPr>
                <w:rFonts w:cs="Arial Narrow" w:ascii="Arial Narrow" w:hAnsi="Arial Narrow"/>
                <w:b/>
                <w:color w:val="000000"/>
                <w:sz w:val="18"/>
              </w:rPr>
              <w:t>Governor Davis signed a bill establishing a new state power authority</w:t>
            </w:r>
            <w:r>
              <w:rPr>
                <w:rFonts w:cs="Arial Narrow" w:ascii="Arial Narrow" w:hAnsi="Arial Narrow"/>
                <w:color w:val="000000"/>
                <w:sz w:val="18"/>
              </w:rPr>
              <w:t xml:space="preserve"> called the California Consumer Power and Conservation Financing Authority that will buy build and operate generating plants. </w:t>
            </w:r>
          </w:p>
          <w:p>
            <w:pPr>
              <w:pStyle w:val="Normal"/>
              <w:numPr>
                <w:ilvl w:val="0"/>
                <w:numId w:val="5"/>
              </w:numPr>
              <w:spacing w:before="40" w:after="40"/>
              <w:jc w:val="start"/>
              <w:rPr>
                <w:rFonts w:ascii="Arial Narrow" w:hAnsi="Arial Narrow" w:cs="Arial Narrow"/>
                <w:color w:val="000000"/>
                <w:sz w:val="18"/>
              </w:rPr>
            </w:pPr>
            <w:r>
              <w:rPr>
                <w:rFonts w:cs="Arial Narrow" w:ascii="Arial Narrow" w:hAnsi="Arial Narrow"/>
                <w:b/>
                <w:color w:val="000000"/>
                <w:sz w:val="18"/>
              </w:rPr>
              <w:t>PG&amp;E held its annual shareholder meeting.</w:t>
            </w:r>
          </w:p>
        </w:tc>
      </w:tr>
      <w:tr>
        <w:trPr>
          <w:trHeight w:val="540" w:hRule="atLeast"/>
        </w:trPr>
        <w:tc>
          <w:tcPr>
            <w:tcW w:w="1350" w:type="dxa"/>
            <w:tcBorders/>
          </w:tcPr>
          <w:p>
            <w:pPr>
              <w:pStyle w:val="Normal"/>
              <w:spacing w:before="0" w:after="120"/>
              <w:jc w:val="start"/>
              <w:rPr>
                <w:rFonts w:ascii="Arial Narrow" w:hAnsi="Arial Narrow" w:cs="Arial Narrow"/>
                <w:color w:val="000000"/>
              </w:rPr>
            </w:pPr>
            <w:r>
              <w:rPr>
                <w:rFonts w:cs="Arial Narrow" w:ascii="Arial Narrow" w:hAnsi="Arial Narrow"/>
                <w:color w:val="000000"/>
              </w:rPr>
              <w:t>Thursday  5/17</w:t>
            </w:r>
          </w:p>
        </w:tc>
        <w:tc>
          <w:tcPr>
            <w:tcW w:w="6660" w:type="dxa"/>
            <w:tcBorders/>
          </w:tcPr>
          <w:p>
            <w:pPr>
              <w:pStyle w:val="Normal"/>
              <w:numPr>
                <w:ilvl w:val="0"/>
                <w:numId w:val="5"/>
              </w:numPr>
              <w:spacing w:before="40" w:after="40"/>
              <w:jc w:val="start"/>
              <w:rPr>
                <w:rFonts w:ascii="Arial Narrow" w:hAnsi="Arial Narrow" w:cs="Arial Narrow"/>
                <w:b/>
                <w:color w:val="000000"/>
                <w:sz w:val="18"/>
              </w:rPr>
            </w:pPr>
            <w:r>
              <w:rPr>
                <w:rFonts w:cs="Arial Narrow" w:ascii="Arial Narrow" w:hAnsi="Arial Narrow"/>
                <w:b/>
                <w:color w:val="000000"/>
                <w:sz w:val="18"/>
              </w:rPr>
              <w:t>President Bush unveiled his administration’s energy policy</w:t>
            </w:r>
            <w:r>
              <w:rPr>
                <w:rFonts w:cs="Arial Narrow" w:ascii="Arial Narrow" w:hAnsi="Arial Narrow"/>
                <w:color w:val="000000"/>
                <w:sz w:val="18"/>
              </w:rPr>
              <w:t xml:space="preserve"> that is aimed at easing California and the nation’s energy problems.</w:t>
            </w:r>
          </w:p>
        </w:tc>
      </w:tr>
      <w:tr>
        <w:trPr>
          <w:trHeight w:val="247" w:hRule="atLeast"/>
        </w:trPr>
        <w:tc>
          <w:tcPr>
            <w:tcW w:w="1350" w:type="dxa"/>
            <w:tcBorders>
              <w:bottom w:val="single" w:sz="4" w:space="0" w:color="000000"/>
            </w:tcBorders>
          </w:tcPr>
          <w:p>
            <w:pPr>
              <w:pStyle w:val="Normal"/>
              <w:spacing w:before="0" w:after="120"/>
              <w:jc w:val="start"/>
              <w:rPr>
                <w:rFonts w:ascii="Arial Narrow" w:hAnsi="Arial Narrow" w:cs="Arial Narrow"/>
                <w:color w:val="000000"/>
              </w:rPr>
            </w:pPr>
            <w:r>
              <w:rPr>
                <w:rFonts w:cs="Arial Narrow" w:ascii="Arial Narrow" w:hAnsi="Arial Narrow"/>
                <w:color w:val="000000"/>
              </w:rPr>
              <w:t>Friday  5/18</w:t>
            </w:r>
          </w:p>
        </w:tc>
        <w:tc>
          <w:tcPr>
            <w:tcW w:w="6660" w:type="dxa"/>
            <w:tcBorders>
              <w:bottom w:val="single" w:sz="4" w:space="0" w:color="000000"/>
            </w:tcBorders>
          </w:tcPr>
          <w:p>
            <w:pPr>
              <w:pStyle w:val="Normal"/>
              <w:numPr>
                <w:ilvl w:val="0"/>
                <w:numId w:val="5"/>
              </w:numPr>
              <w:spacing w:before="40" w:after="40"/>
              <w:jc w:val="start"/>
              <w:rPr>
                <w:rFonts w:ascii="Arial Narrow" w:hAnsi="Arial Narrow" w:cs="Arial Narrow"/>
                <w:b/>
                <w:color w:val="000000"/>
                <w:sz w:val="18"/>
              </w:rPr>
            </w:pPr>
            <w:r>
              <w:rPr>
                <w:rFonts w:cs="Arial Narrow" w:ascii="Arial Narrow" w:hAnsi="Arial Narrow"/>
                <w:b/>
                <w:color w:val="000000"/>
                <w:sz w:val="18"/>
              </w:rPr>
              <w:t>No Significant News</w:t>
            </w:r>
          </w:p>
        </w:tc>
      </w:tr>
    </w:tbl>
    <w:p>
      <w:pPr>
        <w:pStyle w:val="Head2"/>
        <w:rPr/>
      </w:pPr>
      <w:r>
        <w:rPr/>
      </w:r>
    </w:p>
    <w:p>
      <w:pPr>
        <w:pStyle w:val="Head2"/>
        <w:rPr/>
      </w:pPr>
      <w:r>
        <w:rPr/>
        <w:t>Looking Ahead: Brazilian Government to Unveil Proposals to Stimulate Power Supply</w:t>
      </w:r>
    </w:p>
    <w:p>
      <w:pPr>
        <w:pStyle w:val="Text"/>
        <w:rPr/>
      </w:pPr>
      <w:r>
        <w:rPr/>
        <w:t xml:space="preserve">This week the Brazilian government is expected to unveil a series of proposals to stimulate generation supply.  In particular, we expect the announcement to include the following elements: 1) tax incentives for power plant developers; 2) increased availability of Brazilian Development Bank (BNDES) funding; 3) proposals to streamline the new plant permitting process; and, 4) other measures to facilitate new plant project financing. </w:t>
      </w:r>
      <w:r>
        <w:rPr>
          <w:i/>
        </w:rPr>
        <w:t>See below for details on recent Brazilian regulatory developments.</w:t>
      </w:r>
    </w:p>
    <w:p>
      <w:pPr>
        <w:pStyle w:val="Text"/>
        <w:rPr/>
      </w:pPr>
      <w:r>
        <w:rPr/>
        <w:t>We believe this announcement will be positive for AES Corp. shares.  Recently, management indicated it would suspend nearly $2 billion of planned Brazilian generation investments due to regulatory issues that have impeded AES’s ability to finance these investments.  The removal of these project financing impediments in Brazil would result in an important growth opportunity for the company.</w:t>
      </w:r>
    </w:p>
    <w:p>
      <w:pPr>
        <w:pStyle w:val="Text"/>
        <w:rPr/>
      </w:pPr>
      <w:r>
        <w:rPr/>
      </w:r>
    </w:p>
    <w:p>
      <w:pPr>
        <w:pStyle w:val="CameraReadyTableTitle"/>
        <w:rPr/>
      </w:pPr>
      <w:r>
        <w:rPr>
          <w:i/>
        </w:rPr>
        <w:t xml:space="preserve">Exhibit 6: </w:t>
      </w:r>
      <w:r>
        <w:rPr/>
        <w:t>Upcoming Conference Calls and Events</w:t>
      </w:r>
    </w:p>
    <w:tbl>
      <w:tblPr>
        <w:tblW w:w="7920" w:type="dxa"/>
        <w:jc w:val="start"/>
        <w:tblInd w:w="30" w:type="dxa"/>
        <w:tblLayout w:type="fixed"/>
        <w:tblCellMar>
          <w:top w:w="0" w:type="dxa"/>
          <w:start w:w="30" w:type="dxa"/>
          <w:bottom w:w="0" w:type="dxa"/>
          <w:end w:w="30" w:type="dxa"/>
        </w:tblCellMar>
      </w:tblPr>
      <w:tblGrid>
        <w:gridCol w:w="900"/>
        <w:gridCol w:w="4140"/>
        <w:gridCol w:w="1350"/>
        <w:gridCol w:w="1530"/>
      </w:tblGrid>
      <w:tr>
        <w:trPr>
          <w:trHeight w:val="247" w:hRule="atLeast"/>
        </w:trPr>
        <w:tc>
          <w:tcPr>
            <w:tcW w:w="900" w:type="dxa"/>
            <w:tcBorders/>
          </w:tcPr>
          <w:p>
            <w:pPr>
              <w:pStyle w:val="Normal"/>
              <w:spacing w:before="320" w:after="0"/>
              <w:rPr>
                <w:rFonts w:ascii="Arial Narrow" w:hAnsi="Arial Narrow" w:cs="Arial Narrow"/>
                <w:b/>
                <w:color w:val="000000"/>
              </w:rPr>
            </w:pPr>
            <w:r>
              <w:rPr>
                <w:rFonts w:cs="Arial Narrow" w:ascii="Arial Narrow" w:hAnsi="Arial Narrow"/>
                <w:b/>
                <w:color w:val="000000"/>
              </w:rPr>
              <w:t>Date</w:t>
            </w:r>
          </w:p>
        </w:tc>
        <w:tc>
          <w:tcPr>
            <w:tcW w:w="4140" w:type="dxa"/>
            <w:tcBorders/>
          </w:tcPr>
          <w:p>
            <w:pPr>
              <w:pStyle w:val="Normal"/>
              <w:spacing w:before="320" w:after="0"/>
              <w:rPr>
                <w:rFonts w:ascii="Arial Narrow" w:hAnsi="Arial Narrow" w:cs="Arial Narrow"/>
                <w:b/>
                <w:color w:val="000000"/>
              </w:rPr>
            </w:pPr>
            <w:r>
              <w:rPr>
                <w:rFonts w:cs="Arial Narrow" w:ascii="Arial Narrow" w:hAnsi="Arial Narrow"/>
                <w:b/>
                <w:color w:val="000000"/>
              </w:rPr>
              <w:t>Description</w:t>
            </w:r>
          </w:p>
        </w:tc>
        <w:tc>
          <w:tcPr>
            <w:tcW w:w="1350" w:type="dxa"/>
            <w:tcBorders/>
          </w:tcPr>
          <w:p>
            <w:pPr>
              <w:pStyle w:val="Normal"/>
              <w:spacing w:before="120" w:after="0"/>
              <w:jc w:val="center"/>
              <w:rPr>
                <w:rFonts w:ascii="Arial Narrow" w:hAnsi="Arial Narrow" w:cs="Arial Narrow"/>
                <w:b/>
                <w:color w:val="000000"/>
              </w:rPr>
            </w:pPr>
            <w:r>
              <w:rPr>
                <w:rFonts w:cs="Arial Narrow" w:ascii="Arial Narrow" w:hAnsi="Arial Narrow"/>
                <w:b/>
                <w:color w:val="000000"/>
              </w:rPr>
              <w:br/>
              <w:t>Time</w:t>
            </w:r>
          </w:p>
        </w:tc>
        <w:tc>
          <w:tcPr>
            <w:tcW w:w="1530" w:type="dxa"/>
            <w:tcBorders/>
          </w:tcPr>
          <w:p>
            <w:pPr>
              <w:pStyle w:val="Normal"/>
              <w:spacing w:before="120" w:after="0"/>
              <w:jc w:val="center"/>
              <w:rPr/>
            </w:pPr>
            <w:r>
              <w:rPr>
                <w:rFonts w:cs="Arial Narrow" w:ascii="Arial Narrow" w:hAnsi="Arial Narrow"/>
                <w:b/>
                <w:color w:val="000000"/>
              </w:rPr>
              <w:t xml:space="preserve">Location </w:t>
              <w:br/>
              <w:t xml:space="preserve"> or Dial-in</w:t>
            </w:r>
          </w:p>
        </w:tc>
      </w:tr>
      <w:tr>
        <w:trPr>
          <w:trHeight w:val="247" w:hRule="atLeast"/>
        </w:trPr>
        <w:tc>
          <w:tcPr>
            <w:tcW w:w="900" w:type="dxa"/>
            <w:tcBorders>
              <w:top w:val="single" w:sz="4" w:space="0" w:color="000000"/>
              <w:bottom w:val="single" w:sz="4" w:space="0" w:color="000000"/>
            </w:tcBorders>
          </w:tcPr>
          <w:p>
            <w:pPr>
              <w:pStyle w:val="TableBody"/>
              <w:rPr/>
            </w:pPr>
            <w:r>
              <w:rPr/>
              <w:t>6/12</w:t>
            </w:r>
          </w:p>
        </w:tc>
        <w:tc>
          <w:tcPr>
            <w:tcW w:w="4140" w:type="dxa"/>
            <w:tcBorders>
              <w:top w:val="single" w:sz="4" w:space="0" w:color="000000"/>
              <w:bottom w:val="single" w:sz="4" w:space="0" w:color="000000"/>
            </w:tcBorders>
          </w:tcPr>
          <w:p>
            <w:pPr>
              <w:pStyle w:val="TableBody"/>
              <w:rPr>
                <w:b/>
              </w:rPr>
            </w:pPr>
            <w:r>
              <w:rPr>
                <w:b/>
              </w:rPr>
              <w:t>Orion Power Analyst Meeting</w:t>
            </w:r>
          </w:p>
        </w:tc>
        <w:tc>
          <w:tcPr>
            <w:tcW w:w="1350" w:type="dxa"/>
            <w:tcBorders>
              <w:top w:val="single" w:sz="4" w:space="0" w:color="000000"/>
              <w:bottom w:val="single" w:sz="4" w:space="0" w:color="000000"/>
            </w:tcBorders>
          </w:tcPr>
          <w:p>
            <w:pPr>
              <w:pStyle w:val="TableBody"/>
              <w:jc w:val="center"/>
              <w:rPr/>
            </w:pPr>
            <w:r>
              <w:rPr/>
              <w:t>All Day</w:t>
            </w:r>
          </w:p>
        </w:tc>
        <w:tc>
          <w:tcPr>
            <w:tcW w:w="1530" w:type="dxa"/>
            <w:tcBorders>
              <w:top w:val="single" w:sz="4" w:space="0" w:color="000000"/>
              <w:bottom w:val="single" w:sz="4" w:space="0" w:color="000000"/>
            </w:tcBorders>
          </w:tcPr>
          <w:p>
            <w:pPr>
              <w:pStyle w:val="TableBody"/>
              <w:jc w:val="center"/>
              <w:rPr/>
            </w:pPr>
            <w:r>
              <w:rPr/>
              <w:t>Baltimore, MD</w:t>
            </w:r>
          </w:p>
        </w:tc>
      </w:tr>
    </w:tbl>
    <w:p>
      <w:pPr>
        <w:pStyle w:val="Text"/>
        <w:rPr/>
      </w:pPr>
      <w:r>
        <w:rPr/>
      </w:r>
    </w:p>
    <w:p>
      <w:pPr>
        <w:pStyle w:val="Head2"/>
        <w:rPr/>
      </w:pPr>
      <w:r>
        <w:rPr/>
        <w:t>NERC 2001 Summer Assessment</w:t>
      </w:r>
    </w:p>
    <w:p>
      <w:pPr>
        <w:pStyle w:val="Text"/>
        <w:rPr/>
      </w:pPr>
      <w:r>
        <w:rPr/>
        <w:t xml:space="preserve">On May 15, the North American Reliability Council (NERC) published </w:t>
      </w:r>
      <w:r>
        <w:rPr>
          <w:i/>
        </w:rPr>
        <w:t>2001 Summer Assessment Report</w:t>
      </w:r>
      <w:r>
        <w:rPr/>
        <w:t xml:space="preserve">.  A full copy of this report can be found at </w:t>
      </w:r>
      <w:r>
        <w:rPr>
          <w:b/>
        </w:rPr>
        <w:t>http://www.nerc.com/~filez/rasreports.html</w:t>
      </w:r>
      <w:r>
        <w:rPr/>
        <w:t xml:space="preserve">.  </w:t>
      </w:r>
    </w:p>
    <w:p>
      <w:pPr>
        <w:pStyle w:val="Text"/>
        <w:rPr/>
      </w:pPr>
      <w:r>
        <w:rPr/>
        <w:t xml:space="preserve">NERC believes that going into the Summer most regions of the US have adequate generation resources to meet demand, barring a major heat wave or an unplanned outage of a large plant.  However, the study finds California and the Northwest to be major areas of concern.   Further, the report cites Texas, New England and New York City as areas that should be closely watched.  </w:t>
      </w:r>
    </w:p>
    <w:p>
      <w:pPr>
        <w:pStyle w:val="CameraReadyTableTitle"/>
        <w:rPr/>
      </w:pPr>
      <w:r>
        <w:rPr>
          <w:b w:val="false"/>
          <w:i/>
          <w:sz w:val="16"/>
        </w:rPr>
        <w:t>Exhibit 7:</w:t>
      </w:r>
      <w:r>
        <w:rPr>
          <w:b w:val="false"/>
          <w:sz w:val="16"/>
        </w:rPr>
        <w:t xml:space="preserve"> Projected Summer Capacity Margins for NERC Regions</w:t>
        <w:br/>
      </w:r>
      <w:r>
        <w:rPr/>
        <w:t>In MW</w:t>
      </w:r>
    </w:p>
    <w:tbl>
      <w:tblPr>
        <w:tblW w:w="7950" w:type="dxa"/>
        <w:jc w:val="start"/>
        <w:tblInd w:w="0" w:type="dxa"/>
        <w:tblLayout w:type="fixed"/>
        <w:tblCellMar>
          <w:top w:w="0" w:type="dxa"/>
          <w:start w:w="30" w:type="dxa"/>
          <w:bottom w:w="0" w:type="dxa"/>
          <w:end w:w="30" w:type="dxa"/>
        </w:tblCellMar>
      </w:tblPr>
      <w:tblGrid>
        <w:gridCol w:w="1010"/>
        <w:gridCol w:w="550"/>
        <w:gridCol w:w="990"/>
        <w:gridCol w:w="900"/>
        <w:gridCol w:w="659"/>
        <w:gridCol w:w="781"/>
        <w:gridCol w:w="810"/>
        <w:gridCol w:w="720"/>
        <w:gridCol w:w="720"/>
        <w:gridCol w:w="810"/>
      </w:tblGrid>
      <w:tr>
        <w:trPr>
          <w:trHeight w:val="247" w:hRule="atLeast"/>
        </w:trPr>
        <w:tc>
          <w:tcPr>
            <w:tcW w:w="1010" w:type="dxa"/>
            <w:tcBorders>
              <w:start w:val="single" w:sz="4" w:space="0" w:color="000000"/>
            </w:tcBorders>
          </w:tcPr>
          <w:p>
            <w:pPr>
              <w:pStyle w:val="TableColHead"/>
              <w:snapToGrid w:val="false"/>
              <w:rPr>
                <w:lang w:eastAsia="en-US"/>
              </w:rPr>
            </w:pPr>
            <w:r>
              <w:rPr>
                <w:lang w:eastAsia="en-US"/>
              </w:rPr>
            </w:r>
          </w:p>
        </w:tc>
        <w:tc>
          <w:tcPr>
            <w:tcW w:w="550" w:type="dxa"/>
            <w:tcBorders/>
          </w:tcPr>
          <w:p>
            <w:pPr>
              <w:pStyle w:val="TableColHead"/>
              <w:snapToGrid w:val="false"/>
              <w:rPr>
                <w:lang w:eastAsia="en-US"/>
              </w:rPr>
            </w:pPr>
            <w:r>
              <w:rPr>
                <w:lang w:eastAsia="en-US"/>
              </w:rPr>
            </w:r>
          </w:p>
        </w:tc>
        <w:tc>
          <w:tcPr>
            <w:tcW w:w="2549" w:type="dxa"/>
            <w:gridSpan w:val="3"/>
            <w:tcBorders>
              <w:top w:val="single" w:sz="4" w:space="0" w:color="000000"/>
              <w:start w:val="single" w:sz="4" w:space="0" w:color="000000"/>
              <w:end w:val="single" w:sz="4" w:space="0" w:color="000000"/>
            </w:tcBorders>
          </w:tcPr>
          <w:p>
            <w:pPr>
              <w:pStyle w:val="TableColHead"/>
              <w:jc w:val="center"/>
              <w:rPr>
                <w:lang w:eastAsia="en-US"/>
              </w:rPr>
            </w:pPr>
            <w:r>
              <w:rPr>
                <w:lang w:eastAsia="en-US"/>
              </w:rPr>
              <w:t>Net Internal Demand</w:t>
            </w:r>
          </w:p>
        </w:tc>
        <w:tc>
          <w:tcPr>
            <w:tcW w:w="2311" w:type="dxa"/>
            <w:gridSpan w:val="3"/>
            <w:tcBorders>
              <w:top w:val="single" w:sz="4" w:space="0" w:color="000000"/>
              <w:end w:val="single" w:sz="4" w:space="0" w:color="000000"/>
            </w:tcBorders>
          </w:tcPr>
          <w:p>
            <w:pPr>
              <w:pStyle w:val="TableColHead"/>
              <w:jc w:val="center"/>
              <w:rPr>
                <w:lang w:eastAsia="en-US"/>
              </w:rPr>
            </w:pPr>
            <w:r>
              <w:rPr>
                <w:lang w:eastAsia="en-US"/>
              </w:rPr>
              <w:t>Available Resources</w:t>
            </w:r>
          </w:p>
        </w:tc>
        <w:tc>
          <w:tcPr>
            <w:tcW w:w="1530" w:type="dxa"/>
            <w:gridSpan w:val="2"/>
            <w:tcBorders>
              <w:top w:val="single" w:sz="4" w:space="0" w:color="000000"/>
              <w:end w:val="single" w:sz="4" w:space="0" w:color="000000"/>
            </w:tcBorders>
          </w:tcPr>
          <w:p>
            <w:pPr>
              <w:pStyle w:val="TableColHead"/>
              <w:jc w:val="center"/>
              <w:rPr>
                <w:lang w:eastAsia="en-US"/>
              </w:rPr>
            </w:pPr>
            <w:r>
              <w:rPr>
                <w:lang w:eastAsia="en-US"/>
              </w:rPr>
              <w:t>Capacity Margin</w:t>
            </w:r>
          </w:p>
        </w:tc>
      </w:tr>
      <w:tr>
        <w:trPr>
          <w:trHeight w:val="207" w:hRule="atLeast"/>
        </w:trPr>
        <w:tc>
          <w:tcPr>
            <w:tcW w:w="1560" w:type="dxa"/>
            <w:gridSpan w:val="2"/>
            <w:tcBorders>
              <w:start w:val="single" w:sz="4" w:space="0" w:color="000000"/>
              <w:bottom w:val="single" w:sz="4" w:space="0" w:color="000000"/>
            </w:tcBorders>
          </w:tcPr>
          <w:p>
            <w:pPr>
              <w:pStyle w:val="TableColHead"/>
              <w:rPr>
                <w:lang w:eastAsia="en-US"/>
              </w:rPr>
            </w:pPr>
            <w:r>
              <w:rPr>
                <w:lang w:eastAsia="en-US"/>
              </w:rPr>
              <w:t>Region</w:t>
            </w:r>
          </w:p>
        </w:tc>
        <w:tc>
          <w:tcPr>
            <w:tcW w:w="0" w:type="dxa"/>
            <w:vMerge w:val="continue"/>
            <w:tcBorders>
              <w:bottom w:val="single" w:sz="4" w:space="0" w:color="000000"/>
            </w:tcBorders>
          </w:tcPr>
          <w:p>
            <w:pPr>
              <w:pStyle w:val="TableColHead"/>
              <w:snapToGrid w:val="false"/>
              <w:rPr>
                <w:lang w:eastAsia="en-US"/>
              </w:rPr>
            </w:pPr>
            <w:r>
              <w:rPr>
                <w:lang w:eastAsia="en-US"/>
              </w:rPr>
            </w:r>
          </w:p>
        </w:tc>
        <w:tc>
          <w:tcPr>
            <w:tcW w:w="990" w:type="dxa"/>
            <w:tcBorders>
              <w:start w:val="single" w:sz="4" w:space="0" w:color="000000"/>
              <w:bottom w:val="single" w:sz="4" w:space="0" w:color="000000"/>
            </w:tcBorders>
          </w:tcPr>
          <w:p>
            <w:pPr>
              <w:pStyle w:val="TableColHead"/>
              <w:jc w:val="center"/>
              <w:rPr>
                <w:lang w:eastAsia="en-US"/>
              </w:rPr>
            </w:pPr>
            <w:r>
              <w:rPr>
                <w:lang w:eastAsia="en-US"/>
              </w:rPr>
              <w:t>2000</w:t>
            </w:r>
          </w:p>
        </w:tc>
        <w:tc>
          <w:tcPr>
            <w:tcW w:w="900" w:type="dxa"/>
            <w:tcBorders>
              <w:bottom w:val="single" w:sz="4" w:space="0" w:color="000000"/>
            </w:tcBorders>
          </w:tcPr>
          <w:p>
            <w:pPr>
              <w:pStyle w:val="TableColHead"/>
              <w:jc w:val="center"/>
              <w:rPr>
                <w:lang w:eastAsia="en-US"/>
              </w:rPr>
            </w:pPr>
            <w:r>
              <w:rPr>
                <w:lang w:eastAsia="en-US"/>
              </w:rPr>
              <w:t>2001</w:t>
            </w:r>
          </w:p>
        </w:tc>
        <w:tc>
          <w:tcPr>
            <w:tcW w:w="659" w:type="dxa"/>
            <w:tcBorders>
              <w:bottom w:val="single" w:sz="4" w:space="0" w:color="000000"/>
              <w:end w:val="single" w:sz="4" w:space="0" w:color="000000"/>
            </w:tcBorders>
          </w:tcPr>
          <w:p>
            <w:pPr>
              <w:pStyle w:val="TableColHead"/>
              <w:jc w:val="center"/>
              <w:rPr>
                <w:lang w:eastAsia="en-US"/>
              </w:rPr>
            </w:pPr>
            <w:r>
              <w:rPr>
                <w:lang w:eastAsia="en-US"/>
              </w:rPr>
              <w:t>Growth</w:t>
            </w:r>
          </w:p>
        </w:tc>
        <w:tc>
          <w:tcPr>
            <w:tcW w:w="781" w:type="dxa"/>
            <w:tcBorders>
              <w:bottom w:val="single" w:sz="4" w:space="0" w:color="000000"/>
            </w:tcBorders>
          </w:tcPr>
          <w:p>
            <w:pPr>
              <w:pStyle w:val="TableColHead"/>
              <w:jc w:val="center"/>
              <w:rPr>
                <w:lang w:eastAsia="en-US"/>
              </w:rPr>
            </w:pPr>
            <w:r>
              <w:rPr>
                <w:lang w:eastAsia="en-US"/>
              </w:rPr>
              <w:t>2000</w:t>
            </w:r>
          </w:p>
        </w:tc>
        <w:tc>
          <w:tcPr>
            <w:tcW w:w="810" w:type="dxa"/>
            <w:tcBorders>
              <w:bottom w:val="single" w:sz="4" w:space="0" w:color="000000"/>
            </w:tcBorders>
          </w:tcPr>
          <w:p>
            <w:pPr>
              <w:pStyle w:val="TableColHead"/>
              <w:jc w:val="center"/>
              <w:rPr>
                <w:lang w:eastAsia="en-US"/>
              </w:rPr>
            </w:pPr>
            <w:r>
              <w:rPr>
                <w:lang w:eastAsia="en-US"/>
              </w:rPr>
              <w:t>2001</w:t>
            </w:r>
          </w:p>
        </w:tc>
        <w:tc>
          <w:tcPr>
            <w:tcW w:w="720" w:type="dxa"/>
            <w:tcBorders>
              <w:bottom w:val="single" w:sz="4" w:space="0" w:color="000000"/>
              <w:end w:val="single" w:sz="4" w:space="0" w:color="000000"/>
            </w:tcBorders>
          </w:tcPr>
          <w:p>
            <w:pPr>
              <w:pStyle w:val="TableColHead"/>
              <w:jc w:val="center"/>
              <w:rPr>
                <w:lang w:eastAsia="en-US"/>
              </w:rPr>
            </w:pPr>
            <w:r>
              <w:rPr>
                <w:lang w:eastAsia="en-US"/>
              </w:rPr>
              <w:t>Growth</w:t>
            </w:r>
          </w:p>
        </w:tc>
        <w:tc>
          <w:tcPr>
            <w:tcW w:w="720" w:type="dxa"/>
            <w:tcBorders>
              <w:bottom w:val="single" w:sz="4" w:space="0" w:color="000000"/>
            </w:tcBorders>
          </w:tcPr>
          <w:p>
            <w:pPr>
              <w:pStyle w:val="TableColHead"/>
              <w:jc w:val="center"/>
              <w:rPr>
                <w:lang w:eastAsia="en-US"/>
              </w:rPr>
            </w:pPr>
            <w:r>
              <w:rPr>
                <w:lang w:eastAsia="en-US"/>
              </w:rPr>
              <w:t>2000</w:t>
            </w:r>
          </w:p>
        </w:tc>
        <w:tc>
          <w:tcPr>
            <w:tcW w:w="810" w:type="dxa"/>
            <w:tcBorders>
              <w:bottom w:val="single" w:sz="4" w:space="0" w:color="000000"/>
              <w:end w:val="single" w:sz="4" w:space="0" w:color="000000"/>
            </w:tcBorders>
          </w:tcPr>
          <w:p>
            <w:pPr>
              <w:pStyle w:val="TableColHead"/>
              <w:jc w:val="center"/>
              <w:rPr>
                <w:lang w:eastAsia="en-US"/>
              </w:rPr>
            </w:pPr>
            <w:r>
              <w:rPr>
                <w:lang w:eastAsia="en-US"/>
              </w:rPr>
              <w:t>2001</w:t>
            </w:r>
          </w:p>
        </w:tc>
      </w:tr>
      <w:tr>
        <w:trPr>
          <w:trHeight w:val="247" w:hRule="atLeast"/>
        </w:trPr>
        <w:tc>
          <w:tcPr>
            <w:tcW w:w="1560" w:type="dxa"/>
            <w:gridSpan w:val="2"/>
            <w:tcBorders>
              <w:start w:val="single" w:sz="4" w:space="0" w:color="000000"/>
            </w:tcBorders>
          </w:tcPr>
          <w:p>
            <w:pPr>
              <w:pStyle w:val="TableBody"/>
              <w:spacing w:before="60" w:after="0"/>
              <w:rPr>
                <w:lang w:eastAsia="en-US"/>
              </w:rPr>
            </w:pPr>
            <w:r>
              <w:rPr>
                <w:lang w:eastAsia="en-US"/>
              </w:rPr>
              <w:t>ECAR</w:t>
            </w:r>
          </w:p>
        </w:tc>
        <w:tc>
          <w:tcPr>
            <w:tcW w:w="0" w:type="dxa"/>
            <w:vMerge w:val="continue"/>
            <w:tcBorders/>
          </w:tcPr>
          <w:p>
            <w:pPr>
              <w:pStyle w:val="TableBody"/>
              <w:snapToGrid w:val="false"/>
              <w:spacing w:before="60" w:after="0"/>
              <w:rPr>
                <w:lang w:eastAsia="en-US"/>
              </w:rPr>
            </w:pPr>
            <w:r>
              <w:rPr>
                <w:lang w:eastAsia="en-US"/>
              </w:rPr>
            </w:r>
          </w:p>
        </w:tc>
        <w:tc>
          <w:tcPr>
            <w:tcW w:w="990" w:type="dxa"/>
            <w:tcBorders>
              <w:start w:val="single" w:sz="4" w:space="0" w:color="000000"/>
            </w:tcBorders>
          </w:tcPr>
          <w:p>
            <w:pPr>
              <w:pStyle w:val="TableBody"/>
              <w:tabs>
                <w:tab w:val="clear" w:pos="720"/>
                <w:tab w:val="decimal" w:pos="690" w:leader="none"/>
              </w:tabs>
              <w:spacing w:before="60" w:after="0"/>
              <w:rPr>
                <w:lang w:eastAsia="en-US"/>
              </w:rPr>
            </w:pPr>
            <w:r>
              <w:rPr>
                <w:lang w:eastAsia="en-US"/>
              </w:rPr>
              <w:t>95,522</w:t>
            </w:r>
          </w:p>
        </w:tc>
        <w:tc>
          <w:tcPr>
            <w:tcW w:w="900" w:type="dxa"/>
            <w:tcBorders/>
          </w:tcPr>
          <w:p>
            <w:pPr>
              <w:pStyle w:val="TableBody"/>
              <w:tabs>
                <w:tab w:val="clear" w:pos="720"/>
                <w:tab w:val="decimal" w:pos="600" w:leader="none"/>
              </w:tabs>
              <w:spacing w:before="60" w:after="0"/>
              <w:rPr>
                <w:lang w:eastAsia="en-US"/>
              </w:rPr>
            </w:pPr>
            <w:r>
              <w:rPr>
                <w:lang w:eastAsia="en-US"/>
              </w:rPr>
              <w:t>98,651</w:t>
            </w:r>
          </w:p>
        </w:tc>
        <w:tc>
          <w:tcPr>
            <w:tcW w:w="659" w:type="dxa"/>
            <w:tcBorders>
              <w:end w:val="single" w:sz="4" w:space="0" w:color="000000"/>
            </w:tcBorders>
          </w:tcPr>
          <w:p>
            <w:pPr>
              <w:pStyle w:val="TableBody"/>
              <w:tabs>
                <w:tab w:val="clear" w:pos="720"/>
                <w:tab w:val="decimal" w:pos="240" w:leader="none"/>
              </w:tabs>
              <w:spacing w:before="60" w:after="0"/>
              <w:rPr>
                <w:lang w:eastAsia="en-US"/>
              </w:rPr>
            </w:pPr>
            <w:r>
              <w:rPr>
                <w:lang w:eastAsia="en-US"/>
              </w:rPr>
              <w:t>3.3%</w:t>
            </w:r>
          </w:p>
        </w:tc>
        <w:tc>
          <w:tcPr>
            <w:tcW w:w="781" w:type="dxa"/>
            <w:tcBorders/>
          </w:tcPr>
          <w:p>
            <w:pPr>
              <w:pStyle w:val="TableBody"/>
              <w:tabs>
                <w:tab w:val="clear" w:pos="720"/>
                <w:tab w:val="decimal" w:pos="571" w:leader="none"/>
              </w:tabs>
              <w:spacing w:before="60" w:after="0"/>
              <w:rPr>
                <w:lang w:eastAsia="en-US"/>
              </w:rPr>
            </w:pPr>
            <w:r>
              <w:rPr>
                <w:lang w:eastAsia="en-US"/>
              </w:rPr>
              <w:t>110,525</w:t>
            </w:r>
          </w:p>
        </w:tc>
        <w:tc>
          <w:tcPr>
            <w:tcW w:w="810" w:type="dxa"/>
            <w:tcBorders/>
          </w:tcPr>
          <w:p>
            <w:pPr>
              <w:pStyle w:val="TableBody"/>
              <w:tabs>
                <w:tab w:val="clear" w:pos="720"/>
                <w:tab w:val="decimal" w:pos="600" w:leader="none"/>
              </w:tabs>
              <w:spacing w:before="60" w:after="0"/>
              <w:rPr>
                <w:lang w:eastAsia="en-US"/>
              </w:rPr>
            </w:pPr>
            <w:r>
              <w:rPr>
                <w:lang w:eastAsia="en-US"/>
              </w:rPr>
              <w:t>114,983</w:t>
            </w:r>
          </w:p>
        </w:tc>
        <w:tc>
          <w:tcPr>
            <w:tcW w:w="720" w:type="dxa"/>
            <w:tcBorders>
              <w:end w:val="single" w:sz="4" w:space="0" w:color="000000"/>
            </w:tcBorders>
          </w:tcPr>
          <w:p>
            <w:pPr>
              <w:pStyle w:val="TableBody"/>
              <w:tabs>
                <w:tab w:val="clear" w:pos="720"/>
                <w:tab w:val="decimal" w:pos="240" w:leader="none"/>
              </w:tabs>
              <w:spacing w:before="60" w:after="0"/>
              <w:rPr>
                <w:lang w:eastAsia="en-US"/>
              </w:rPr>
            </w:pPr>
            <w:r>
              <w:rPr>
                <w:lang w:eastAsia="en-US"/>
              </w:rPr>
              <w:t>4.0%</w:t>
            </w:r>
          </w:p>
        </w:tc>
        <w:tc>
          <w:tcPr>
            <w:tcW w:w="720" w:type="dxa"/>
            <w:tcBorders/>
          </w:tcPr>
          <w:p>
            <w:pPr>
              <w:pStyle w:val="TableBody"/>
              <w:tabs>
                <w:tab w:val="clear" w:pos="720"/>
                <w:tab w:val="decimal" w:pos="330" w:leader="none"/>
              </w:tabs>
              <w:spacing w:before="60" w:after="0"/>
              <w:rPr>
                <w:lang w:eastAsia="en-US"/>
              </w:rPr>
            </w:pPr>
            <w:r>
              <w:rPr>
                <w:lang w:eastAsia="en-US"/>
              </w:rPr>
              <w:t>13.6%</w:t>
            </w:r>
          </w:p>
        </w:tc>
        <w:tc>
          <w:tcPr>
            <w:tcW w:w="810" w:type="dxa"/>
            <w:tcBorders>
              <w:end w:val="single" w:sz="4" w:space="0" w:color="000000"/>
            </w:tcBorders>
          </w:tcPr>
          <w:p>
            <w:pPr>
              <w:pStyle w:val="TableBody"/>
              <w:tabs>
                <w:tab w:val="clear" w:pos="720"/>
                <w:tab w:val="decimal" w:pos="330" w:leader="none"/>
              </w:tabs>
              <w:spacing w:before="60" w:after="0"/>
              <w:rPr>
                <w:lang w:eastAsia="en-US"/>
              </w:rPr>
            </w:pPr>
            <w:r>
              <w:rPr>
                <w:lang w:eastAsia="en-US"/>
              </w:rPr>
              <w:t>14.2%</w:t>
            </w:r>
          </w:p>
        </w:tc>
      </w:tr>
      <w:tr>
        <w:trPr>
          <w:trHeight w:val="247" w:hRule="atLeast"/>
        </w:trPr>
        <w:tc>
          <w:tcPr>
            <w:tcW w:w="1560" w:type="dxa"/>
            <w:gridSpan w:val="2"/>
            <w:tcBorders>
              <w:start w:val="single" w:sz="4" w:space="0" w:color="000000"/>
            </w:tcBorders>
          </w:tcPr>
          <w:p>
            <w:pPr>
              <w:pStyle w:val="TableBody"/>
              <w:spacing w:before="60" w:after="0"/>
              <w:rPr>
                <w:lang w:eastAsia="en-US"/>
              </w:rPr>
            </w:pPr>
            <w:r>
              <w:rPr>
                <w:lang w:eastAsia="en-US"/>
              </w:rPr>
              <w:t>ERCOT</w:t>
            </w:r>
          </w:p>
        </w:tc>
        <w:tc>
          <w:tcPr>
            <w:tcW w:w="0" w:type="dxa"/>
            <w:vMerge w:val="continue"/>
            <w:tcBorders/>
          </w:tcPr>
          <w:p>
            <w:pPr>
              <w:pStyle w:val="TableBody"/>
              <w:snapToGrid w:val="false"/>
              <w:spacing w:before="60" w:after="0"/>
              <w:rPr>
                <w:lang w:eastAsia="en-US"/>
              </w:rPr>
            </w:pPr>
            <w:r>
              <w:rPr>
                <w:lang w:eastAsia="en-US"/>
              </w:rPr>
            </w:r>
          </w:p>
        </w:tc>
        <w:tc>
          <w:tcPr>
            <w:tcW w:w="990" w:type="dxa"/>
            <w:tcBorders>
              <w:start w:val="single" w:sz="4" w:space="0" w:color="000000"/>
            </w:tcBorders>
          </w:tcPr>
          <w:p>
            <w:pPr>
              <w:pStyle w:val="TableBody"/>
              <w:tabs>
                <w:tab w:val="clear" w:pos="720"/>
                <w:tab w:val="decimal" w:pos="690" w:leader="none"/>
              </w:tabs>
              <w:spacing w:before="60" w:after="0"/>
              <w:rPr>
                <w:lang w:eastAsia="en-US"/>
              </w:rPr>
            </w:pPr>
            <w:r>
              <w:rPr>
                <w:lang w:eastAsia="en-US"/>
              </w:rPr>
              <w:t>52,152</w:t>
            </w:r>
          </w:p>
        </w:tc>
        <w:tc>
          <w:tcPr>
            <w:tcW w:w="900" w:type="dxa"/>
            <w:tcBorders/>
          </w:tcPr>
          <w:p>
            <w:pPr>
              <w:pStyle w:val="TableBody"/>
              <w:tabs>
                <w:tab w:val="clear" w:pos="720"/>
                <w:tab w:val="decimal" w:pos="600" w:leader="none"/>
              </w:tabs>
              <w:spacing w:before="60" w:after="0"/>
              <w:rPr>
                <w:lang w:eastAsia="en-US"/>
              </w:rPr>
            </w:pPr>
            <w:r>
              <w:rPr>
                <w:lang w:eastAsia="en-US"/>
              </w:rPr>
              <w:t>53,391</w:t>
            </w:r>
          </w:p>
        </w:tc>
        <w:tc>
          <w:tcPr>
            <w:tcW w:w="659" w:type="dxa"/>
            <w:tcBorders>
              <w:end w:val="single" w:sz="4" w:space="0" w:color="000000"/>
            </w:tcBorders>
          </w:tcPr>
          <w:p>
            <w:pPr>
              <w:pStyle w:val="TableBody"/>
              <w:tabs>
                <w:tab w:val="clear" w:pos="720"/>
                <w:tab w:val="decimal" w:pos="240" w:leader="none"/>
              </w:tabs>
              <w:spacing w:before="60" w:after="0"/>
              <w:rPr>
                <w:lang w:eastAsia="en-US"/>
              </w:rPr>
            </w:pPr>
            <w:r>
              <w:rPr>
                <w:lang w:eastAsia="en-US"/>
              </w:rPr>
              <w:t>2.4%</w:t>
            </w:r>
          </w:p>
        </w:tc>
        <w:tc>
          <w:tcPr>
            <w:tcW w:w="781" w:type="dxa"/>
            <w:tcBorders/>
          </w:tcPr>
          <w:p>
            <w:pPr>
              <w:pStyle w:val="TableBody"/>
              <w:tabs>
                <w:tab w:val="clear" w:pos="720"/>
                <w:tab w:val="decimal" w:pos="571" w:leader="none"/>
              </w:tabs>
              <w:spacing w:before="60" w:after="0"/>
              <w:rPr>
                <w:lang w:eastAsia="en-US"/>
              </w:rPr>
            </w:pPr>
            <w:r>
              <w:rPr>
                <w:lang w:eastAsia="en-US"/>
              </w:rPr>
              <w:t>61,751</w:t>
            </w:r>
          </w:p>
        </w:tc>
        <w:tc>
          <w:tcPr>
            <w:tcW w:w="810" w:type="dxa"/>
            <w:tcBorders/>
          </w:tcPr>
          <w:p>
            <w:pPr>
              <w:pStyle w:val="TableBody"/>
              <w:tabs>
                <w:tab w:val="clear" w:pos="720"/>
                <w:tab w:val="decimal" w:pos="600" w:leader="none"/>
              </w:tabs>
              <w:spacing w:before="60" w:after="0"/>
              <w:rPr>
                <w:lang w:eastAsia="en-US"/>
              </w:rPr>
            </w:pPr>
            <w:r>
              <w:rPr>
                <w:lang w:eastAsia="en-US"/>
              </w:rPr>
              <w:t>64,164</w:t>
            </w:r>
          </w:p>
        </w:tc>
        <w:tc>
          <w:tcPr>
            <w:tcW w:w="720" w:type="dxa"/>
            <w:tcBorders>
              <w:end w:val="single" w:sz="4" w:space="0" w:color="000000"/>
            </w:tcBorders>
          </w:tcPr>
          <w:p>
            <w:pPr>
              <w:pStyle w:val="TableBody"/>
              <w:tabs>
                <w:tab w:val="clear" w:pos="720"/>
                <w:tab w:val="decimal" w:pos="240" w:leader="none"/>
              </w:tabs>
              <w:spacing w:before="60" w:after="0"/>
              <w:rPr>
                <w:lang w:eastAsia="en-US"/>
              </w:rPr>
            </w:pPr>
            <w:r>
              <w:rPr>
                <w:lang w:eastAsia="en-US"/>
              </w:rPr>
              <w:t>3.9%</w:t>
            </w:r>
          </w:p>
        </w:tc>
        <w:tc>
          <w:tcPr>
            <w:tcW w:w="720" w:type="dxa"/>
            <w:tcBorders/>
          </w:tcPr>
          <w:p>
            <w:pPr>
              <w:pStyle w:val="TableBody"/>
              <w:tabs>
                <w:tab w:val="clear" w:pos="720"/>
                <w:tab w:val="decimal" w:pos="330" w:leader="none"/>
              </w:tabs>
              <w:spacing w:before="60" w:after="0"/>
              <w:rPr>
                <w:lang w:eastAsia="en-US"/>
              </w:rPr>
            </w:pPr>
            <w:r>
              <w:rPr>
                <w:lang w:eastAsia="en-US"/>
              </w:rPr>
              <w:t>15.5%</w:t>
            </w:r>
          </w:p>
        </w:tc>
        <w:tc>
          <w:tcPr>
            <w:tcW w:w="810" w:type="dxa"/>
            <w:tcBorders>
              <w:end w:val="single" w:sz="4" w:space="0" w:color="000000"/>
            </w:tcBorders>
          </w:tcPr>
          <w:p>
            <w:pPr>
              <w:pStyle w:val="TableBody"/>
              <w:tabs>
                <w:tab w:val="clear" w:pos="720"/>
                <w:tab w:val="decimal" w:pos="330" w:leader="none"/>
              </w:tabs>
              <w:spacing w:before="60" w:after="0"/>
              <w:rPr>
                <w:lang w:eastAsia="en-US"/>
              </w:rPr>
            </w:pPr>
            <w:r>
              <w:rPr>
                <w:lang w:eastAsia="en-US"/>
              </w:rPr>
              <w:t>16.8%</w:t>
            </w:r>
          </w:p>
        </w:tc>
      </w:tr>
      <w:tr>
        <w:trPr>
          <w:trHeight w:val="247" w:hRule="atLeast"/>
        </w:trPr>
        <w:tc>
          <w:tcPr>
            <w:tcW w:w="1560" w:type="dxa"/>
            <w:gridSpan w:val="2"/>
            <w:tcBorders>
              <w:start w:val="single" w:sz="4" w:space="0" w:color="000000"/>
            </w:tcBorders>
          </w:tcPr>
          <w:p>
            <w:pPr>
              <w:pStyle w:val="TableBody"/>
              <w:spacing w:before="60" w:after="0"/>
              <w:rPr>
                <w:lang w:eastAsia="en-US"/>
              </w:rPr>
            </w:pPr>
            <w:r>
              <w:rPr>
                <w:lang w:eastAsia="en-US"/>
              </w:rPr>
              <w:t>FRCC</w:t>
            </w:r>
          </w:p>
        </w:tc>
        <w:tc>
          <w:tcPr>
            <w:tcW w:w="0" w:type="dxa"/>
            <w:vMerge w:val="continue"/>
            <w:tcBorders/>
          </w:tcPr>
          <w:p>
            <w:pPr>
              <w:pStyle w:val="TableBody"/>
              <w:snapToGrid w:val="false"/>
              <w:spacing w:before="60" w:after="0"/>
              <w:rPr>
                <w:lang w:eastAsia="en-US"/>
              </w:rPr>
            </w:pPr>
            <w:r>
              <w:rPr>
                <w:lang w:eastAsia="en-US"/>
              </w:rPr>
            </w:r>
          </w:p>
        </w:tc>
        <w:tc>
          <w:tcPr>
            <w:tcW w:w="990" w:type="dxa"/>
            <w:tcBorders>
              <w:start w:val="single" w:sz="4" w:space="0" w:color="000000"/>
            </w:tcBorders>
          </w:tcPr>
          <w:p>
            <w:pPr>
              <w:pStyle w:val="TableBody"/>
              <w:tabs>
                <w:tab w:val="clear" w:pos="720"/>
                <w:tab w:val="decimal" w:pos="690" w:leader="none"/>
              </w:tabs>
              <w:spacing w:before="60" w:after="0"/>
              <w:rPr>
                <w:lang w:eastAsia="en-US"/>
              </w:rPr>
            </w:pPr>
            <w:r>
              <w:rPr>
                <w:lang w:eastAsia="en-US"/>
              </w:rPr>
              <w:t>34,832</w:t>
            </w:r>
          </w:p>
        </w:tc>
        <w:tc>
          <w:tcPr>
            <w:tcW w:w="900" w:type="dxa"/>
            <w:tcBorders/>
          </w:tcPr>
          <w:p>
            <w:pPr>
              <w:pStyle w:val="TableBody"/>
              <w:tabs>
                <w:tab w:val="clear" w:pos="720"/>
                <w:tab w:val="decimal" w:pos="600" w:leader="none"/>
              </w:tabs>
              <w:spacing w:before="60" w:after="0"/>
              <w:rPr>
                <w:lang w:eastAsia="en-US"/>
              </w:rPr>
            </w:pPr>
            <w:r>
              <w:rPr>
                <w:lang w:eastAsia="en-US"/>
              </w:rPr>
              <w:t>35,666</w:t>
            </w:r>
          </w:p>
        </w:tc>
        <w:tc>
          <w:tcPr>
            <w:tcW w:w="659" w:type="dxa"/>
            <w:tcBorders>
              <w:end w:val="single" w:sz="4" w:space="0" w:color="000000"/>
            </w:tcBorders>
          </w:tcPr>
          <w:p>
            <w:pPr>
              <w:pStyle w:val="TableBody"/>
              <w:tabs>
                <w:tab w:val="clear" w:pos="720"/>
                <w:tab w:val="decimal" w:pos="240" w:leader="none"/>
              </w:tabs>
              <w:spacing w:before="60" w:after="0"/>
              <w:rPr>
                <w:lang w:eastAsia="en-US"/>
              </w:rPr>
            </w:pPr>
            <w:r>
              <w:rPr>
                <w:lang w:eastAsia="en-US"/>
              </w:rPr>
              <w:t>2.4%</w:t>
            </w:r>
          </w:p>
        </w:tc>
        <w:tc>
          <w:tcPr>
            <w:tcW w:w="781" w:type="dxa"/>
            <w:tcBorders/>
          </w:tcPr>
          <w:p>
            <w:pPr>
              <w:pStyle w:val="TableBody"/>
              <w:tabs>
                <w:tab w:val="clear" w:pos="720"/>
                <w:tab w:val="decimal" w:pos="571" w:leader="none"/>
              </w:tabs>
              <w:spacing w:before="60" w:after="0"/>
              <w:rPr>
                <w:lang w:eastAsia="en-US"/>
              </w:rPr>
            </w:pPr>
            <w:r>
              <w:rPr>
                <w:lang w:eastAsia="en-US"/>
              </w:rPr>
              <w:t>40,645</w:t>
            </w:r>
          </w:p>
        </w:tc>
        <w:tc>
          <w:tcPr>
            <w:tcW w:w="810" w:type="dxa"/>
            <w:tcBorders/>
          </w:tcPr>
          <w:p>
            <w:pPr>
              <w:pStyle w:val="TableBody"/>
              <w:tabs>
                <w:tab w:val="clear" w:pos="720"/>
                <w:tab w:val="decimal" w:pos="600" w:leader="none"/>
              </w:tabs>
              <w:spacing w:before="60" w:after="0"/>
              <w:rPr>
                <w:lang w:eastAsia="en-US"/>
              </w:rPr>
            </w:pPr>
            <w:r>
              <w:rPr>
                <w:lang w:eastAsia="en-US"/>
              </w:rPr>
              <w:t>43,125</w:t>
            </w:r>
          </w:p>
        </w:tc>
        <w:tc>
          <w:tcPr>
            <w:tcW w:w="720" w:type="dxa"/>
            <w:tcBorders>
              <w:end w:val="single" w:sz="4" w:space="0" w:color="000000"/>
            </w:tcBorders>
          </w:tcPr>
          <w:p>
            <w:pPr>
              <w:pStyle w:val="TableBody"/>
              <w:tabs>
                <w:tab w:val="clear" w:pos="720"/>
                <w:tab w:val="decimal" w:pos="240" w:leader="none"/>
              </w:tabs>
              <w:spacing w:before="60" w:after="0"/>
              <w:rPr>
                <w:lang w:eastAsia="en-US"/>
              </w:rPr>
            </w:pPr>
            <w:r>
              <w:rPr>
                <w:lang w:eastAsia="en-US"/>
              </w:rPr>
              <w:t>6.1%</w:t>
            </w:r>
          </w:p>
        </w:tc>
        <w:tc>
          <w:tcPr>
            <w:tcW w:w="720" w:type="dxa"/>
            <w:tcBorders/>
          </w:tcPr>
          <w:p>
            <w:pPr>
              <w:pStyle w:val="TableBody"/>
              <w:tabs>
                <w:tab w:val="clear" w:pos="720"/>
                <w:tab w:val="decimal" w:pos="330" w:leader="none"/>
              </w:tabs>
              <w:spacing w:before="60" w:after="0"/>
              <w:rPr>
                <w:lang w:eastAsia="en-US"/>
              </w:rPr>
            </w:pPr>
            <w:r>
              <w:rPr>
                <w:lang w:eastAsia="en-US"/>
              </w:rPr>
              <w:t>14.3%</w:t>
            </w:r>
          </w:p>
        </w:tc>
        <w:tc>
          <w:tcPr>
            <w:tcW w:w="810" w:type="dxa"/>
            <w:tcBorders>
              <w:end w:val="single" w:sz="4" w:space="0" w:color="000000"/>
            </w:tcBorders>
          </w:tcPr>
          <w:p>
            <w:pPr>
              <w:pStyle w:val="TableBody"/>
              <w:tabs>
                <w:tab w:val="clear" w:pos="720"/>
                <w:tab w:val="decimal" w:pos="330" w:leader="none"/>
              </w:tabs>
              <w:spacing w:before="60" w:after="0"/>
              <w:rPr>
                <w:lang w:eastAsia="en-US"/>
              </w:rPr>
            </w:pPr>
            <w:r>
              <w:rPr>
                <w:lang w:eastAsia="en-US"/>
              </w:rPr>
              <w:t>17.3%</w:t>
            </w:r>
          </w:p>
        </w:tc>
      </w:tr>
      <w:tr>
        <w:trPr>
          <w:trHeight w:val="247" w:hRule="atLeast"/>
        </w:trPr>
        <w:tc>
          <w:tcPr>
            <w:tcW w:w="1560" w:type="dxa"/>
            <w:gridSpan w:val="2"/>
            <w:tcBorders>
              <w:start w:val="single" w:sz="4" w:space="0" w:color="000000"/>
            </w:tcBorders>
          </w:tcPr>
          <w:p>
            <w:pPr>
              <w:pStyle w:val="TableBody"/>
              <w:spacing w:before="60" w:after="0"/>
              <w:rPr>
                <w:lang w:eastAsia="en-US"/>
              </w:rPr>
            </w:pPr>
            <w:r>
              <w:rPr>
                <w:lang w:eastAsia="en-US"/>
              </w:rPr>
              <w:t>MAAC</w:t>
            </w:r>
          </w:p>
        </w:tc>
        <w:tc>
          <w:tcPr>
            <w:tcW w:w="0" w:type="dxa"/>
            <w:vMerge w:val="continue"/>
            <w:tcBorders/>
          </w:tcPr>
          <w:p>
            <w:pPr>
              <w:pStyle w:val="TableBody"/>
              <w:snapToGrid w:val="false"/>
              <w:spacing w:before="60" w:after="0"/>
              <w:rPr>
                <w:lang w:eastAsia="en-US"/>
              </w:rPr>
            </w:pPr>
            <w:r>
              <w:rPr>
                <w:lang w:eastAsia="en-US"/>
              </w:rPr>
            </w:r>
          </w:p>
        </w:tc>
        <w:tc>
          <w:tcPr>
            <w:tcW w:w="990" w:type="dxa"/>
            <w:tcBorders>
              <w:start w:val="single" w:sz="4" w:space="0" w:color="000000"/>
            </w:tcBorders>
          </w:tcPr>
          <w:p>
            <w:pPr>
              <w:pStyle w:val="TableBody"/>
              <w:tabs>
                <w:tab w:val="clear" w:pos="720"/>
                <w:tab w:val="decimal" w:pos="690" w:leader="none"/>
              </w:tabs>
              <w:spacing w:before="60" w:after="0"/>
              <w:rPr>
                <w:lang w:eastAsia="en-US"/>
              </w:rPr>
            </w:pPr>
            <w:r>
              <w:rPr>
                <w:lang w:eastAsia="en-US"/>
              </w:rPr>
              <w:t>49,325</w:t>
            </w:r>
          </w:p>
        </w:tc>
        <w:tc>
          <w:tcPr>
            <w:tcW w:w="900" w:type="dxa"/>
            <w:tcBorders/>
          </w:tcPr>
          <w:p>
            <w:pPr>
              <w:pStyle w:val="TableBody"/>
              <w:tabs>
                <w:tab w:val="clear" w:pos="720"/>
                <w:tab w:val="decimal" w:pos="600" w:leader="none"/>
              </w:tabs>
              <w:spacing w:before="60" w:after="0"/>
              <w:rPr>
                <w:lang w:eastAsia="en-US"/>
              </w:rPr>
            </w:pPr>
            <w:r>
              <w:rPr>
                <w:lang w:eastAsia="en-US"/>
              </w:rPr>
              <w:t>51,311</w:t>
            </w:r>
          </w:p>
        </w:tc>
        <w:tc>
          <w:tcPr>
            <w:tcW w:w="659" w:type="dxa"/>
            <w:tcBorders>
              <w:end w:val="single" w:sz="4" w:space="0" w:color="000000"/>
            </w:tcBorders>
          </w:tcPr>
          <w:p>
            <w:pPr>
              <w:pStyle w:val="TableBody"/>
              <w:tabs>
                <w:tab w:val="clear" w:pos="720"/>
                <w:tab w:val="decimal" w:pos="240" w:leader="none"/>
              </w:tabs>
              <w:spacing w:before="60" w:after="0"/>
              <w:rPr>
                <w:lang w:eastAsia="en-US"/>
              </w:rPr>
            </w:pPr>
            <w:r>
              <w:rPr>
                <w:lang w:eastAsia="en-US"/>
              </w:rPr>
              <w:t>4.0%</w:t>
            </w:r>
          </w:p>
        </w:tc>
        <w:tc>
          <w:tcPr>
            <w:tcW w:w="781" w:type="dxa"/>
            <w:tcBorders/>
          </w:tcPr>
          <w:p>
            <w:pPr>
              <w:pStyle w:val="TableBody"/>
              <w:tabs>
                <w:tab w:val="clear" w:pos="720"/>
                <w:tab w:val="decimal" w:pos="571" w:leader="none"/>
              </w:tabs>
              <w:spacing w:before="60" w:after="0"/>
              <w:rPr>
                <w:lang w:eastAsia="en-US"/>
              </w:rPr>
            </w:pPr>
            <w:r>
              <w:rPr>
                <w:lang w:eastAsia="en-US"/>
              </w:rPr>
              <w:t>58,259</w:t>
            </w:r>
          </w:p>
        </w:tc>
        <w:tc>
          <w:tcPr>
            <w:tcW w:w="810" w:type="dxa"/>
            <w:tcBorders/>
          </w:tcPr>
          <w:p>
            <w:pPr>
              <w:pStyle w:val="TableBody"/>
              <w:tabs>
                <w:tab w:val="clear" w:pos="720"/>
                <w:tab w:val="decimal" w:pos="600" w:leader="none"/>
              </w:tabs>
              <w:spacing w:before="60" w:after="0"/>
              <w:rPr>
                <w:lang w:eastAsia="en-US"/>
              </w:rPr>
            </w:pPr>
            <w:r>
              <w:rPr>
                <w:lang w:eastAsia="en-US"/>
              </w:rPr>
              <w:t>60,457</w:t>
            </w:r>
          </w:p>
        </w:tc>
        <w:tc>
          <w:tcPr>
            <w:tcW w:w="720" w:type="dxa"/>
            <w:tcBorders>
              <w:end w:val="single" w:sz="4" w:space="0" w:color="000000"/>
            </w:tcBorders>
          </w:tcPr>
          <w:p>
            <w:pPr>
              <w:pStyle w:val="TableBody"/>
              <w:tabs>
                <w:tab w:val="clear" w:pos="720"/>
                <w:tab w:val="decimal" w:pos="240" w:leader="none"/>
              </w:tabs>
              <w:spacing w:before="60" w:after="0"/>
              <w:rPr>
                <w:lang w:eastAsia="en-US"/>
              </w:rPr>
            </w:pPr>
            <w:r>
              <w:rPr>
                <w:lang w:eastAsia="en-US"/>
              </w:rPr>
              <w:t>3.8%</w:t>
            </w:r>
          </w:p>
        </w:tc>
        <w:tc>
          <w:tcPr>
            <w:tcW w:w="720" w:type="dxa"/>
            <w:tcBorders/>
          </w:tcPr>
          <w:p>
            <w:pPr>
              <w:pStyle w:val="TableBody"/>
              <w:tabs>
                <w:tab w:val="clear" w:pos="720"/>
                <w:tab w:val="decimal" w:pos="330" w:leader="none"/>
              </w:tabs>
              <w:spacing w:before="60" w:after="0"/>
              <w:rPr>
                <w:lang w:eastAsia="en-US"/>
              </w:rPr>
            </w:pPr>
            <w:r>
              <w:rPr>
                <w:lang w:eastAsia="en-US"/>
              </w:rPr>
              <w:t>15.3%</w:t>
            </w:r>
          </w:p>
        </w:tc>
        <w:tc>
          <w:tcPr>
            <w:tcW w:w="810" w:type="dxa"/>
            <w:tcBorders>
              <w:end w:val="single" w:sz="4" w:space="0" w:color="000000"/>
            </w:tcBorders>
          </w:tcPr>
          <w:p>
            <w:pPr>
              <w:pStyle w:val="TableBody"/>
              <w:tabs>
                <w:tab w:val="clear" w:pos="720"/>
                <w:tab w:val="decimal" w:pos="330" w:leader="none"/>
              </w:tabs>
              <w:spacing w:before="60" w:after="0"/>
              <w:rPr>
                <w:lang w:eastAsia="en-US"/>
              </w:rPr>
            </w:pPr>
            <w:r>
              <w:rPr>
                <w:lang w:eastAsia="en-US"/>
              </w:rPr>
              <w:t>15.1%</w:t>
            </w:r>
          </w:p>
        </w:tc>
      </w:tr>
      <w:tr>
        <w:trPr>
          <w:trHeight w:val="247" w:hRule="atLeast"/>
        </w:trPr>
        <w:tc>
          <w:tcPr>
            <w:tcW w:w="1560" w:type="dxa"/>
            <w:gridSpan w:val="2"/>
            <w:tcBorders>
              <w:start w:val="single" w:sz="4" w:space="0" w:color="000000"/>
            </w:tcBorders>
          </w:tcPr>
          <w:p>
            <w:pPr>
              <w:pStyle w:val="TableBody"/>
              <w:rPr>
                <w:lang w:eastAsia="en-US"/>
              </w:rPr>
            </w:pPr>
            <w:r>
              <w:rPr>
                <w:lang w:eastAsia="en-US"/>
              </w:rPr>
              <w:t>MAIN</w:t>
            </w:r>
          </w:p>
        </w:tc>
        <w:tc>
          <w:tcPr>
            <w:tcW w:w="990" w:type="dxa"/>
            <w:tcBorders>
              <w:start w:val="single" w:sz="4" w:space="0" w:color="000000"/>
            </w:tcBorders>
          </w:tcPr>
          <w:p>
            <w:pPr>
              <w:pStyle w:val="TableBody"/>
              <w:tabs>
                <w:tab w:val="clear" w:pos="720"/>
                <w:tab w:val="decimal" w:pos="690" w:leader="none"/>
              </w:tabs>
              <w:rPr>
                <w:lang w:eastAsia="en-US"/>
              </w:rPr>
            </w:pPr>
            <w:r>
              <w:rPr>
                <w:lang w:eastAsia="en-US"/>
              </w:rPr>
              <w:t>47,058</w:t>
            </w:r>
          </w:p>
        </w:tc>
        <w:tc>
          <w:tcPr>
            <w:tcW w:w="900" w:type="dxa"/>
            <w:tcBorders/>
          </w:tcPr>
          <w:p>
            <w:pPr>
              <w:pStyle w:val="TableBody"/>
              <w:tabs>
                <w:tab w:val="clear" w:pos="720"/>
                <w:tab w:val="decimal" w:pos="600" w:leader="none"/>
              </w:tabs>
              <w:rPr>
                <w:lang w:eastAsia="en-US"/>
              </w:rPr>
            </w:pPr>
            <w:r>
              <w:rPr>
                <w:lang w:eastAsia="en-US"/>
              </w:rPr>
              <w:t>51,817</w:t>
            </w:r>
          </w:p>
        </w:tc>
        <w:tc>
          <w:tcPr>
            <w:tcW w:w="659" w:type="dxa"/>
            <w:tcBorders>
              <w:end w:val="single" w:sz="4" w:space="0" w:color="000000"/>
            </w:tcBorders>
          </w:tcPr>
          <w:p>
            <w:pPr>
              <w:pStyle w:val="TableBody"/>
              <w:tabs>
                <w:tab w:val="clear" w:pos="720"/>
                <w:tab w:val="decimal" w:pos="240" w:leader="none"/>
              </w:tabs>
              <w:rPr>
                <w:lang w:eastAsia="en-US"/>
              </w:rPr>
            </w:pPr>
            <w:r>
              <w:rPr>
                <w:lang w:eastAsia="en-US"/>
              </w:rPr>
              <w:t>10.1%</w:t>
            </w:r>
          </w:p>
        </w:tc>
        <w:tc>
          <w:tcPr>
            <w:tcW w:w="781" w:type="dxa"/>
            <w:tcBorders/>
          </w:tcPr>
          <w:p>
            <w:pPr>
              <w:pStyle w:val="TableBody"/>
              <w:tabs>
                <w:tab w:val="clear" w:pos="720"/>
                <w:tab w:val="decimal" w:pos="571" w:leader="none"/>
              </w:tabs>
              <w:rPr>
                <w:lang w:eastAsia="en-US"/>
              </w:rPr>
            </w:pPr>
            <w:r>
              <w:rPr>
                <w:lang w:eastAsia="en-US"/>
              </w:rPr>
              <w:t>56,523</w:t>
            </w:r>
          </w:p>
        </w:tc>
        <w:tc>
          <w:tcPr>
            <w:tcW w:w="810" w:type="dxa"/>
            <w:tcBorders/>
          </w:tcPr>
          <w:p>
            <w:pPr>
              <w:pStyle w:val="TableBody"/>
              <w:tabs>
                <w:tab w:val="clear" w:pos="720"/>
                <w:tab w:val="decimal" w:pos="600" w:leader="none"/>
              </w:tabs>
              <w:rPr>
                <w:lang w:eastAsia="en-US"/>
              </w:rPr>
            </w:pPr>
            <w:r>
              <w:rPr>
                <w:lang w:eastAsia="en-US"/>
              </w:rPr>
              <w:t>61,353</w:t>
            </w:r>
          </w:p>
        </w:tc>
        <w:tc>
          <w:tcPr>
            <w:tcW w:w="720" w:type="dxa"/>
            <w:tcBorders>
              <w:end w:val="single" w:sz="4" w:space="0" w:color="000000"/>
            </w:tcBorders>
          </w:tcPr>
          <w:p>
            <w:pPr>
              <w:pStyle w:val="TableBody"/>
              <w:tabs>
                <w:tab w:val="clear" w:pos="720"/>
                <w:tab w:val="decimal" w:pos="240" w:leader="none"/>
              </w:tabs>
              <w:rPr>
                <w:lang w:eastAsia="en-US"/>
              </w:rPr>
            </w:pPr>
            <w:r>
              <w:rPr>
                <w:lang w:eastAsia="en-US"/>
              </w:rPr>
              <w:t>8.5%</w:t>
            </w:r>
          </w:p>
        </w:tc>
        <w:tc>
          <w:tcPr>
            <w:tcW w:w="720" w:type="dxa"/>
            <w:tcBorders/>
          </w:tcPr>
          <w:p>
            <w:pPr>
              <w:pStyle w:val="TableBody"/>
              <w:tabs>
                <w:tab w:val="clear" w:pos="720"/>
                <w:tab w:val="decimal" w:pos="330" w:leader="none"/>
              </w:tabs>
              <w:spacing w:before="60" w:after="0"/>
              <w:rPr>
                <w:lang w:eastAsia="en-US"/>
              </w:rPr>
            </w:pPr>
            <w:r>
              <w:rPr>
                <w:lang w:eastAsia="en-US"/>
              </w:rPr>
              <w:t>16.7%</w:t>
            </w:r>
          </w:p>
        </w:tc>
        <w:tc>
          <w:tcPr>
            <w:tcW w:w="810" w:type="dxa"/>
            <w:tcBorders>
              <w:end w:val="single" w:sz="4" w:space="0" w:color="000000"/>
            </w:tcBorders>
          </w:tcPr>
          <w:p>
            <w:pPr>
              <w:pStyle w:val="TableBody"/>
              <w:tabs>
                <w:tab w:val="clear" w:pos="720"/>
                <w:tab w:val="decimal" w:pos="330" w:leader="none"/>
              </w:tabs>
              <w:spacing w:before="60" w:after="0"/>
              <w:rPr>
                <w:lang w:eastAsia="en-US"/>
              </w:rPr>
            </w:pPr>
            <w:r>
              <w:rPr>
                <w:lang w:eastAsia="en-US"/>
              </w:rPr>
              <w:t>15.5%</w:t>
            </w:r>
          </w:p>
        </w:tc>
      </w:tr>
      <w:tr>
        <w:trPr>
          <w:trHeight w:val="247" w:hRule="atLeast"/>
        </w:trPr>
        <w:tc>
          <w:tcPr>
            <w:tcW w:w="1560" w:type="dxa"/>
            <w:gridSpan w:val="2"/>
            <w:tcBorders>
              <w:start w:val="single" w:sz="4" w:space="0" w:color="000000"/>
            </w:tcBorders>
          </w:tcPr>
          <w:p>
            <w:pPr>
              <w:pStyle w:val="TableBody"/>
              <w:rPr>
                <w:lang w:eastAsia="en-US"/>
              </w:rPr>
            </w:pPr>
            <w:r>
              <w:rPr>
                <w:lang w:eastAsia="en-US"/>
              </w:rPr>
              <w:t>MAPP</w:t>
            </w:r>
          </w:p>
        </w:tc>
        <w:tc>
          <w:tcPr>
            <w:tcW w:w="990" w:type="dxa"/>
            <w:tcBorders>
              <w:start w:val="single" w:sz="4" w:space="0" w:color="000000"/>
            </w:tcBorders>
          </w:tcPr>
          <w:p>
            <w:pPr>
              <w:pStyle w:val="TableBody"/>
              <w:tabs>
                <w:tab w:val="clear" w:pos="720"/>
                <w:tab w:val="decimal" w:pos="690" w:leader="none"/>
              </w:tabs>
              <w:rPr>
                <w:lang w:eastAsia="en-US"/>
              </w:rPr>
            </w:pPr>
            <w:r>
              <w:rPr>
                <w:lang w:eastAsia="en-US"/>
              </w:rPr>
              <w:t>35,767</w:t>
            </w:r>
          </w:p>
        </w:tc>
        <w:tc>
          <w:tcPr>
            <w:tcW w:w="900" w:type="dxa"/>
            <w:tcBorders/>
          </w:tcPr>
          <w:p>
            <w:pPr>
              <w:pStyle w:val="TableBody"/>
              <w:tabs>
                <w:tab w:val="clear" w:pos="720"/>
                <w:tab w:val="decimal" w:pos="600" w:leader="none"/>
              </w:tabs>
              <w:rPr>
                <w:lang w:eastAsia="en-US"/>
              </w:rPr>
            </w:pPr>
            <w:r>
              <w:rPr>
                <w:lang w:eastAsia="en-US"/>
              </w:rPr>
              <w:t>31,346</w:t>
            </w:r>
          </w:p>
        </w:tc>
        <w:tc>
          <w:tcPr>
            <w:tcW w:w="659" w:type="dxa"/>
            <w:tcBorders>
              <w:end w:val="single" w:sz="4" w:space="0" w:color="000000"/>
            </w:tcBorders>
          </w:tcPr>
          <w:p>
            <w:pPr>
              <w:pStyle w:val="TableBody"/>
              <w:tabs>
                <w:tab w:val="clear" w:pos="720"/>
                <w:tab w:val="decimal" w:pos="240" w:leader="none"/>
              </w:tabs>
              <w:rPr>
                <w:lang w:eastAsia="en-US"/>
              </w:rPr>
            </w:pPr>
            <w:r>
              <w:rPr>
                <w:lang w:eastAsia="en-US"/>
              </w:rPr>
              <w:t>-12.4%</w:t>
            </w:r>
          </w:p>
        </w:tc>
        <w:tc>
          <w:tcPr>
            <w:tcW w:w="781" w:type="dxa"/>
            <w:tcBorders/>
          </w:tcPr>
          <w:p>
            <w:pPr>
              <w:pStyle w:val="TableBody"/>
              <w:tabs>
                <w:tab w:val="clear" w:pos="720"/>
                <w:tab w:val="decimal" w:pos="571" w:leader="none"/>
              </w:tabs>
              <w:rPr>
                <w:lang w:eastAsia="en-US"/>
              </w:rPr>
            </w:pPr>
            <w:r>
              <w:rPr>
                <w:lang w:eastAsia="en-US"/>
              </w:rPr>
              <w:t>42,381</w:t>
            </w:r>
          </w:p>
        </w:tc>
        <w:tc>
          <w:tcPr>
            <w:tcW w:w="810" w:type="dxa"/>
            <w:tcBorders/>
          </w:tcPr>
          <w:p>
            <w:pPr>
              <w:pStyle w:val="TableBody"/>
              <w:tabs>
                <w:tab w:val="clear" w:pos="720"/>
                <w:tab w:val="decimal" w:pos="600" w:leader="none"/>
              </w:tabs>
              <w:rPr>
                <w:lang w:eastAsia="en-US"/>
              </w:rPr>
            </w:pPr>
            <w:r>
              <w:rPr>
                <w:lang w:eastAsia="en-US"/>
              </w:rPr>
              <w:t>40,093</w:t>
            </w:r>
          </w:p>
        </w:tc>
        <w:tc>
          <w:tcPr>
            <w:tcW w:w="720" w:type="dxa"/>
            <w:tcBorders>
              <w:end w:val="single" w:sz="4" w:space="0" w:color="000000"/>
            </w:tcBorders>
          </w:tcPr>
          <w:p>
            <w:pPr>
              <w:pStyle w:val="TableBody"/>
              <w:tabs>
                <w:tab w:val="clear" w:pos="720"/>
                <w:tab w:val="decimal" w:pos="240" w:leader="none"/>
              </w:tabs>
              <w:rPr>
                <w:lang w:eastAsia="en-US"/>
              </w:rPr>
            </w:pPr>
            <w:r>
              <w:rPr>
                <w:lang w:eastAsia="en-US"/>
              </w:rPr>
              <w:t>-5.4%</w:t>
            </w:r>
          </w:p>
        </w:tc>
        <w:tc>
          <w:tcPr>
            <w:tcW w:w="720" w:type="dxa"/>
            <w:tcBorders/>
          </w:tcPr>
          <w:p>
            <w:pPr>
              <w:pStyle w:val="TableBody"/>
              <w:tabs>
                <w:tab w:val="clear" w:pos="720"/>
                <w:tab w:val="decimal" w:pos="330" w:leader="none"/>
              </w:tabs>
              <w:spacing w:before="60" w:after="0"/>
              <w:rPr>
                <w:lang w:eastAsia="en-US"/>
              </w:rPr>
            </w:pPr>
            <w:r>
              <w:rPr>
                <w:lang w:eastAsia="en-US"/>
              </w:rPr>
              <w:t>15.5%</w:t>
            </w:r>
          </w:p>
        </w:tc>
        <w:tc>
          <w:tcPr>
            <w:tcW w:w="810" w:type="dxa"/>
            <w:tcBorders>
              <w:end w:val="single" w:sz="4" w:space="0" w:color="000000"/>
            </w:tcBorders>
          </w:tcPr>
          <w:p>
            <w:pPr>
              <w:pStyle w:val="TableBody"/>
              <w:tabs>
                <w:tab w:val="clear" w:pos="720"/>
                <w:tab w:val="decimal" w:pos="330" w:leader="none"/>
              </w:tabs>
              <w:spacing w:before="60" w:after="0"/>
              <w:rPr>
                <w:lang w:eastAsia="en-US"/>
              </w:rPr>
            </w:pPr>
            <w:r>
              <w:rPr>
                <w:lang w:eastAsia="en-US"/>
              </w:rPr>
              <w:t>21.8%</w:t>
            </w:r>
          </w:p>
        </w:tc>
      </w:tr>
      <w:tr>
        <w:trPr>
          <w:trHeight w:val="247" w:hRule="atLeast"/>
        </w:trPr>
        <w:tc>
          <w:tcPr>
            <w:tcW w:w="1560" w:type="dxa"/>
            <w:gridSpan w:val="2"/>
            <w:tcBorders>
              <w:start w:val="single" w:sz="4" w:space="0" w:color="000000"/>
            </w:tcBorders>
          </w:tcPr>
          <w:p>
            <w:pPr>
              <w:pStyle w:val="TableBody"/>
              <w:rPr>
                <w:lang w:eastAsia="en-US"/>
              </w:rPr>
            </w:pPr>
            <w:r>
              <w:rPr>
                <w:lang w:eastAsia="en-US"/>
              </w:rPr>
              <w:t>NPCC</w:t>
            </w:r>
          </w:p>
        </w:tc>
        <w:tc>
          <w:tcPr>
            <w:tcW w:w="0" w:type="dxa"/>
            <w:vMerge w:val="continue"/>
            <w:tcBorders/>
          </w:tcPr>
          <w:p>
            <w:pPr>
              <w:pStyle w:val="TableBody"/>
              <w:snapToGrid w:val="false"/>
              <w:rPr>
                <w:u w:val="single"/>
                <w:lang w:eastAsia="en-US"/>
              </w:rPr>
            </w:pPr>
            <w:r>
              <w:rPr>
                <w:u w:val="single"/>
                <w:lang w:eastAsia="en-US"/>
              </w:rPr>
            </w:r>
          </w:p>
        </w:tc>
        <w:tc>
          <w:tcPr>
            <w:tcW w:w="990" w:type="dxa"/>
            <w:tcBorders>
              <w:start w:val="single" w:sz="4" w:space="0" w:color="000000"/>
            </w:tcBorders>
          </w:tcPr>
          <w:p>
            <w:pPr>
              <w:pStyle w:val="TableBody"/>
              <w:tabs>
                <w:tab w:val="clear" w:pos="720"/>
                <w:tab w:val="decimal" w:pos="690" w:leader="none"/>
              </w:tabs>
              <w:rPr>
                <w:lang w:eastAsia="en-US"/>
              </w:rPr>
            </w:pPr>
            <w:r>
              <w:rPr>
                <w:lang w:eastAsia="en-US"/>
              </w:rPr>
              <w:t>96,085</w:t>
            </w:r>
          </w:p>
        </w:tc>
        <w:tc>
          <w:tcPr>
            <w:tcW w:w="900" w:type="dxa"/>
            <w:tcBorders/>
          </w:tcPr>
          <w:p>
            <w:pPr>
              <w:pStyle w:val="TableBody"/>
              <w:tabs>
                <w:tab w:val="clear" w:pos="720"/>
                <w:tab w:val="decimal" w:pos="600" w:leader="none"/>
              </w:tabs>
              <w:rPr>
                <w:lang w:eastAsia="en-US"/>
              </w:rPr>
            </w:pPr>
            <w:r>
              <w:rPr>
                <w:lang w:eastAsia="en-US"/>
              </w:rPr>
              <w:t>99,494</w:t>
            </w:r>
          </w:p>
        </w:tc>
        <w:tc>
          <w:tcPr>
            <w:tcW w:w="659" w:type="dxa"/>
            <w:tcBorders>
              <w:end w:val="single" w:sz="4" w:space="0" w:color="000000"/>
            </w:tcBorders>
          </w:tcPr>
          <w:p>
            <w:pPr>
              <w:pStyle w:val="TableBody"/>
              <w:tabs>
                <w:tab w:val="clear" w:pos="720"/>
                <w:tab w:val="decimal" w:pos="240" w:leader="none"/>
              </w:tabs>
              <w:rPr>
                <w:lang w:eastAsia="en-US"/>
              </w:rPr>
            </w:pPr>
            <w:r>
              <w:rPr>
                <w:lang w:eastAsia="en-US"/>
              </w:rPr>
              <w:t>3.5%</w:t>
            </w:r>
          </w:p>
        </w:tc>
        <w:tc>
          <w:tcPr>
            <w:tcW w:w="781" w:type="dxa"/>
            <w:tcBorders/>
          </w:tcPr>
          <w:p>
            <w:pPr>
              <w:pStyle w:val="TableBody"/>
              <w:tabs>
                <w:tab w:val="clear" w:pos="720"/>
                <w:tab w:val="decimal" w:pos="571" w:leader="none"/>
              </w:tabs>
              <w:rPr>
                <w:lang w:eastAsia="en-US"/>
              </w:rPr>
            </w:pPr>
            <w:r>
              <w:rPr>
                <w:lang w:eastAsia="en-US"/>
              </w:rPr>
              <w:t>120,981</w:t>
            </w:r>
          </w:p>
        </w:tc>
        <w:tc>
          <w:tcPr>
            <w:tcW w:w="810" w:type="dxa"/>
            <w:tcBorders/>
          </w:tcPr>
          <w:p>
            <w:pPr>
              <w:pStyle w:val="TableBody"/>
              <w:tabs>
                <w:tab w:val="clear" w:pos="720"/>
                <w:tab w:val="decimal" w:pos="600" w:leader="none"/>
              </w:tabs>
              <w:rPr>
                <w:lang w:eastAsia="en-US"/>
              </w:rPr>
            </w:pPr>
            <w:r>
              <w:rPr>
                <w:lang w:eastAsia="en-US"/>
              </w:rPr>
              <w:t>120,193</w:t>
            </w:r>
          </w:p>
        </w:tc>
        <w:tc>
          <w:tcPr>
            <w:tcW w:w="720" w:type="dxa"/>
            <w:tcBorders>
              <w:end w:val="single" w:sz="4" w:space="0" w:color="000000"/>
            </w:tcBorders>
          </w:tcPr>
          <w:p>
            <w:pPr>
              <w:pStyle w:val="TableBody"/>
              <w:tabs>
                <w:tab w:val="clear" w:pos="720"/>
                <w:tab w:val="decimal" w:pos="240" w:leader="none"/>
              </w:tabs>
              <w:rPr>
                <w:lang w:eastAsia="en-US"/>
              </w:rPr>
            </w:pPr>
            <w:r>
              <w:rPr>
                <w:lang w:eastAsia="en-US"/>
              </w:rPr>
              <w:t>-0.7%</w:t>
            </w:r>
          </w:p>
        </w:tc>
        <w:tc>
          <w:tcPr>
            <w:tcW w:w="720" w:type="dxa"/>
            <w:tcBorders/>
          </w:tcPr>
          <w:p>
            <w:pPr>
              <w:pStyle w:val="TableBody"/>
              <w:tabs>
                <w:tab w:val="clear" w:pos="720"/>
                <w:tab w:val="decimal" w:pos="330" w:leader="none"/>
              </w:tabs>
              <w:spacing w:before="60" w:after="0"/>
              <w:rPr>
                <w:lang w:eastAsia="en-US"/>
              </w:rPr>
            </w:pPr>
            <w:r>
              <w:rPr>
                <w:lang w:eastAsia="en-US"/>
              </w:rPr>
              <w:t>20.6%</w:t>
            </w:r>
          </w:p>
        </w:tc>
        <w:tc>
          <w:tcPr>
            <w:tcW w:w="810" w:type="dxa"/>
            <w:tcBorders>
              <w:end w:val="single" w:sz="4" w:space="0" w:color="000000"/>
            </w:tcBorders>
          </w:tcPr>
          <w:p>
            <w:pPr>
              <w:pStyle w:val="TableBody"/>
              <w:tabs>
                <w:tab w:val="clear" w:pos="720"/>
                <w:tab w:val="decimal" w:pos="330" w:leader="none"/>
              </w:tabs>
              <w:spacing w:before="60" w:after="0"/>
              <w:rPr>
                <w:lang w:eastAsia="en-US"/>
              </w:rPr>
            </w:pPr>
            <w:r>
              <w:rPr>
                <w:lang w:eastAsia="en-US"/>
              </w:rPr>
              <w:t>17.2%</w:t>
            </w:r>
          </w:p>
        </w:tc>
      </w:tr>
      <w:tr>
        <w:trPr>
          <w:trHeight w:val="247" w:hRule="atLeast"/>
        </w:trPr>
        <w:tc>
          <w:tcPr>
            <w:tcW w:w="1560" w:type="dxa"/>
            <w:gridSpan w:val="2"/>
            <w:tcBorders>
              <w:start w:val="single" w:sz="4" w:space="0" w:color="000000"/>
            </w:tcBorders>
          </w:tcPr>
          <w:p>
            <w:pPr>
              <w:pStyle w:val="TableBody"/>
              <w:rPr>
                <w:lang w:eastAsia="en-US"/>
              </w:rPr>
            </w:pPr>
            <w:r>
              <w:rPr>
                <w:lang w:eastAsia="en-US"/>
              </w:rPr>
              <w:t>SERC</w:t>
            </w:r>
          </w:p>
        </w:tc>
        <w:tc>
          <w:tcPr>
            <w:tcW w:w="0" w:type="dxa"/>
            <w:vMerge w:val="continue"/>
            <w:tcBorders/>
          </w:tcPr>
          <w:p>
            <w:pPr>
              <w:pStyle w:val="TableBody"/>
              <w:snapToGrid w:val="false"/>
              <w:rPr>
                <w:lang w:eastAsia="en-US"/>
              </w:rPr>
            </w:pPr>
            <w:r>
              <w:rPr>
                <w:lang w:eastAsia="en-US"/>
              </w:rPr>
            </w:r>
          </w:p>
        </w:tc>
        <w:tc>
          <w:tcPr>
            <w:tcW w:w="990" w:type="dxa"/>
            <w:tcBorders>
              <w:start w:val="single" w:sz="4" w:space="0" w:color="000000"/>
            </w:tcBorders>
          </w:tcPr>
          <w:p>
            <w:pPr>
              <w:pStyle w:val="TableBody"/>
              <w:tabs>
                <w:tab w:val="clear" w:pos="720"/>
                <w:tab w:val="decimal" w:pos="690" w:leader="none"/>
              </w:tabs>
              <w:rPr>
                <w:lang w:eastAsia="en-US"/>
              </w:rPr>
            </w:pPr>
            <w:r>
              <w:rPr>
                <w:lang w:eastAsia="en-US"/>
              </w:rPr>
              <w:t>145,126</w:t>
            </w:r>
          </w:p>
        </w:tc>
        <w:tc>
          <w:tcPr>
            <w:tcW w:w="900" w:type="dxa"/>
            <w:tcBorders/>
          </w:tcPr>
          <w:p>
            <w:pPr>
              <w:pStyle w:val="TableBody"/>
              <w:tabs>
                <w:tab w:val="clear" w:pos="720"/>
                <w:tab w:val="decimal" w:pos="600" w:leader="none"/>
              </w:tabs>
              <w:rPr>
                <w:lang w:eastAsia="en-US"/>
              </w:rPr>
            </w:pPr>
            <w:r>
              <w:rPr>
                <w:lang w:eastAsia="en-US"/>
              </w:rPr>
              <w:t>150,993</w:t>
            </w:r>
          </w:p>
        </w:tc>
        <w:tc>
          <w:tcPr>
            <w:tcW w:w="659" w:type="dxa"/>
            <w:tcBorders>
              <w:end w:val="single" w:sz="4" w:space="0" w:color="000000"/>
            </w:tcBorders>
          </w:tcPr>
          <w:p>
            <w:pPr>
              <w:pStyle w:val="TableBody"/>
              <w:tabs>
                <w:tab w:val="clear" w:pos="720"/>
                <w:tab w:val="decimal" w:pos="240" w:leader="none"/>
              </w:tabs>
              <w:rPr>
                <w:lang w:eastAsia="en-US"/>
              </w:rPr>
            </w:pPr>
            <w:r>
              <w:rPr>
                <w:lang w:eastAsia="en-US"/>
              </w:rPr>
              <w:t>4.0%</w:t>
            </w:r>
          </w:p>
        </w:tc>
        <w:tc>
          <w:tcPr>
            <w:tcW w:w="781" w:type="dxa"/>
            <w:tcBorders/>
          </w:tcPr>
          <w:p>
            <w:pPr>
              <w:pStyle w:val="TableBody"/>
              <w:tabs>
                <w:tab w:val="clear" w:pos="720"/>
                <w:tab w:val="decimal" w:pos="571" w:leader="none"/>
              </w:tabs>
              <w:rPr>
                <w:lang w:eastAsia="en-US"/>
              </w:rPr>
            </w:pPr>
            <w:r>
              <w:rPr>
                <w:lang w:eastAsia="en-US"/>
              </w:rPr>
              <w:t>165,792</w:t>
            </w:r>
          </w:p>
        </w:tc>
        <w:tc>
          <w:tcPr>
            <w:tcW w:w="810" w:type="dxa"/>
            <w:tcBorders/>
          </w:tcPr>
          <w:p>
            <w:pPr>
              <w:pStyle w:val="TableBody"/>
              <w:tabs>
                <w:tab w:val="clear" w:pos="720"/>
                <w:tab w:val="decimal" w:pos="600" w:leader="none"/>
              </w:tabs>
              <w:rPr>
                <w:lang w:eastAsia="en-US"/>
              </w:rPr>
            </w:pPr>
            <w:r>
              <w:rPr>
                <w:lang w:eastAsia="en-US"/>
              </w:rPr>
              <w:t>175,237</w:t>
            </w:r>
          </w:p>
        </w:tc>
        <w:tc>
          <w:tcPr>
            <w:tcW w:w="720" w:type="dxa"/>
            <w:tcBorders>
              <w:end w:val="single" w:sz="4" w:space="0" w:color="000000"/>
            </w:tcBorders>
          </w:tcPr>
          <w:p>
            <w:pPr>
              <w:pStyle w:val="TableBody"/>
              <w:tabs>
                <w:tab w:val="clear" w:pos="720"/>
                <w:tab w:val="decimal" w:pos="240" w:leader="none"/>
              </w:tabs>
              <w:rPr>
                <w:lang w:eastAsia="en-US"/>
              </w:rPr>
            </w:pPr>
            <w:r>
              <w:rPr>
                <w:lang w:eastAsia="en-US"/>
              </w:rPr>
              <w:t>5.7%</w:t>
            </w:r>
          </w:p>
        </w:tc>
        <w:tc>
          <w:tcPr>
            <w:tcW w:w="720" w:type="dxa"/>
            <w:tcBorders/>
          </w:tcPr>
          <w:p>
            <w:pPr>
              <w:pStyle w:val="TableBody"/>
              <w:tabs>
                <w:tab w:val="clear" w:pos="720"/>
                <w:tab w:val="decimal" w:pos="330" w:leader="none"/>
              </w:tabs>
              <w:spacing w:before="60" w:after="0"/>
              <w:rPr>
                <w:lang w:eastAsia="en-US"/>
              </w:rPr>
            </w:pPr>
            <w:r>
              <w:rPr>
                <w:lang w:eastAsia="en-US"/>
              </w:rPr>
              <w:t>12.5%</w:t>
            </w:r>
          </w:p>
        </w:tc>
        <w:tc>
          <w:tcPr>
            <w:tcW w:w="810" w:type="dxa"/>
            <w:tcBorders>
              <w:end w:val="single" w:sz="4" w:space="0" w:color="000000"/>
            </w:tcBorders>
          </w:tcPr>
          <w:p>
            <w:pPr>
              <w:pStyle w:val="TableBody"/>
              <w:tabs>
                <w:tab w:val="clear" w:pos="720"/>
                <w:tab w:val="decimal" w:pos="330" w:leader="none"/>
              </w:tabs>
              <w:spacing w:before="60" w:after="0"/>
              <w:rPr>
                <w:lang w:eastAsia="en-US"/>
              </w:rPr>
            </w:pPr>
            <w:r>
              <w:rPr>
                <w:lang w:eastAsia="en-US"/>
              </w:rPr>
              <w:t>13.8%</w:t>
            </w:r>
          </w:p>
        </w:tc>
      </w:tr>
      <w:tr>
        <w:trPr>
          <w:trHeight w:val="247" w:hRule="atLeast"/>
        </w:trPr>
        <w:tc>
          <w:tcPr>
            <w:tcW w:w="1560" w:type="dxa"/>
            <w:gridSpan w:val="2"/>
            <w:tcBorders>
              <w:start w:val="single" w:sz="4" w:space="0" w:color="000000"/>
            </w:tcBorders>
          </w:tcPr>
          <w:p>
            <w:pPr>
              <w:pStyle w:val="TableBody"/>
              <w:rPr>
                <w:lang w:eastAsia="en-US"/>
              </w:rPr>
            </w:pPr>
            <w:r>
              <w:rPr>
                <w:lang w:eastAsia="en-US"/>
              </w:rPr>
              <w:t>SPP</w:t>
            </w:r>
          </w:p>
        </w:tc>
        <w:tc>
          <w:tcPr>
            <w:tcW w:w="990" w:type="dxa"/>
            <w:tcBorders>
              <w:start w:val="single" w:sz="4" w:space="0" w:color="000000"/>
            </w:tcBorders>
          </w:tcPr>
          <w:p>
            <w:pPr>
              <w:pStyle w:val="TableBody"/>
              <w:tabs>
                <w:tab w:val="clear" w:pos="720"/>
                <w:tab w:val="decimal" w:pos="690" w:leader="none"/>
              </w:tabs>
              <w:rPr>
                <w:lang w:eastAsia="en-US"/>
              </w:rPr>
            </w:pPr>
            <w:r>
              <w:rPr>
                <w:lang w:eastAsia="en-US"/>
              </w:rPr>
              <w:t>37,498</w:t>
            </w:r>
          </w:p>
        </w:tc>
        <w:tc>
          <w:tcPr>
            <w:tcW w:w="900" w:type="dxa"/>
            <w:tcBorders/>
          </w:tcPr>
          <w:p>
            <w:pPr>
              <w:pStyle w:val="TableBody"/>
              <w:tabs>
                <w:tab w:val="clear" w:pos="720"/>
                <w:tab w:val="decimal" w:pos="600" w:leader="none"/>
              </w:tabs>
              <w:rPr>
                <w:lang w:eastAsia="en-US"/>
              </w:rPr>
            </w:pPr>
            <w:r>
              <w:rPr>
                <w:lang w:eastAsia="en-US"/>
              </w:rPr>
              <w:t>38,634</w:t>
            </w:r>
          </w:p>
        </w:tc>
        <w:tc>
          <w:tcPr>
            <w:tcW w:w="659" w:type="dxa"/>
            <w:tcBorders>
              <w:end w:val="single" w:sz="4" w:space="0" w:color="000000"/>
            </w:tcBorders>
          </w:tcPr>
          <w:p>
            <w:pPr>
              <w:pStyle w:val="TableBody"/>
              <w:tabs>
                <w:tab w:val="clear" w:pos="720"/>
                <w:tab w:val="decimal" w:pos="240" w:leader="none"/>
              </w:tabs>
              <w:rPr>
                <w:lang w:eastAsia="en-US"/>
              </w:rPr>
            </w:pPr>
            <w:r>
              <w:rPr>
                <w:lang w:eastAsia="en-US"/>
              </w:rPr>
              <w:t>3.0%</w:t>
            </w:r>
          </w:p>
        </w:tc>
        <w:tc>
          <w:tcPr>
            <w:tcW w:w="781" w:type="dxa"/>
            <w:tcBorders/>
          </w:tcPr>
          <w:p>
            <w:pPr>
              <w:pStyle w:val="TableBody"/>
              <w:tabs>
                <w:tab w:val="clear" w:pos="720"/>
                <w:tab w:val="decimal" w:pos="571" w:leader="none"/>
              </w:tabs>
              <w:rPr>
                <w:lang w:eastAsia="en-US"/>
              </w:rPr>
            </w:pPr>
            <w:r>
              <w:rPr>
                <w:lang w:eastAsia="en-US"/>
              </w:rPr>
              <w:t>42,018</w:t>
            </w:r>
          </w:p>
        </w:tc>
        <w:tc>
          <w:tcPr>
            <w:tcW w:w="810" w:type="dxa"/>
            <w:tcBorders/>
          </w:tcPr>
          <w:p>
            <w:pPr>
              <w:pStyle w:val="TableBody"/>
              <w:tabs>
                <w:tab w:val="clear" w:pos="720"/>
                <w:tab w:val="decimal" w:pos="600" w:leader="none"/>
              </w:tabs>
              <w:rPr>
                <w:lang w:eastAsia="en-US"/>
              </w:rPr>
            </w:pPr>
            <w:r>
              <w:rPr>
                <w:lang w:eastAsia="en-US"/>
              </w:rPr>
              <w:t>44,649</w:t>
            </w:r>
          </w:p>
        </w:tc>
        <w:tc>
          <w:tcPr>
            <w:tcW w:w="720" w:type="dxa"/>
            <w:tcBorders>
              <w:end w:val="single" w:sz="4" w:space="0" w:color="000000"/>
            </w:tcBorders>
          </w:tcPr>
          <w:p>
            <w:pPr>
              <w:pStyle w:val="TableBody"/>
              <w:tabs>
                <w:tab w:val="clear" w:pos="720"/>
                <w:tab w:val="decimal" w:pos="240" w:leader="none"/>
              </w:tabs>
              <w:rPr>
                <w:lang w:eastAsia="en-US"/>
              </w:rPr>
            </w:pPr>
            <w:r>
              <w:rPr>
                <w:lang w:eastAsia="en-US"/>
              </w:rPr>
              <w:t>6.3%</w:t>
            </w:r>
          </w:p>
        </w:tc>
        <w:tc>
          <w:tcPr>
            <w:tcW w:w="720" w:type="dxa"/>
            <w:tcBorders/>
          </w:tcPr>
          <w:p>
            <w:pPr>
              <w:pStyle w:val="TableBody"/>
              <w:tabs>
                <w:tab w:val="clear" w:pos="720"/>
                <w:tab w:val="decimal" w:pos="330" w:leader="none"/>
              </w:tabs>
              <w:spacing w:before="60" w:after="0"/>
              <w:rPr>
                <w:lang w:eastAsia="en-US"/>
              </w:rPr>
            </w:pPr>
            <w:r>
              <w:rPr>
                <w:lang w:eastAsia="en-US"/>
              </w:rPr>
              <w:t>10.8%</w:t>
            </w:r>
          </w:p>
        </w:tc>
        <w:tc>
          <w:tcPr>
            <w:tcW w:w="810" w:type="dxa"/>
            <w:tcBorders>
              <w:end w:val="single" w:sz="4" w:space="0" w:color="000000"/>
            </w:tcBorders>
          </w:tcPr>
          <w:p>
            <w:pPr>
              <w:pStyle w:val="TableBody"/>
              <w:tabs>
                <w:tab w:val="clear" w:pos="720"/>
                <w:tab w:val="decimal" w:pos="330" w:leader="none"/>
              </w:tabs>
              <w:spacing w:before="60" w:after="0"/>
              <w:rPr>
                <w:lang w:eastAsia="en-US"/>
              </w:rPr>
            </w:pPr>
            <w:r>
              <w:rPr>
                <w:lang w:eastAsia="en-US"/>
              </w:rPr>
              <w:t>13.5%</w:t>
            </w:r>
          </w:p>
        </w:tc>
      </w:tr>
      <w:tr>
        <w:trPr>
          <w:trHeight w:val="247" w:hRule="atLeast"/>
        </w:trPr>
        <w:tc>
          <w:tcPr>
            <w:tcW w:w="1560" w:type="dxa"/>
            <w:gridSpan w:val="2"/>
            <w:tcBorders>
              <w:start w:val="single" w:sz="4" w:space="0" w:color="000000"/>
              <w:bottom w:val="single" w:sz="4" w:space="0" w:color="000000"/>
            </w:tcBorders>
          </w:tcPr>
          <w:p>
            <w:pPr>
              <w:pStyle w:val="TableBody"/>
              <w:rPr>
                <w:lang w:eastAsia="en-US"/>
              </w:rPr>
            </w:pPr>
            <w:r>
              <w:rPr>
                <w:lang w:eastAsia="en-US"/>
              </w:rPr>
              <w:t>WSCC</w:t>
            </w:r>
          </w:p>
        </w:tc>
        <w:tc>
          <w:tcPr>
            <w:tcW w:w="990" w:type="dxa"/>
            <w:tcBorders>
              <w:start w:val="single" w:sz="4" w:space="0" w:color="000000"/>
              <w:bottom w:val="single" w:sz="4" w:space="0" w:color="000000"/>
            </w:tcBorders>
          </w:tcPr>
          <w:p>
            <w:pPr>
              <w:pStyle w:val="TableBody"/>
              <w:tabs>
                <w:tab w:val="clear" w:pos="720"/>
                <w:tab w:val="decimal" w:pos="690" w:leader="none"/>
              </w:tabs>
              <w:rPr>
                <w:lang w:eastAsia="en-US"/>
              </w:rPr>
            </w:pPr>
            <w:r>
              <w:rPr>
                <w:lang w:eastAsia="en-US"/>
              </w:rPr>
              <w:t>127,857</w:t>
            </w:r>
          </w:p>
        </w:tc>
        <w:tc>
          <w:tcPr>
            <w:tcW w:w="900" w:type="dxa"/>
            <w:tcBorders>
              <w:bottom w:val="single" w:sz="4" w:space="0" w:color="000000"/>
            </w:tcBorders>
          </w:tcPr>
          <w:p>
            <w:pPr>
              <w:pStyle w:val="TableBody"/>
              <w:tabs>
                <w:tab w:val="clear" w:pos="720"/>
                <w:tab w:val="decimal" w:pos="600" w:leader="none"/>
              </w:tabs>
              <w:rPr>
                <w:lang w:eastAsia="en-US"/>
              </w:rPr>
            </w:pPr>
            <w:r>
              <w:rPr>
                <w:lang w:eastAsia="en-US"/>
              </w:rPr>
              <w:t>132,492</w:t>
            </w:r>
          </w:p>
        </w:tc>
        <w:tc>
          <w:tcPr>
            <w:tcW w:w="659" w:type="dxa"/>
            <w:tcBorders>
              <w:bottom w:val="single" w:sz="4" w:space="0" w:color="000000"/>
              <w:end w:val="single" w:sz="4" w:space="0" w:color="000000"/>
            </w:tcBorders>
          </w:tcPr>
          <w:p>
            <w:pPr>
              <w:pStyle w:val="TableBody"/>
              <w:tabs>
                <w:tab w:val="clear" w:pos="720"/>
                <w:tab w:val="decimal" w:pos="240" w:leader="none"/>
              </w:tabs>
              <w:rPr>
                <w:lang w:eastAsia="en-US"/>
              </w:rPr>
            </w:pPr>
            <w:r>
              <w:rPr>
                <w:lang w:eastAsia="en-US"/>
              </w:rPr>
              <w:t>3.6%</w:t>
            </w:r>
          </w:p>
        </w:tc>
        <w:tc>
          <w:tcPr>
            <w:tcW w:w="781" w:type="dxa"/>
            <w:tcBorders>
              <w:bottom w:val="single" w:sz="4" w:space="0" w:color="000000"/>
            </w:tcBorders>
          </w:tcPr>
          <w:p>
            <w:pPr>
              <w:pStyle w:val="TableBody"/>
              <w:tabs>
                <w:tab w:val="clear" w:pos="720"/>
                <w:tab w:val="decimal" w:pos="571" w:leader="none"/>
              </w:tabs>
              <w:rPr>
                <w:lang w:eastAsia="en-US"/>
              </w:rPr>
            </w:pPr>
            <w:r>
              <w:rPr>
                <w:lang w:eastAsia="en-US"/>
              </w:rPr>
              <w:t>159,330</w:t>
            </w:r>
          </w:p>
        </w:tc>
        <w:tc>
          <w:tcPr>
            <w:tcW w:w="810" w:type="dxa"/>
            <w:tcBorders>
              <w:bottom w:val="single" w:sz="4" w:space="0" w:color="000000"/>
            </w:tcBorders>
          </w:tcPr>
          <w:p>
            <w:pPr>
              <w:pStyle w:val="TableBody"/>
              <w:tabs>
                <w:tab w:val="clear" w:pos="720"/>
                <w:tab w:val="decimal" w:pos="600" w:leader="none"/>
              </w:tabs>
              <w:rPr>
                <w:lang w:eastAsia="en-US"/>
              </w:rPr>
            </w:pPr>
            <w:r>
              <w:rPr>
                <w:lang w:eastAsia="en-US"/>
              </w:rPr>
              <w:t>162,328</w:t>
            </w:r>
          </w:p>
        </w:tc>
        <w:tc>
          <w:tcPr>
            <w:tcW w:w="720" w:type="dxa"/>
            <w:tcBorders>
              <w:bottom w:val="single" w:sz="4" w:space="0" w:color="000000"/>
              <w:end w:val="single" w:sz="4" w:space="0" w:color="000000"/>
            </w:tcBorders>
          </w:tcPr>
          <w:p>
            <w:pPr>
              <w:pStyle w:val="TableBody"/>
              <w:tabs>
                <w:tab w:val="clear" w:pos="720"/>
                <w:tab w:val="decimal" w:pos="240" w:leader="none"/>
              </w:tabs>
              <w:rPr>
                <w:lang w:eastAsia="en-US"/>
              </w:rPr>
            </w:pPr>
            <w:r>
              <w:rPr>
                <w:lang w:eastAsia="en-US"/>
              </w:rPr>
              <w:t>1.9%</w:t>
            </w:r>
          </w:p>
        </w:tc>
        <w:tc>
          <w:tcPr>
            <w:tcW w:w="720" w:type="dxa"/>
            <w:tcBorders>
              <w:bottom w:val="single" w:sz="4" w:space="0" w:color="000000"/>
            </w:tcBorders>
          </w:tcPr>
          <w:p>
            <w:pPr>
              <w:pStyle w:val="TableBody"/>
              <w:tabs>
                <w:tab w:val="clear" w:pos="720"/>
                <w:tab w:val="decimal" w:pos="330" w:leader="none"/>
              </w:tabs>
              <w:spacing w:before="60" w:after="0"/>
              <w:rPr>
                <w:lang w:eastAsia="en-US"/>
              </w:rPr>
            </w:pPr>
            <w:r>
              <w:rPr>
                <w:lang w:eastAsia="en-US"/>
              </w:rPr>
              <w:t>19.8%</w:t>
            </w:r>
          </w:p>
        </w:tc>
        <w:tc>
          <w:tcPr>
            <w:tcW w:w="810" w:type="dxa"/>
            <w:tcBorders>
              <w:bottom w:val="single" w:sz="4" w:space="0" w:color="000000"/>
              <w:end w:val="single" w:sz="4" w:space="0" w:color="000000"/>
            </w:tcBorders>
          </w:tcPr>
          <w:p>
            <w:pPr>
              <w:pStyle w:val="TableBody"/>
              <w:tabs>
                <w:tab w:val="clear" w:pos="720"/>
                <w:tab w:val="decimal" w:pos="330" w:leader="none"/>
              </w:tabs>
              <w:spacing w:before="60" w:after="0"/>
              <w:rPr>
                <w:lang w:eastAsia="en-US"/>
              </w:rPr>
            </w:pPr>
            <w:r>
              <w:rPr>
                <w:lang w:eastAsia="en-US"/>
              </w:rPr>
              <w:t>18.4%</w:t>
            </w:r>
          </w:p>
        </w:tc>
      </w:tr>
    </w:tbl>
    <w:p>
      <w:pPr>
        <w:pStyle w:val="TableFooter"/>
        <w:pBdr>
          <w:bottom w:val="single" w:sz="4" w:space="1" w:color="000000"/>
        </w:pBdr>
        <w:rPr/>
      </w:pPr>
      <w:r>
        <w:rPr/>
        <w:t>Source: NERC’s Summer 2001 Assessment</w:t>
      </w:r>
    </w:p>
    <w:p>
      <w:pPr>
        <w:pStyle w:val="Text"/>
        <w:rPr/>
      </w:pPr>
      <w:r>
        <w:rPr/>
      </w:r>
    </w:p>
    <w:p>
      <w:pPr>
        <w:pStyle w:val="Text"/>
        <w:rPr>
          <w:b/>
        </w:rPr>
      </w:pPr>
      <w:r>
        <w:rPr>
          <w:b/>
        </w:rPr>
        <w:t>Areas of Concern</w:t>
      </w:r>
    </w:p>
    <w:p>
      <w:pPr>
        <w:pStyle w:val="Text"/>
        <w:rPr/>
      </w:pPr>
      <w:r>
        <w:rPr>
          <w:b/>
        </w:rPr>
        <w:t>California</w:t>
      </w:r>
      <w:r>
        <w:rPr/>
        <w:t xml:space="preserve"> </w:t>
      </w:r>
      <w:r>
        <w:rPr>
          <w:b/>
        </w:rPr>
        <w:t xml:space="preserve">  </w:t>
      </w:r>
      <w:r>
        <w:rPr/>
        <w:t xml:space="preserve">As expected, California will have difficulty meeting its demand requirements this summer.   Based on the NERC’s statistical analysis, California will be exposed to about 260 hours (15 hours per week) of rolling blackouts this summer.  It is anticipated that the average size of these blackouts will be approximately 2,150 MW.  The projected capacity margin for California this summer is expected to be 10%, down from the 15% experienced last year.  </w:t>
      </w:r>
    </w:p>
    <w:p>
      <w:pPr>
        <w:pStyle w:val="Text"/>
        <w:rPr/>
      </w:pPr>
      <w:r>
        <w:rPr>
          <w:b/>
        </w:rPr>
        <w:t xml:space="preserve">Northwest </w:t>
      </w:r>
      <w:r>
        <w:rPr/>
        <w:t xml:space="preserve">  Assuming normal temperatures, the Northwest Power Pool (NWPP) is expected to meet its firm internal demand this summer.  However, any further reduction in hydro availability or an unforeseen outage at a thermal unit would result in a shortfall and related rolling blackouts.  Further, neighboring regions will be unable to supply imported power due to their own supply/demand constraints.  Exhibit 8 shown a 25.9% capacity factor, however, this is overstated because it is based of the hydro generating facilities nameplate capacity.  Since hydro availability is constrained the plants will operate well below nameplate capacity.</w:t>
      </w:r>
    </w:p>
    <w:p>
      <w:pPr>
        <w:pStyle w:val="Text"/>
        <w:rPr>
          <w:b/>
        </w:rPr>
      </w:pPr>
      <w:r>
        <w:rPr>
          <w:b/>
        </w:rPr>
        <w:t>Areas to Monitor</w:t>
      </w:r>
    </w:p>
    <w:p>
      <w:pPr>
        <w:pStyle w:val="Text"/>
        <w:rPr/>
      </w:pPr>
      <w:r>
        <w:rPr>
          <w:b/>
        </w:rPr>
        <w:t xml:space="preserve">New York City  </w:t>
      </w:r>
      <w:r>
        <w:rPr/>
        <w:t>New York City’s power situation, though not as dire as California, is dependent on the completion of 11 turbines representing 480 MW before the summer.  New York City’s projected peak summer demand is projected to be 10,535 MW.  Its existing capacity of 8,031 MW falls short of the NYISO’s locational capacity requirement of 80% of peak demand or 8,428 MW.  The projected 397 MW shortfall must be covered with the new turbines.  Locational capacity is the minimum amount of internal capacity needed to sustain reliability.</w:t>
      </w:r>
    </w:p>
    <w:p>
      <w:pPr>
        <w:pStyle w:val="Text"/>
        <w:rPr/>
      </w:pPr>
      <w:r>
        <w:rPr>
          <w:b/>
        </w:rPr>
        <w:t>New England</w:t>
      </w:r>
      <w:r>
        <w:rPr/>
        <w:t xml:space="preserve">    Last summer, despite New England’s tight supply/demand market, the area was able to avert any difficulties due to cooler than expected weather.  This summer, however, margins are expected to be 12.6% which makes the area particularly sensitive to any heat wave or major plant outage.  Mitigating this exposure, however, is the NEPOOL’s ability to import up to 1,800 MW  from Québec during an emergency.</w:t>
      </w:r>
    </w:p>
    <w:p>
      <w:pPr>
        <w:pStyle w:val="Text"/>
        <w:rPr/>
      </w:pPr>
      <w:r>
        <w:rPr>
          <w:b/>
        </w:rPr>
        <w:t>Texas</w:t>
      </w:r>
      <w:r>
        <w:rPr/>
        <w:t xml:space="preserve">    Although capacity margins are expected to be sufficient (16.8%) in Texas this summer, the system may experience some operational difficulties related to a system changeover.  On June 1, ERCOT will switch from a multiple control area to a single control area in preparation for the market’s conversion into a fully competitive retail market on January 1, 2002.</w:t>
      </w:r>
    </w:p>
    <w:p>
      <w:pPr>
        <w:pStyle w:val="Text"/>
        <w:rPr/>
      </w:pPr>
      <w:r>
        <w:rPr/>
      </w:r>
    </w:p>
    <w:p>
      <w:pPr>
        <w:pStyle w:val="CameraReadyTableTitle"/>
        <w:rPr/>
      </w:pPr>
      <w:r>
        <w:rPr>
          <w:b w:val="false"/>
          <w:i/>
          <w:sz w:val="16"/>
        </w:rPr>
        <w:t xml:space="preserve">Exhibit 8: </w:t>
      </w:r>
      <w:r>
        <w:rPr>
          <w:b w:val="false"/>
          <w:sz w:val="16"/>
        </w:rPr>
        <w:t>Capacity Margins for NERC’s Areas of Concern</w:t>
        <w:br/>
      </w:r>
      <w:r>
        <w:rPr/>
        <w:t>In MW</w:t>
      </w:r>
    </w:p>
    <w:tbl>
      <w:tblPr>
        <w:tblW w:w="7950" w:type="dxa"/>
        <w:jc w:val="start"/>
        <w:tblInd w:w="0" w:type="dxa"/>
        <w:tblLayout w:type="fixed"/>
        <w:tblCellMar>
          <w:top w:w="0" w:type="dxa"/>
          <w:start w:w="30" w:type="dxa"/>
          <w:bottom w:w="0" w:type="dxa"/>
          <w:end w:w="30" w:type="dxa"/>
        </w:tblCellMar>
      </w:tblPr>
      <w:tblGrid>
        <w:gridCol w:w="1010"/>
        <w:gridCol w:w="730"/>
        <w:gridCol w:w="810"/>
        <w:gridCol w:w="900"/>
        <w:gridCol w:w="659"/>
        <w:gridCol w:w="781"/>
        <w:gridCol w:w="810"/>
        <w:gridCol w:w="720"/>
        <w:gridCol w:w="720"/>
        <w:gridCol w:w="810"/>
      </w:tblGrid>
      <w:tr>
        <w:trPr>
          <w:trHeight w:val="247" w:hRule="atLeast"/>
        </w:trPr>
        <w:tc>
          <w:tcPr>
            <w:tcW w:w="1010" w:type="dxa"/>
            <w:tcBorders>
              <w:start w:val="single" w:sz="4" w:space="0" w:color="000000"/>
            </w:tcBorders>
          </w:tcPr>
          <w:p>
            <w:pPr>
              <w:pStyle w:val="TableColHead"/>
              <w:snapToGrid w:val="false"/>
              <w:rPr>
                <w:lang w:eastAsia="en-US"/>
              </w:rPr>
            </w:pPr>
            <w:r>
              <w:rPr>
                <w:lang w:eastAsia="en-US"/>
              </w:rPr>
            </w:r>
          </w:p>
        </w:tc>
        <w:tc>
          <w:tcPr>
            <w:tcW w:w="730" w:type="dxa"/>
            <w:tcBorders/>
          </w:tcPr>
          <w:p>
            <w:pPr>
              <w:pStyle w:val="TableColHead"/>
              <w:snapToGrid w:val="false"/>
              <w:rPr>
                <w:lang w:eastAsia="en-US"/>
              </w:rPr>
            </w:pPr>
            <w:r>
              <w:rPr>
                <w:lang w:eastAsia="en-US"/>
              </w:rPr>
            </w:r>
          </w:p>
        </w:tc>
        <w:tc>
          <w:tcPr>
            <w:tcW w:w="2369" w:type="dxa"/>
            <w:gridSpan w:val="3"/>
            <w:tcBorders>
              <w:top w:val="single" w:sz="4" w:space="0" w:color="000000"/>
              <w:start w:val="single" w:sz="4" w:space="0" w:color="000000"/>
              <w:end w:val="single" w:sz="4" w:space="0" w:color="000000"/>
            </w:tcBorders>
          </w:tcPr>
          <w:p>
            <w:pPr>
              <w:pStyle w:val="TableColHead"/>
              <w:jc w:val="center"/>
              <w:rPr>
                <w:lang w:eastAsia="en-US"/>
              </w:rPr>
            </w:pPr>
            <w:r>
              <w:rPr>
                <w:lang w:eastAsia="en-US"/>
              </w:rPr>
              <w:t>Net Internal Demand</w:t>
            </w:r>
          </w:p>
        </w:tc>
        <w:tc>
          <w:tcPr>
            <w:tcW w:w="2311" w:type="dxa"/>
            <w:gridSpan w:val="3"/>
            <w:tcBorders>
              <w:top w:val="single" w:sz="4" w:space="0" w:color="000000"/>
              <w:end w:val="single" w:sz="4" w:space="0" w:color="000000"/>
            </w:tcBorders>
          </w:tcPr>
          <w:p>
            <w:pPr>
              <w:pStyle w:val="TableColHead"/>
              <w:jc w:val="center"/>
              <w:rPr>
                <w:lang w:eastAsia="en-US"/>
              </w:rPr>
            </w:pPr>
            <w:r>
              <w:rPr>
                <w:lang w:eastAsia="en-US"/>
              </w:rPr>
              <w:t>Available Resources</w:t>
            </w:r>
          </w:p>
        </w:tc>
        <w:tc>
          <w:tcPr>
            <w:tcW w:w="1530" w:type="dxa"/>
            <w:gridSpan w:val="2"/>
            <w:tcBorders>
              <w:top w:val="single" w:sz="4" w:space="0" w:color="000000"/>
              <w:end w:val="single" w:sz="4" w:space="0" w:color="000000"/>
            </w:tcBorders>
          </w:tcPr>
          <w:p>
            <w:pPr>
              <w:pStyle w:val="TableColHead"/>
              <w:jc w:val="center"/>
              <w:rPr>
                <w:lang w:eastAsia="en-US"/>
              </w:rPr>
            </w:pPr>
            <w:r>
              <w:rPr>
                <w:lang w:eastAsia="en-US"/>
              </w:rPr>
              <w:t>Capacity Margin</w:t>
            </w:r>
          </w:p>
        </w:tc>
      </w:tr>
      <w:tr>
        <w:trPr>
          <w:trHeight w:val="207" w:hRule="atLeast"/>
        </w:trPr>
        <w:tc>
          <w:tcPr>
            <w:tcW w:w="1740" w:type="dxa"/>
            <w:gridSpan w:val="2"/>
            <w:tcBorders>
              <w:start w:val="single" w:sz="4" w:space="0" w:color="000000"/>
              <w:bottom w:val="single" w:sz="4" w:space="0" w:color="000000"/>
            </w:tcBorders>
          </w:tcPr>
          <w:p>
            <w:pPr>
              <w:pStyle w:val="TableColHead"/>
              <w:snapToGrid w:val="false"/>
              <w:rPr>
                <w:color w:val="000000"/>
                <w:lang w:eastAsia="en-US"/>
              </w:rPr>
            </w:pPr>
            <w:r>
              <w:rPr>
                <w:color w:val="000000"/>
                <w:lang w:eastAsia="en-US"/>
              </w:rPr>
            </w:r>
          </w:p>
        </w:tc>
        <w:tc>
          <w:tcPr>
            <w:tcW w:w="0" w:type="dxa"/>
            <w:vMerge w:val="continue"/>
            <w:tcBorders>
              <w:bottom w:val="single" w:sz="4" w:space="0" w:color="000000"/>
            </w:tcBorders>
          </w:tcPr>
          <w:p>
            <w:pPr>
              <w:pStyle w:val="TableColHead"/>
              <w:snapToGrid w:val="false"/>
              <w:rPr>
                <w:lang w:eastAsia="en-US"/>
              </w:rPr>
            </w:pPr>
            <w:r>
              <w:rPr>
                <w:lang w:eastAsia="en-US"/>
              </w:rPr>
            </w:r>
          </w:p>
        </w:tc>
        <w:tc>
          <w:tcPr>
            <w:tcW w:w="810" w:type="dxa"/>
            <w:tcBorders>
              <w:start w:val="single" w:sz="4" w:space="0" w:color="000000"/>
              <w:bottom w:val="single" w:sz="4" w:space="0" w:color="000000"/>
            </w:tcBorders>
          </w:tcPr>
          <w:p>
            <w:pPr>
              <w:pStyle w:val="TableColHead"/>
              <w:jc w:val="center"/>
              <w:rPr>
                <w:lang w:eastAsia="en-US"/>
              </w:rPr>
            </w:pPr>
            <w:r>
              <w:rPr>
                <w:lang w:eastAsia="en-US"/>
              </w:rPr>
              <w:t>2000</w:t>
            </w:r>
          </w:p>
        </w:tc>
        <w:tc>
          <w:tcPr>
            <w:tcW w:w="900" w:type="dxa"/>
            <w:tcBorders>
              <w:bottom w:val="single" w:sz="4" w:space="0" w:color="000000"/>
            </w:tcBorders>
          </w:tcPr>
          <w:p>
            <w:pPr>
              <w:pStyle w:val="TableColHead"/>
              <w:jc w:val="center"/>
              <w:rPr>
                <w:lang w:eastAsia="en-US"/>
              </w:rPr>
            </w:pPr>
            <w:r>
              <w:rPr>
                <w:lang w:eastAsia="en-US"/>
              </w:rPr>
              <w:t>2001</w:t>
            </w:r>
          </w:p>
        </w:tc>
        <w:tc>
          <w:tcPr>
            <w:tcW w:w="659" w:type="dxa"/>
            <w:tcBorders>
              <w:bottom w:val="single" w:sz="4" w:space="0" w:color="000000"/>
              <w:end w:val="single" w:sz="4" w:space="0" w:color="000000"/>
            </w:tcBorders>
          </w:tcPr>
          <w:p>
            <w:pPr>
              <w:pStyle w:val="TableColHead"/>
              <w:jc w:val="center"/>
              <w:rPr>
                <w:lang w:eastAsia="en-US"/>
              </w:rPr>
            </w:pPr>
            <w:r>
              <w:rPr>
                <w:lang w:eastAsia="en-US"/>
              </w:rPr>
              <w:t>Growth</w:t>
            </w:r>
          </w:p>
        </w:tc>
        <w:tc>
          <w:tcPr>
            <w:tcW w:w="781" w:type="dxa"/>
            <w:tcBorders>
              <w:bottom w:val="single" w:sz="4" w:space="0" w:color="000000"/>
            </w:tcBorders>
          </w:tcPr>
          <w:p>
            <w:pPr>
              <w:pStyle w:val="TableColHead"/>
              <w:jc w:val="center"/>
              <w:rPr>
                <w:lang w:eastAsia="en-US"/>
              </w:rPr>
            </w:pPr>
            <w:r>
              <w:rPr>
                <w:lang w:eastAsia="en-US"/>
              </w:rPr>
              <w:t>2000</w:t>
            </w:r>
          </w:p>
        </w:tc>
        <w:tc>
          <w:tcPr>
            <w:tcW w:w="810" w:type="dxa"/>
            <w:tcBorders>
              <w:bottom w:val="single" w:sz="4" w:space="0" w:color="000000"/>
            </w:tcBorders>
          </w:tcPr>
          <w:p>
            <w:pPr>
              <w:pStyle w:val="TableColHead"/>
              <w:jc w:val="center"/>
              <w:rPr>
                <w:lang w:eastAsia="en-US"/>
              </w:rPr>
            </w:pPr>
            <w:r>
              <w:rPr>
                <w:lang w:eastAsia="en-US"/>
              </w:rPr>
              <w:t>2001</w:t>
            </w:r>
          </w:p>
        </w:tc>
        <w:tc>
          <w:tcPr>
            <w:tcW w:w="720" w:type="dxa"/>
            <w:tcBorders>
              <w:bottom w:val="single" w:sz="4" w:space="0" w:color="000000"/>
              <w:end w:val="single" w:sz="4" w:space="0" w:color="000000"/>
            </w:tcBorders>
          </w:tcPr>
          <w:p>
            <w:pPr>
              <w:pStyle w:val="TableColHead"/>
              <w:jc w:val="center"/>
              <w:rPr>
                <w:lang w:eastAsia="en-US"/>
              </w:rPr>
            </w:pPr>
            <w:r>
              <w:rPr>
                <w:lang w:eastAsia="en-US"/>
              </w:rPr>
              <w:t>Growth</w:t>
            </w:r>
          </w:p>
        </w:tc>
        <w:tc>
          <w:tcPr>
            <w:tcW w:w="720" w:type="dxa"/>
            <w:tcBorders>
              <w:bottom w:val="single" w:sz="4" w:space="0" w:color="000000"/>
            </w:tcBorders>
          </w:tcPr>
          <w:p>
            <w:pPr>
              <w:pStyle w:val="TableColHead"/>
              <w:jc w:val="center"/>
              <w:rPr>
                <w:lang w:eastAsia="en-US"/>
              </w:rPr>
            </w:pPr>
            <w:r>
              <w:rPr>
                <w:lang w:eastAsia="en-US"/>
              </w:rPr>
              <w:t>2000</w:t>
            </w:r>
          </w:p>
        </w:tc>
        <w:tc>
          <w:tcPr>
            <w:tcW w:w="810" w:type="dxa"/>
            <w:tcBorders>
              <w:bottom w:val="single" w:sz="4" w:space="0" w:color="000000"/>
              <w:end w:val="single" w:sz="4" w:space="0" w:color="000000"/>
            </w:tcBorders>
          </w:tcPr>
          <w:p>
            <w:pPr>
              <w:pStyle w:val="TableColHead"/>
              <w:jc w:val="center"/>
              <w:rPr>
                <w:lang w:eastAsia="en-US"/>
              </w:rPr>
            </w:pPr>
            <w:r>
              <w:rPr>
                <w:lang w:eastAsia="en-US"/>
              </w:rPr>
              <w:t>2001</w:t>
            </w:r>
          </w:p>
        </w:tc>
      </w:tr>
      <w:tr>
        <w:trPr>
          <w:trHeight w:val="247" w:hRule="atLeast"/>
        </w:trPr>
        <w:tc>
          <w:tcPr>
            <w:tcW w:w="1740" w:type="dxa"/>
            <w:gridSpan w:val="2"/>
            <w:tcBorders>
              <w:start w:val="single" w:sz="4" w:space="0" w:color="000000"/>
            </w:tcBorders>
          </w:tcPr>
          <w:p>
            <w:pPr>
              <w:pStyle w:val="TableBody"/>
              <w:spacing w:before="60" w:after="0"/>
              <w:rPr>
                <w:b/>
                <w:u w:val="single"/>
                <w:lang w:eastAsia="en-US"/>
              </w:rPr>
            </w:pPr>
            <w:r>
              <w:rPr>
                <w:b/>
                <w:u w:val="single"/>
                <w:lang w:eastAsia="en-US"/>
              </w:rPr>
              <w:t>Areas of Concern</w:t>
            </w:r>
          </w:p>
        </w:tc>
        <w:tc>
          <w:tcPr>
            <w:tcW w:w="0" w:type="dxa"/>
            <w:vMerge w:val="continue"/>
            <w:tcBorders/>
          </w:tcPr>
          <w:p>
            <w:pPr>
              <w:pStyle w:val="TableBody"/>
              <w:snapToGrid w:val="false"/>
              <w:spacing w:before="60" w:after="0"/>
              <w:rPr>
                <w:b/>
                <w:u w:val="single"/>
                <w:lang w:eastAsia="en-US"/>
              </w:rPr>
            </w:pPr>
            <w:r>
              <w:rPr>
                <w:b/>
                <w:u w:val="single"/>
                <w:lang w:eastAsia="en-US"/>
              </w:rPr>
            </w:r>
          </w:p>
        </w:tc>
        <w:tc>
          <w:tcPr>
            <w:tcW w:w="810" w:type="dxa"/>
            <w:tcBorders>
              <w:start w:val="single" w:sz="4" w:space="0" w:color="000000"/>
            </w:tcBorders>
          </w:tcPr>
          <w:p>
            <w:pPr>
              <w:pStyle w:val="TableBody"/>
              <w:tabs>
                <w:tab w:val="clear" w:pos="720"/>
                <w:tab w:val="decimal" w:pos="600" w:leader="none"/>
              </w:tabs>
              <w:snapToGrid w:val="false"/>
              <w:spacing w:before="60" w:after="0"/>
              <w:rPr>
                <w:b/>
                <w:u w:val="single"/>
                <w:lang w:eastAsia="en-US"/>
              </w:rPr>
            </w:pPr>
            <w:r>
              <w:rPr>
                <w:b/>
                <w:u w:val="single"/>
                <w:lang w:eastAsia="en-US"/>
              </w:rPr>
            </w:r>
          </w:p>
        </w:tc>
        <w:tc>
          <w:tcPr>
            <w:tcW w:w="900" w:type="dxa"/>
            <w:tcBorders/>
          </w:tcPr>
          <w:p>
            <w:pPr>
              <w:pStyle w:val="TableBody"/>
              <w:tabs>
                <w:tab w:val="clear" w:pos="720"/>
                <w:tab w:val="decimal" w:pos="690" w:leader="none"/>
              </w:tabs>
              <w:snapToGrid w:val="false"/>
              <w:spacing w:before="60" w:after="0"/>
              <w:rPr>
                <w:lang w:eastAsia="en-US"/>
              </w:rPr>
            </w:pPr>
            <w:r>
              <w:rPr>
                <w:lang w:eastAsia="en-US"/>
              </w:rPr>
            </w:r>
          </w:p>
        </w:tc>
        <w:tc>
          <w:tcPr>
            <w:tcW w:w="659" w:type="dxa"/>
            <w:tcBorders>
              <w:end w:val="single" w:sz="4" w:space="0" w:color="000000"/>
            </w:tcBorders>
          </w:tcPr>
          <w:p>
            <w:pPr>
              <w:pStyle w:val="TableBody"/>
              <w:tabs>
                <w:tab w:val="clear" w:pos="720"/>
                <w:tab w:val="decimal" w:pos="330" w:leader="none"/>
              </w:tabs>
              <w:snapToGrid w:val="false"/>
              <w:spacing w:before="60" w:after="0"/>
              <w:rPr>
                <w:lang w:eastAsia="en-US"/>
              </w:rPr>
            </w:pPr>
            <w:r>
              <w:rPr>
                <w:lang w:eastAsia="en-US"/>
              </w:rPr>
            </w:r>
          </w:p>
        </w:tc>
        <w:tc>
          <w:tcPr>
            <w:tcW w:w="781" w:type="dxa"/>
            <w:tcBorders/>
          </w:tcPr>
          <w:p>
            <w:pPr>
              <w:pStyle w:val="TableBody"/>
              <w:tabs>
                <w:tab w:val="clear" w:pos="720"/>
                <w:tab w:val="decimal" w:pos="571" w:leader="none"/>
              </w:tabs>
              <w:snapToGrid w:val="false"/>
              <w:spacing w:before="60" w:after="0"/>
              <w:rPr>
                <w:lang w:eastAsia="en-US"/>
              </w:rPr>
            </w:pPr>
            <w:r>
              <w:rPr>
                <w:lang w:eastAsia="en-US"/>
              </w:rPr>
            </w:r>
          </w:p>
        </w:tc>
        <w:tc>
          <w:tcPr>
            <w:tcW w:w="810" w:type="dxa"/>
            <w:tcBorders/>
          </w:tcPr>
          <w:p>
            <w:pPr>
              <w:pStyle w:val="TableBody"/>
              <w:tabs>
                <w:tab w:val="clear" w:pos="720"/>
                <w:tab w:val="decimal" w:pos="600" w:leader="none"/>
              </w:tabs>
              <w:snapToGrid w:val="false"/>
              <w:spacing w:before="60" w:after="0"/>
              <w:rPr>
                <w:lang w:eastAsia="en-US"/>
              </w:rPr>
            </w:pPr>
            <w:r>
              <w:rPr>
                <w:lang w:eastAsia="en-US"/>
              </w:rPr>
            </w:r>
          </w:p>
        </w:tc>
        <w:tc>
          <w:tcPr>
            <w:tcW w:w="720" w:type="dxa"/>
            <w:tcBorders>
              <w:end w:val="single" w:sz="4" w:space="0" w:color="000000"/>
            </w:tcBorders>
          </w:tcPr>
          <w:p>
            <w:pPr>
              <w:pStyle w:val="TableBody"/>
              <w:tabs>
                <w:tab w:val="clear" w:pos="720"/>
                <w:tab w:val="decimal" w:pos="240" w:leader="none"/>
              </w:tabs>
              <w:snapToGrid w:val="false"/>
              <w:spacing w:before="60" w:after="0"/>
              <w:rPr>
                <w:lang w:eastAsia="en-US"/>
              </w:rPr>
            </w:pPr>
            <w:r>
              <w:rPr>
                <w:lang w:eastAsia="en-US"/>
              </w:rPr>
            </w:r>
          </w:p>
        </w:tc>
        <w:tc>
          <w:tcPr>
            <w:tcW w:w="720" w:type="dxa"/>
            <w:tcBorders/>
          </w:tcPr>
          <w:p>
            <w:pPr>
              <w:pStyle w:val="TableBody"/>
              <w:tabs>
                <w:tab w:val="clear" w:pos="720"/>
                <w:tab w:val="decimal" w:pos="330" w:leader="none"/>
              </w:tabs>
              <w:snapToGrid w:val="false"/>
              <w:spacing w:before="60" w:after="0"/>
              <w:rPr>
                <w:lang w:eastAsia="en-US"/>
              </w:rPr>
            </w:pPr>
            <w:r>
              <w:rPr>
                <w:lang w:eastAsia="en-US"/>
              </w:rPr>
            </w:r>
          </w:p>
        </w:tc>
        <w:tc>
          <w:tcPr>
            <w:tcW w:w="810" w:type="dxa"/>
            <w:tcBorders>
              <w:end w:val="single" w:sz="4" w:space="0" w:color="000000"/>
            </w:tcBorders>
          </w:tcPr>
          <w:p>
            <w:pPr>
              <w:pStyle w:val="TableBody"/>
              <w:tabs>
                <w:tab w:val="clear" w:pos="720"/>
                <w:tab w:val="decimal" w:pos="330" w:leader="none"/>
              </w:tabs>
              <w:snapToGrid w:val="false"/>
              <w:spacing w:before="60" w:after="0"/>
              <w:rPr>
                <w:lang w:eastAsia="en-US"/>
              </w:rPr>
            </w:pPr>
            <w:r>
              <w:rPr>
                <w:lang w:eastAsia="en-US"/>
              </w:rPr>
            </w:r>
          </w:p>
        </w:tc>
      </w:tr>
      <w:tr>
        <w:trPr>
          <w:trHeight w:val="247" w:hRule="atLeast"/>
        </w:trPr>
        <w:tc>
          <w:tcPr>
            <w:tcW w:w="1740" w:type="dxa"/>
            <w:gridSpan w:val="2"/>
            <w:tcBorders>
              <w:start w:val="single" w:sz="4" w:space="0" w:color="000000"/>
            </w:tcBorders>
          </w:tcPr>
          <w:p>
            <w:pPr>
              <w:pStyle w:val="TableBody"/>
              <w:spacing w:before="60" w:after="0"/>
              <w:rPr>
                <w:lang w:eastAsia="en-US"/>
              </w:rPr>
            </w:pPr>
            <w:r>
              <w:rPr>
                <w:lang w:eastAsia="en-US"/>
              </w:rPr>
              <w:t>California Subregion</w:t>
            </w:r>
          </w:p>
        </w:tc>
        <w:tc>
          <w:tcPr>
            <w:tcW w:w="0" w:type="dxa"/>
            <w:vMerge w:val="continue"/>
            <w:tcBorders/>
          </w:tcPr>
          <w:p>
            <w:pPr>
              <w:pStyle w:val="TableBody"/>
              <w:snapToGrid w:val="false"/>
              <w:spacing w:before="60" w:after="0"/>
              <w:rPr>
                <w:lang w:eastAsia="en-US"/>
              </w:rPr>
            </w:pPr>
            <w:r>
              <w:rPr>
                <w:lang w:eastAsia="en-US"/>
              </w:rPr>
            </w:r>
          </w:p>
        </w:tc>
        <w:tc>
          <w:tcPr>
            <w:tcW w:w="810" w:type="dxa"/>
            <w:tcBorders>
              <w:start w:val="single" w:sz="4" w:space="0" w:color="000000"/>
            </w:tcBorders>
          </w:tcPr>
          <w:p>
            <w:pPr>
              <w:pStyle w:val="TableBody"/>
              <w:tabs>
                <w:tab w:val="clear" w:pos="720"/>
                <w:tab w:val="decimal" w:pos="600" w:leader="none"/>
              </w:tabs>
              <w:spacing w:before="60" w:after="0"/>
              <w:rPr>
                <w:lang w:eastAsia="en-US"/>
              </w:rPr>
            </w:pPr>
            <w:r>
              <w:rPr>
                <w:lang w:eastAsia="en-US"/>
              </w:rPr>
              <w:t>49,273</w:t>
            </w:r>
          </w:p>
        </w:tc>
        <w:tc>
          <w:tcPr>
            <w:tcW w:w="900" w:type="dxa"/>
            <w:tcBorders/>
          </w:tcPr>
          <w:p>
            <w:pPr>
              <w:pStyle w:val="TableBody"/>
              <w:tabs>
                <w:tab w:val="clear" w:pos="720"/>
                <w:tab w:val="decimal" w:pos="690" w:leader="none"/>
              </w:tabs>
              <w:spacing w:before="60" w:after="0"/>
              <w:rPr>
                <w:lang w:eastAsia="en-US"/>
              </w:rPr>
            </w:pPr>
            <w:r>
              <w:rPr>
                <w:lang w:eastAsia="en-US"/>
              </w:rPr>
              <w:t>52,899</w:t>
            </w:r>
          </w:p>
        </w:tc>
        <w:tc>
          <w:tcPr>
            <w:tcW w:w="659" w:type="dxa"/>
            <w:tcBorders>
              <w:end w:val="single" w:sz="4" w:space="0" w:color="000000"/>
            </w:tcBorders>
          </w:tcPr>
          <w:p>
            <w:pPr>
              <w:pStyle w:val="TableBody"/>
              <w:tabs>
                <w:tab w:val="clear" w:pos="720"/>
                <w:tab w:val="decimal" w:pos="330" w:leader="none"/>
              </w:tabs>
              <w:spacing w:before="60" w:after="0"/>
              <w:rPr>
                <w:lang w:eastAsia="en-US"/>
              </w:rPr>
            </w:pPr>
            <w:r>
              <w:rPr>
                <w:lang w:eastAsia="en-US"/>
              </w:rPr>
              <w:t>7.4%</w:t>
            </w:r>
          </w:p>
        </w:tc>
        <w:tc>
          <w:tcPr>
            <w:tcW w:w="781" w:type="dxa"/>
            <w:tcBorders/>
          </w:tcPr>
          <w:p>
            <w:pPr>
              <w:pStyle w:val="TableBody"/>
              <w:tabs>
                <w:tab w:val="clear" w:pos="720"/>
                <w:tab w:val="decimal" w:pos="571" w:leader="none"/>
              </w:tabs>
              <w:spacing w:before="60" w:after="0"/>
              <w:rPr>
                <w:lang w:eastAsia="en-US"/>
              </w:rPr>
            </w:pPr>
            <w:r>
              <w:rPr>
                <w:lang w:eastAsia="en-US"/>
              </w:rPr>
              <w:t>58,001</w:t>
            </w:r>
          </w:p>
        </w:tc>
        <w:tc>
          <w:tcPr>
            <w:tcW w:w="810" w:type="dxa"/>
            <w:tcBorders/>
          </w:tcPr>
          <w:p>
            <w:pPr>
              <w:pStyle w:val="TableBody"/>
              <w:tabs>
                <w:tab w:val="clear" w:pos="720"/>
                <w:tab w:val="decimal" w:pos="600" w:leader="none"/>
              </w:tabs>
              <w:spacing w:before="60" w:after="0"/>
              <w:rPr>
                <w:lang w:eastAsia="en-US"/>
              </w:rPr>
            </w:pPr>
            <w:r>
              <w:rPr>
                <w:lang w:eastAsia="en-US"/>
              </w:rPr>
              <w:t>58,699</w:t>
            </w:r>
          </w:p>
        </w:tc>
        <w:tc>
          <w:tcPr>
            <w:tcW w:w="720" w:type="dxa"/>
            <w:tcBorders>
              <w:end w:val="single" w:sz="4" w:space="0" w:color="000000"/>
            </w:tcBorders>
          </w:tcPr>
          <w:p>
            <w:pPr>
              <w:pStyle w:val="TableBody"/>
              <w:tabs>
                <w:tab w:val="clear" w:pos="720"/>
                <w:tab w:val="decimal" w:pos="240" w:leader="none"/>
              </w:tabs>
              <w:spacing w:before="60" w:after="0"/>
              <w:rPr>
                <w:lang w:eastAsia="en-US"/>
              </w:rPr>
            </w:pPr>
            <w:r>
              <w:rPr>
                <w:lang w:eastAsia="en-US"/>
              </w:rPr>
              <w:t>1.2%</w:t>
            </w:r>
          </w:p>
        </w:tc>
        <w:tc>
          <w:tcPr>
            <w:tcW w:w="720" w:type="dxa"/>
            <w:tcBorders/>
          </w:tcPr>
          <w:p>
            <w:pPr>
              <w:pStyle w:val="TableBody"/>
              <w:tabs>
                <w:tab w:val="clear" w:pos="720"/>
                <w:tab w:val="decimal" w:pos="330" w:leader="none"/>
              </w:tabs>
              <w:spacing w:before="60" w:after="0"/>
              <w:rPr>
                <w:lang w:eastAsia="en-US"/>
              </w:rPr>
            </w:pPr>
            <w:r>
              <w:rPr>
                <w:lang w:eastAsia="en-US"/>
              </w:rPr>
              <w:t>15.0%</w:t>
            </w:r>
          </w:p>
        </w:tc>
        <w:tc>
          <w:tcPr>
            <w:tcW w:w="810" w:type="dxa"/>
            <w:tcBorders>
              <w:end w:val="single" w:sz="4" w:space="0" w:color="000000"/>
            </w:tcBorders>
          </w:tcPr>
          <w:p>
            <w:pPr>
              <w:pStyle w:val="TableBody"/>
              <w:tabs>
                <w:tab w:val="clear" w:pos="720"/>
                <w:tab w:val="decimal" w:pos="330" w:leader="none"/>
              </w:tabs>
              <w:spacing w:before="60" w:after="0"/>
              <w:rPr>
                <w:lang w:eastAsia="en-US"/>
              </w:rPr>
            </w:pPr>
            <w:r>
              <w:rPr>
                <w:lang w:eastAsia="en-US"/>
              </w:rPr>
              <w:t>9.9%</w:t>
            </w:r>
          </w:p>
        </w:tc>
      </w:tr>
      <w:tr>
        <w:trPr>
          <w:trHeight w:val="247" w:hRule="atLeast"/>
        </w:trPr>
        <w:tc>
          <w:tcPr>
            <w:tcW w:w="1740" w:type="dxa"/>
            <w:gridSpan w:val="2"/>
            <w:tcBorders>
              <w:start w:val="single" w:sz="4" w:space="0" w:color="000000"/>
            </w:tcBorders>
          </w:tcPr>
          <w:p>
            <w:pPr>
              <w:pStyle w:val="TableBody"/>
              <w:rPr>
                <w:lang w:eastAsia="en-US"/>
              </w:rPr>
            </w:pPr>
            <w:r>
              <w:rPr>
                <w:lang w:eastAsia="en-US"/>
              </w:rPr>
              <w:t>Northwest Power Pool</w:t>
            </w:r>
          </w:p>
        </w:tc>
        <w:tc>
          <w:tcPr>
            <w:tcW w:w="810" w:type="dxa"/>
            <w:tcBorders>
              <w:start w:val="single" w:sz="4" w:space="0" w:color="000000"/>
            </w:tcBorders>
          </w:tcPr>
          <w:p>
            <w:pPr>
              <w:pStyle w:val="TableBody"/>
              <w:tabs>
                <w:tab w:val="clear" w:pos="720"/>
                <w:tab w:val="decimal" w:pos="600" w:leader="none"/>
              </w:tabs>
              <w:rPr>
                <w:lang w:eastAsia="en-US"/>
              </w:rPr>
            </w:pPr>
            <w:r>
              <w:rPr>
                <w:lang w:eastAsia="en-US"/>
              </w:rPr>
              <w:t>34,127</w:t>
            </w:r>
          </w:p>
        </w:tc>
        <w:tc>
          <w:tcPr>
            <w:tcW w:w="900" w:type="dxa"/>
            <w:tcBorders/>
          </w:tcPr>
          <w:p>
            <w:pPr>
              <w:pStyle w:val="TableBody"/>
              <w:tabs>
                <w:tab w:val="clear" w:pos="720"/>
                <w:tab w:val="decimal" w:pos="690" w:leader="none"/>
              </w:tabs>
              <w:rPr>
                <w:lang w:eastAsia="en-US"/>
              </w:rPr>
            </w:pPr>
            <w:r>
              <w:rPr>
                <w:lang w:eastAsia="en-US"/>
              </w:rPr>
              <w:t>34,132</w:t>
            </w:r>
          </w:p>
        </w:tc>
        <w:tc>
          <w:tcPr>
            <w:tcW w:w="659" w:type="dxa"/>
            <w:tcBorders>
              <w:end w:val="single" w:sz="4" w:space="0" w:color="000000"/>
            </w:tcBorders>
          </w:tcPr>
          <w:p>
            <w:pPr>
              <w:pStyle w:val="TableBody"/>
              <w:tabs>
                <w:tab w:val="clear" w:pos="720"/>
                <w:tab w:val="decimal" w:pos="330" w:leader="none"/>
              </w:tabs>
              <w:rPr>
                <w:lang w:eastAsia="en-US"/>
              </w:rPr>
            </w:pPr>
            <w:r>
              <w:rPr>
                <w:lang w:eastAsia="en-US"/>
              </w:rPr>
              <w:t>0.0</w:t>
            </w:r>
          </w:p>
        </w:tc>
        <w:tc>
          <w:tcPr>
            <w:tcW w:w="781" w:type="dxa"/>
            <w:tcBorders/>
          </w:tcPr>
          <w:p>
            <w:pPr>
              <w:pStyle w:val="TableBody"/>
              <w:tabs>
                <w:tab w:val="clear" w:pos="720"/>
                <w:tab w:val="decimal" w:pos="571" w:leader="none"/>
              </w:tabs>
              <w:rPr>
                <w:lang w:eastAsia="en-US"/>
              </w:rPr>
            </w:pPr>
            <w:r>
              <w:rPr>
                <w:lang w:eastAsia="en-US"/>
              </w:rPr>
              <w:t>48,773</w:t>
            </w:r>
          </w:p>
        </w:tc>
        <w:tc>
          <w:tcPr>
            <w:tcW w:w="810" w:type="dxa"/>
            <w:tcBorders/>
          </w:tcPr>
          <w:p>
            <w:pPr>
              <w:pStyle w:val="TableBody"/>
              <w:tabs>
                <w:tab w:val="clear" w:pos="720"/>
                <w:tab w:val="decimal" w:pos="600" w:leader="none"/>
              </w:tabs>
              <w:rPr>
                <w:lang w:eastAsia="en-US"/>
              </w:rPr>
            </w:pPr>
            <w:r>
              <w:rPr>
                <w:lang w:eastAsia="en-US"/>
              </w:rPr>
              <w:t>46,089</w:t>
            </w:r>
          </w:p>
        </w:tc>
        <w:tc>
          <w:tcPr>
            <w:tcW w:w="720" w:type="dxa"/>
            <w:tcBorders>
              <w:end w:val="single" w:sz="4" w:space="0" w:color="000000"/>
            </w:tcBorders>
          </w:tcPr>
          <w:p>
            <w:pPr>
              <w:pStyle w:val="TableBody"/>
              <w:tabs>
                <w:tab w:val="clear" w:pos="720"/>
                <w:tab w:val="decimal" w:pos="240" w:leader="none"/>
              </w:tabs>
              <w:rPr>
                <w:lang w:eastAsia="en-US"/>
              </w:rPr>
            </w:pPr>
            <w:r>
              <w:rPr>
                <w:lang w:eastAsia="en-US"/>
              </w:rPr>
              <w:t>-5.5%</w:t>
            </w:r>
          </w:p>
        </w:tc>
        <w:tc>
          <w:tcPr>
            <w:tcW w:w="720" w:type="dxa"/>
            <w:tcBorders/>
          </w:tcPr>
          <w:p>
            <w:pPr>
              <w:pStyle w:val="TableBody"/>
              <w:tabs>
                <w:tab w:val="clear" w:pos="720"/>
                <w:tab w:val="decimal" w:pos="330" w:leader="none"/>
              </w:tabs>
              <w:rPr>
                <w:lang w:eastAsia="en-US"/>
              </w:rPr>
            </w:pPr>
            <w:r>
              <w:rPr>
                <w:lang w:eastAsia="en-US"/>
              </w:rPr>
              <w:t>30.0%</w:t>
            </w:r>
          </w:p>
        </w:tc>
        <w:tc>
          <w:tcPr>
            <w:tcW w:w="810" w:type="dxa"/>
            <w:tcBorders>
              <w:end w:val="single" w:sz="4" w:space="0" w:color="000000"/>
            </w:tcBorders>
          </w:tcPr>
          <w:p>
            <w:pPr>
              <w:pStyle w:val="TableBody"/>
              <w:tabs>
                <w:tab w:val="clear" w:pos="720"/>
                <w:tab w:val="decimal" w:pos="330" w:leader="none"/>
              </w:tabs>
              <w:rPr>
                <w:lang w:eastAsia="en-US"/>
              </w:rPr>
            </w:pPr>
            <w:r>
              <w:rPr>
                <w:lang w:eastAsia="en-US"/>
              </w:rPr>
              <w:t>25.9%</w:t>
            </w:r>
          </w:p>
        </w:tc>
      </w:tr>
      <w:tr>
        <w:trPr>
          <w:trHeight w:val="247" w:hRule="atLeast"/>
        </w:trPr>
        <w:tc>
          <w:tcPr>
            <w:tcW w:w="1010" w:type="dxa"/>
            <w:tcBorders>
              <w:start w:val="single" w:sz="4" w:space="0" w:color="000000"/>
            </w:tcBorders>
          </w:tcPr>
          <w:p>
            <w:pPr>
              <w:pStyle w:val="TableBody"/>
              <w:snapToGrid w:val="false"/>
              <w:rPr>
                <w:color w:val="000000"/>
                <w:lang w:eastAsia="en-US"/>
              </w:rPr>
            </w:pPr>
            <w:r>
              <w:rPr>
                <w:color w:val="000000"/>
                <w:lang w:eastAsia="en-US"/>
              </w:rPr>
            </w:r>
          </w:p>
        </w:tc>
        <w:tc>
          <w:tcPr>
            <w:tcW w:w="730" w:type="dxa"/>
            <w:tcBorders/>
          </w:tcPr>
          <w:p>
            <w:pPr>
              <w:pStyle w:val="TableBody"/>
              <w:snapToGrid w:val="false"/>
              <w:rPr>
                <w:lang w:eastAsia="en-US"/>
              </w:rPr>
            </w:pPr>
            <w:r>
              <w:rPr>
                <w:lang w:eastAsia="en-US"/>
              </w:rPr>
            </w:r>
          </w:p>
        </w:tc>
        <w:tc>
          <w:tcPr>
            <w:tcW w:w="810" w:type="dxa"/>
            <w:tcBorders>
              <w:start w:val="single" w:sz="4" w:space="0" w:color="000000"/>
            </w:tcBorders>
          </w:tcPr>
          <w:p>
            <w:pPr>
              <w:pStyle w:val="TableBody"/>
              <w:tabs>
                <w:tab w:val="clear" w:pos="720"/>
                <w:tab w:val="decimal" w:pos="600" w:leader="none"/>
              </w:tabs>
              <w:snapToGrid w:val="false"/>
              <w:rPr>
                <w:lang w:eastAsia="en-US"/>
              </w:rPr>
            </w:pPr>
            <w:r>
              <w:rPr>
                <w:lang w:eastAsia="en-US"/>
              </w:rPr>
            </w:r>
          </w:p>
        </w:tc>
        <w:tc>
          <w:tcPr>
            <w:tcW w:w="900" w:type="dxa"/>
            <w:tcBorders/>
          </w:tcPr>
          <w:p>
            <w:pPr>
              <w:pStyle w:val="TableBody"/>
              <w:tabs>
                <w:tab w:val="clear" w:pos="720"/>
                <w:tab w:val="decimal" w:pos="690" w:leader="none"/>
              </w:tabs>
              <w:snapToGrid w:val="false"/>
              <w:rPr>
                <w:lang w:eastAsia="en-US"/>
              </w:rPr>
            </w:pPr>
            <w:r>
              <w:rPr>
                <w:lang w:eastAsia="en-US"/>
              </w:rPr>
            </w:r>
          </w:p>
        </w:tc>
        <w:tc>
          <w:tcPr>
            <w:tcW w:w="659" w:type="dxa"/>
            <w:tcBorders>
              <w:end w:val="single" w:sz="4" w:space="0" w:color="000000"/>
            </w:tcBorders>
          </w:tcPr>
          <w:p>
            <w:pPr>
              <w:pStyle w:val="TableBody"/>
              <w:tabs>
                <w:tab w:val="clear" w:pos="720"/>
                <w:tab w:val="decimal" w:pos="330" w:leader="none"/>
              </w:tabs>
              <w:snapToGrid w:val="false"/>
              <w:rPr>
                <w:lang w:eastAsia="en-US"/>
              </w:rPr>
            </w:pPr>
            <w:r>
              <w:rPr>
                <w:lang w:eastAsia="en-US"/>
              </w:rPr>
            </w:r>
          </w:p>
        </w:tc>
        <w:tc>
          <w:tcPr>
            <w:tcW w:w="781" w:type="dxa"/>
            <w:tcBorders/>
          </w:tcPr>
          <w:p>
            <w:pPr>
              <w:pStyle w:val="TableBody"/>
              <w:tabs>
                <w:tab w:val="clear" w:pos="720"/>
                <w:tab w:val="decimal" w:pos="571" w:leader="none"/>
              </w:tabs>
              <w:snapToGrid w:val="false"/>
              <w:rPr>
                <w:lang w:eastAsia="en-US"/>
              </w:rPr>
            </w:pPr>
            <w:r>
              <w:rPr>
                <w:lang w:eastAsia="en-US"/>
              </w:rPr>
            </w:r>
          </w:p>
        </w:tc>
        <w:tc>
          <w:tcPr>
            <w:tcW w:w="810" w:type="dxa"/>
            <w:tcBorders/>
          </w:tcPr>
          <w:p>
            <w:pPr>
              <w:pStyle w:val="TableBody"/>
              <w:tabs>
                <w:tab w:val="clear" w:pos="720"/>
                <w:tab w:val="decimal" w:pos="600" w:leader="none"/>
              </w:tabs>
              <w:snapToGrid w:val="false"/>
              <w:rPr>
                <w:lang w:eastAsia="en-US"/>
              </w:rPr>
            </w:pPr>
            <w:r>
              <w:rPr>
                <w:lang w:eastAsia="en-US"/>
              </w:rPr>
            </w:r>
          </w:p>
        </w:tc>
        <w:tc>
          <w:tcPr>
            <w:tcW w:w="720" w:type="dxa"/>
            <w:tcBorders>
              <w:end w:val="single" w:sz="4" w:space="0" w:color="000000"/>
            </w:tcBorders>
          </w:tcPr>
          <w:p>
            <w:pPr>
              <w:pStyle w:val="TableBody"/>
              <w:tabs>
                <w:tab w:val="clear" w:pos="720"/>
                <w:tab w:val="decimal" w:pos="240" w:leader="none"/>
              </w:tabs>
              <w:snapToGrid w:val="false"/>
              <w:rPr>
                <w:lang w:eastAsia="en-US"/>
              </w:rPr>
            </w:pPr>
            <w:r>
              <w:rPr>
                <w:lang w:eastAsia="en-US"/>
              </w:rPr>
            </w:r>
          </w:p>
        </w:tc>
        <w:tc>
          <w:tcPr>
            <w:tcW w:w="720" w:type="dxa"/>
            <w:tcBorders/>
          </w:tcPr>
          <w:p>
            <w:pPr>
              <w:pStyle w:val="TableBody"/>
              <w:tabs>
                <w:tab w:val="clear" w:pos="720"/>
                <w:tab w:val="decimal" w:pos="330" w:leader="none"/>
              </w:tabs>
              <w:snapToGrid w:val="false"/>
              <w:rPr>
                <w:lang w:eastAsia="en-US"/>
              </w:rPr>
            </w:pPr>
            <w:r>
              <w:rPr>
                <w:lang w:eastAsia="en-US"/>
              </w:rPr>
            </w:r>
          </w:p>
        </w:tc>
        <w:tc>
          <w:tcPr>
            <w:tcW w:w="810" w:type="dxa"/>
            <w:tcBorders>
              <w:end w:val="single" w:sz="4" w:space="0" w:color="000000"/>
            </w:tcBorders>
          </w:tcPr>
          <w:p>
            <w:pPr>
              <w:pStyle w:val="TableBody"/>
              <w:tabs>
                <w:tab w:val="clear" w:pos="720"/>
                <w:tab w:val="decimal" w:pos="330" w:leader="none"/>
              </w:tabs>
              <w:snapToGrid w:val="false"/>
              <w:rPr>
                <w:lang w:eastAsia="en-US"/>
              </w:rPr>
            </w:pPr>
            <w:r>
              <w:rPr>
                <w:lang w:eastAsia="en-US"/>
              </w:rPr>
            </w:r>
          </w:p>
        </w:tc>
      </w:tr>
      <w:tr>
        <w:trPr>
          <w:trHeight w:val="247" w:hRule="atLeast"/>
        </w:trPr>
        <w:tc>
          <w:tcPr>
            <w:tcW w:w="1740" w:type="dxa"/>
            <w:gridSpan w:val="2"/>
            <w:tcBorders>
              <w:start w:val="single" w:sz="4" w:space="0" w:color="000000"/>
            </w:tcBorders>
          </w:tcPr>
          <w:p>
            <w:pPr>
              <w:pStyle w:val="TableBody"/>
              <w:rPr>
                <w:b/>
                <w:u w:val="single"/>
                <w:lang w:eastAsia="en-US"/>
              </w:rPr>
            </w:pPr>
            <w:r>
              <w:rPr>
                <w:b/>
                <w:u w:val="single"/>
                <w:lang w:eastAsia="en-US"/>
              </w:rPr>
              <w:t>Areas to Monitor</w:t>
            </w:r>
          </w:p>
        </w:tc>
        <w:tc>
          <w:tcPr>
            <w:tcW w:w="0" w:type="dxa"/>
            <w:vMerge w:val="continue"/>
            <w:tcBorders/>
          </w:tcPr>
          <w:p>
            <w:pPr>
              <w:pStyle w:val="TableBody"/>
              <w:snapToGrid w:val="false"/>
              <w:rPr>
                <w:b/>
                <w:u w:val="single"/>
                <w:lang w:eastAsia="en-US"/>
              </w:rPr>
            </w:pPr>
            <w:r>
              <w:rPr>
                <w:b/>
                <w:u w:val="single"/>
                <w:lang w:eastAsia="en-US"/>
              </w:rPr>
            </w:r>
          </w:p>
        </w:tc>
        <w:tc>
          <w:tcPr>
            <w:tcW w:w="810" w:type="dxa"/>
            <w:tcBorders>
              <w:start w:val="single" w:sz="4" w:space="0" w:color="000000"/>
            </w:tcBorders>
          </w:tcPr>
          <w:p>
            <w:pPr>
              <w:pStyle w:val="TableBody"/>
              <w:tabs>
                <w:tab w:val="clear" w:pos="720"/>
                <w:tab w:val="decimal" w:pos="600" w:leader="none"/>
              </w:tabs>
              <w:snapToGrid w:val="false"/>
              <w:rPr>
                <w:b/>
                <w:u w:val="single"/>
                <w:lang w:eastAsia="en-US"/>
              </w:rPr>
            </w:pPr>
            <w:r>
              <w:rPr>
                <w:b/>
                <w:u w:val="single"/>
                <w:lang w:eastAsia="en-US"/>
              </w:rPr>
            </w:r>
          </w:p>
        </w:tc>
        <w:tc>
          <w:tcPr>
            <w:tcW w:w="900" w:type="dxa"/>
            <w:tcBorders/>
          </w:tcPr>
          <w:p>
            <w:pPr>
              <w:pStyle w:val="TableBody"/>
              <w:tabs>
                <w:tab w:val="clear" w:pos="720"/>
                <w:tab w:val="decimal" w:pos="690" w:leader="none"/>
              </w:tabs>
              <w:snapToGrid w:val="false"/>
              <w:rPr>
                <w:lang w:eastAsia="en-US"/>
              </w:rPr>
            </w:pPr>
            <w:r>
              <w:rPr>
                <w:lang w:eastAsia="en-US"/>
              </w:rPr>
            </w:r>
          </w:p>
        </w:tc>
        <w:tc>
          <w:tcPr>
            <w:tcW w:w="659" w:type="dxa"/>
            <w:tcBorders>
              <w:end w:val="single" w:sz="4" w:space="0" w:color="000000"/>
            </w:tcBorders>
          </w:tcPr>
          <w:p>
            <w:pPr>
              <w:pStyle w:val="TableBody"/>
              <w:tabs>
                <w:tab w:val="clear" w:pos="720"/>
                <w:tab w:val="decimal" w:pos="330" w:leader="none"/>
              </w:tabs>
              <w:snapToGrid w:val="false"/>
              <w:rPr>
                <w:lang w:eastAsia="en-US"/>
              </w:rPr>
            </w:pPr>
            <w:r>
              <w:rPr>
                <w:lang w:eastAsia="en-US"/>
              </w:rPr>
            </w:r>
          </w:p>
        </w:tc>
        <w:tc>
          <w:tcPr>
            <w:tcW w:w="781" w:type="dxa"/>
            <w:tcBorders/>
          </w:tcPr>
          <w:p>
            <w:pPr>
              <w:pStyle w:val="TableBody"/>
              <w:tabs>
                <w:tab w:val="clear" w:pos="720"/>
                <w:tab w:val="decimal" w:pos="571" w:leader="none"/>
              </w:tabs>
              <w:snapToGrid w:val="false"/>
              <w:rPr>
                <w:lang w:eastAsia="en-US"/>
              </w:rPr>
            </w:pPr>
            <w:r>
              <w:rPr>
                <w:lang w:eastAsia="en-US"/>
              </w:rPr>
            </w:r>
          </w:p>
        </w:tc>
        <w:tc>
          <w:tcPr>
            <w:tcW w:w="810" w:type="dxa"/>
            <w:tcBorders/>
          </w:tcPr>
          <w:p>
            <w:pPr>
              <w:pStyle w:val="TableBody"/>
              <w:tabs>
                <w:tab w:val="clear" w:pos="720"/>
                <w:tab w:val="decimal" w:pos="600" w:leader="none"/>
              </w:tabs>
              <w:snapToGrid w:val="false"/>
              <w:rPr>
                <w:lang w:eastAsia="en-US"/>
              </w:rPr>
            </w:pPr>
            <w:r>
              <w:rPr>
                <w:lang w:eastAsia="en-US"/>
              </w:rPr>
            </w:r>
          </w:p>
        </w:tc>
        <w:tc>
          <w:tcPr>
            <w:tcW w:w="720" w:type="dxa"/>
            <w:tcBorders>
              <w:end w:val="single" w:sz="4" w:space="0" w:color="000000"/>
            </w:tcBorders>
          </w:tcPr>
          <w:p>
            <w:pPr>
              <w:pStyle w:val="TableBody"/>
              <w:tabs>
                <w:tab w:val="clear" w:pos="720"/>
                <w:tab w:val="decimal" w:pos="240" w:leader="none"/>
              </w:tabs>
              <w:snapToGrid w:val="false"/>
              <w:rPr>
                <w:lang w:eastAsia="en-US"/>
              </w:rPr>
            </w:pPr>
            <w:r>
              <w:rPr>
                <w:lang w:eastAsia="en-US"/>
              </w:rPr>
            </w:r>
          </w:p>
        </w:tc>
        <w:tc>
          <w:tcPr>
            <w:tcW w:w="720" w:type="dxa"/>
            <w:tcBorders/>
          </w:tcPr>
          <w:p>
            <w:pPr>
              <w:pStyle w:val="TableBody"/>
              <w:tabs>
                <w:tab w:val="clear" w:pos="720"/>
                <w:tab w:val="decimal" w:pos="330" w:leader="none"/>
              </w:tabs>
              <w:snapToGrid w:val="false"/>
              <w:rPr>
                <w:lang w:eastAsia="en-US"/>
              </w:rPr>
            </w:pPr>
            <w:r>
              <w:rPr>
                <w:lang w:eastAsia="en-US"/>
              </w:rPr>
            </w:r>
          </w:p>
        </w:tc>
        <w:tc>
          <w:tcPr>
            <w:tcW w:w="810" w:type="dxa"/>
            <w:tcBorders>
              <w:end w:val="single" w:sz="4" w:space="0" w:color="000000"/>
            </w:tcBorders>
          </w:tcPr>
          <w:p>
            <w:pPr>
              <w:pStyle w:val="TableBody"/>
              <w:tabs>
                <w:tab w:val="clear" w:pos="720"/>
                <w:tab w:val="decimal" w:pos="330" w:leader="none"/>
              </w:tabs>
              <w:snapToGrid w:val="false"/>
              <w:rPr>
                <w:lang w:eastAsia="en-US"/>
              </w:rPr>
            </w:pPr>
            <w:r>
              <w:rPr>
                <w:lang w:eastAsia="en-US"/>
              </w:rPr>
            </w:r>
          </w:p>
        </w:tc>
      </w:tr>
      <w:tr>
        <w:trPr>
          <w:trHeight w:val="247" w:hRule="atLeast"/>
        </w:trPr>
        <w:tc>
          <w:tcPr>
            <w:tcW w:w="1740" w:type="dxa"/>
            <w:gridSpan w:val="2"/>
            <w:tcBorders>
              <w:start w:val="single" w:sz="4" w:space="0" w:color="000000"/>
            </w:tcBorders>
          </w:tcPr>
          <w:p>
            <w:pPr>
              <w:pStyle w:val="TableBody"/>
              <w:rPr>
                <w:lang w:eastAsia="en-US"/>
              </w:rPr>
            </w:pPr>
            <w:r>
              <w:rPr>
                <w:lang w:eastAsia="en-US"/>
              </w:rPr>
              <w:t>New York ISO</w:t>
            </w:r>
          </w:p>
        </w:tc>
        <w:tc>
          <w:tcPr>
            <w:tcW w:w="0" w:type="dxa"/>
            <w:vMerge w:val="continue"/>
            <w:tcBorders/>
          </w:tcPr>
          <w:p>
            <w:pPr>
              <w:pStyle w:val="TableBody"/>
              <w:snapToGrid w:val="false"/>
              <w:rPr>
                <w:lang w:eastAsia="en-US"/>
              </w:rPr>
            </w:pPr>
            <w:r>
              <w:rPr>
                <w:lang w:eastAsia="en-US"/>
              </w:rPr>
            </w:r>
          </w:p>
        </w:tc>
        <w:tc>
          <w:tcPr>
            <w:tcW w:w="810" w:type="dxa"/>
            <w:tcBorders>
              <w:start w:val="single" w:sz="4" w:space="0" w:color="000000"/>
            </w:tcBorders>
          </w:tcPr>
          <w:p>
            <w:pPr>
              <w:pStyle w:val="TableBody"/>
              <w:tabs>
                <w:tab w:val="clear" w:pos="720"/>
                <w:tab w:val="decimal" w:pos="600" w:leader="none"/>
              </w:tabs>
              <w:rPr>
                <w:lang w:eastAsia="en-US"/>
              </w:rPr>
            </w:pPr>
            <w:r>
              <w:rPr>
                <w:lang w:eastAsia="en-US"/>
              </w:rPr>
              <w:t>30,200</w:t>
            </w:r>
          </w:p>
        </w:tc>
        <w:tc>
          <w:tcPr>
            <w:tcW w:w="900" w:type="dxa"/>
            <w:tcBorders/>
          </w:tcPr>
          <w:p>
            <w:pPr>
              <w:pStyle w:val="TableBody"/>
              <w:tabs>
                <w:tab w:val="clear" w:pos="720"/>
                <w:tab w:val="decimal" w:pos="690" w:leader="none"/>
              </w:tabs>
              <w:rPr>
                <w:lang w:eastAsia="en-US"/>
              </w:rPr>
            </w:pPr>
            <w:r>
              <w:rPr>
                <w:lang w:eastAsia="en-US"/>
              </w:rPr>
              <w:t>30,620</w:t>
            </w:r>
          </w:p>
        </w:tc>
        <w:tc>
          <w:tcPr>
            <w:tcW w:w="659" w:type="dxa"/>
            <w:tcBorders>
              <w:end w:val="single" w:sz="4" w:space="0" w:color="000000"/>
            </w:tcBorders>
          </w:tcPr>
          <w:p>
            <w:pPr>
              <w:pStyle w:val="TableBody"/>
              <w:tabs>
                <w:tab w:val="clear" w:pos="720"/>
                <w:tab w:val="decimal" w:pos="330" w:leader="none"/>
              </w:tabs>
              <w:rPr>
                <w:lang w:eastAsia="en-US"/>
              </w:rPr>
            </w:pPr>
            <w:r>
              <w:rPr>
                <w:lang w:eastAsia="en-US"/>
              </w:rPr>
              <w:t>1.4%</w:t>
            </w:r>
          </w:p>
        </w:tc>
        <w:tc>
          <w:tcPr>
            <w:tcW w:w="781" w:type="dxa"/>
            <w:tcBorders/>
          </w:tcPr>
          <w:p>
            <w:pPr>
              <w:pStyle w:val="TableBody"/>
              <w:tabs>
                <w:tab w:val="clear" w:pos="720"/>
                <w:tab w:val="decimal" w:pos="571" w:leader="none"/>
              </w:tabs>
              <w:rPr>
                <w:lang w:eastAsia="en-US"/>
              </w:rPr>
            </w:pPr>
            <w:r>
              <w:rPr>
                <w:lang w:eastAsia="en-US"/>
              </w:rPr>
              <w:t>35,636</w:t>
            </w:r>
          </w:p>
        </w:tc>
        <w:tc>
          <w:tcPr>
            <w:tcW w:w="810" w:type="dxa"/>
            <w:tcBorders/>
          </w:tcPr>
          <w:p>
            <w:pPr>
              <w:pStyle w:val="TableBody"/>
              <w:tabs>
                <w:tab w:val="clear" w:pos="720"/>
                <w:tab w:val="decimal" w:pos="600" w:leader="none"/>
              </w:tabs>
              <w:rPr>
                <w:lang w:eastAsia="en-US"/>
              </w:rPr>
            </w:pPr>
            <w:r>
              <w:rPr>
                <w:lang w:eastAsia="en-US"/>
              </w:rPr>
              <w:t>36,132</w:t>
            </w:r>
          </w:p>
        </w:tc>
        <w:tc>
          <w:tcPr>
            <w:tcW w:w="720" w:type="dxa"/>
            <w:tcBorders>
              <w:end w:val="single" w:sz="4" w:space="0" w:color="000000"/>
            </w:tcBorders>
          </w:tcPr>
          <w:p>
            <w:pPr>
              <w:pStyle w:val="TableBody"/>
              <w:tabs>
                <w:tab w:val="clear" w:pos="720"/>
                <w:tab w:val="decimal" w:pos="240" w:leader="none"/>
              </w:tabs>
              <w:rPr>
                <w:lang w:eastAsia="en-US"/>
              </w:rPr>
            </w:pPr>
            <w:r>
              <w:rPr>
                <w:lang w:eastAsia="en-US"/>
              </w:rPr>
              <w:t>1.4%</w:t>
            </w:r>
          </w:p>
        </w:tc>
        <w:tc>
          <w:tcPr>
            <w:tcW w:w="720" w:type="dxa"/>
            <w:tcBorders/>
          </w:tcPr>
          <w:p>
            <w:pPr>
              <w:pStyle w:val="TableBody"/>
              <w:tabs>
                <w:tab w:val="clear" w:pos="720"/>
                <w:tab w:val="decimal" w:pos="330" w:leader="none"/>
              </w:tabs>
              <w:rPr>
                <w:lang w:eastAsia="en-US"/>
              </w:rPr>
            </w:pPr>
            <w:r>
              <w:rPr>
                <w:lang w:eastAsia="en-US"/>
              </w:rPr>
              <w:t>15.3%</w:t>
            </w:r>
          </w:p>
        </w:tc>
        <w:tc>
          <w:tcPr>
            <w:tcW w:w="810" w:type="dxa"/>
            <w:tcBorders>
              <w:end w:val="single" w:sz="4" w:space="0" w:color="000000"/>
            </w:tcBorders>
          </w:tcPr>
          <w:p>
            <w:pPr>
              <w:pStyle w:val="TableBody"/>
              <w:tabs>
                <w:tab w:val="clear" w:pos="720"/>
                <w:tab w:val="decimal" w:pos="330" w:leader="none"/>
              </w:tabs>
              <w:rPr>
                <w:lang w:eastAsia="en-US"/>
              </w:rPr>
            </w:pPr>
            <w:r>
              <w:rPr>
                <w:lang w:eastAsia="en-US"/>
              </w:rPr>
              <w:t>15.3%</w:t>
            </w:r>
          </w:p>
        </w:tc>
      </w:tr>
      <w:tr>
        <w:trPr>
          <w:trHeight w:val="247" w:hRule="atLeast"/>
        </w:trPr>
        <w:tc>
          <w:tcPr>
            <w:tcW w:w="1010" w:type="dxa"/>
            <w:tcBorders>
              <w:start w:val="single" w:sz="4" w:space="0" w:color="000000"/>
            </w:tcBorders>
          </w:tcPr>
          <w:p>
            <w:pPr>
              <w:pStyle w:val="TableBody"/>
              <w:rPr/>
            </w:pPr>
            <w:r>
              <w:rPr>
                <w:lang w:eastAsia="en-US"/>
              </w:rPr>
              <w:t>New England</w:t>
            </w:r>
          </w:p>
        </w:tc>
        <w:tc>
          <w:tcPr>
            <w:tcW w:w="730" w:type="dxa"/>
            <w:tcBorders/>
          </w:tcPr>
          <w:p>
            <w:pPr>
              <w:pStyle w:val="TableBody"/>
              <w:snapToGrid w:val="false"/>
              <w:rPr>
                <w:lang w:eastAsia="en-US"/>
              </w:rPr>
            </w:pPr>
            <w:r>
              <w:rPr>
                <w:lang w:eastAsia="en-US"/>
              </w:rPr>
            </w:r>
          </w:p>
        </w:tc>
        <w:tc>
          <w:tcPr>
            <w:tcW w:w="810" w:type="dxa"/>
            <w:tcBorders>
              <w:start w:val="single" w:sz="4" w:space="0" w:color="000000"/>
            </w:tcBorders>
          </w:tcPr>
          <w:p>
            <w:pPr>
              <w:pStyle w:val="TableBody"/>
              <w:tabs>
                <w:tab w:val="clear" w:pos="720"/>
                <w:tab w:val="decimal" w:pos="600" w:leader="none"/>
              </w:tabs>
              <w:rPr>
                <w:lang w:eastAsia="en-US"/>
              </w:rPr>
            </w:pPr>
            <w:r>
              <w:rPr>
                <w:lang w:eastAsia="en-US"/>
              </w:rPr>
              <w:t>23,168</w:t>
            </w:r>
          </w:p>
        </w:tc>
        <w:tc>
          <w:tcPr>
            <w:tcW w:w="900" w:type="dxa"/>
            <w:tcBorders/>
          </w:tcPr>
          <w:p>
            <w:pPr>
              <w:pStyle w:val="TableBody"/>
              <w:tabs>
                <w:tab w:val="clear" w:pos="720"/>
                <w:tab w:val="decimal" w:pos="690" w:leader="none"/>
              </w:tabs>
              <w:rPr>
                <w:lang w:eastAsia="en-US"/>
              </w:rPr>
            </w:pPr>
            <w:r>
              <w:rPr>
                <w:lang w:eastAsia="en-US"/>
              </w:rPr>
              <w:t>23,650</w:t>
            </w:r>
          </w:p>
        </w:tc>
        <w:tc>
          <w:tcPr>
            <w:tcW w:w="659" w:type="dxa"/>
            <w:tcBorders>
              <w:end w:val="single" w:sz="4" w:space="0" w:color="000000"/>
            </w:tcBorders>
          </w:tcPr>
          <w:p>
            <w:pPr>
              <w:pStyle w:val="TableBody"/>
              <w:tabs>
                <w:tab w:val="clear" w:pos="720"/>
                <w:tab w:val="decimal" w:pos="330" w:leader="none"/>
              </w:tabs>
              <w:rPr>
                <w:lang w:eastAsia="en-US"/>
              </w:rPr>
            </w:pPr>
            <w:r>
              <w:rPr>
                <w:lang w:eastAsia="en-US"/>
              </w:rPr>
              <w:t>2.1%</w:t>
            </w:r>
          </w:p>
        </w:tc>
        <w:tc>
          <w:tcPr>
            <w:tcW w:w="781" w:type="dxa"/>
            <w:tcBorders/>
          </w:tcPr>
          <w:p>
            <w:pPr>
              <w:pStyle w:val="TableBody"/>
              <w:tabs>
                <w:tab w:val="clear" w:pos="720"/>
                <w:tab w:val="decimal" w:pos="571" w:leader="none"/>
              </w:tabs>
              <w:rPr>
                <w:lang w:eastAsia="en-US"/>
              </w:rPr>
            </w:pPr>
            <w:r>
              <w:rPr>
                <w:lang w:eastAsia="en-US"/>
              </w:rPr>
              <w:t>26,349</w:t>
            </w:r>
          </w:p>
        </w:tc>
        <w:tc>
          <w:tcPr>
            <w:tcW w:w="810" w:type="dxa"/>
            <w:tcBorders/>
          </w:tcPr>
          <w:p>
            <w:pPr>
              <w:pStyle w:val="TableBody"/>
              <w:tabs>
                <w:tab w:val="clear" w:pos="720"/>
                <w:tab w:val="decimal" w:pos="600" w:leader="none"/>
              </w:tabs>
              <w:rPr>
                <w:lang w:eastAsia="en-US"/>
              </w:rPr>
            </w:pPr>
            <w:r>
              <w:rPr>
                <w:lang w:eastAsia="en-US"/>
              </w:rPr>
              <w:t>27,070</w:t>
            </w:r>
          </w:p>
        </w:tc>
        <w:tc>
          <w:tcPr>
            <w:tcW w:w="720" w:type="dxa"/>
            <w:tcBorders>
              <w:end w:val="single" w:sz="4" w:space="0" w:color="000000"/>
            </w:tcBorders>
          </w:tcPr>
          <w:p>
            <w:pPr>
              <w:pStyle w:val="TableBody"/>
              <w:tabs>
                <w:tab w:val="clear" w:pos="720"/>
                <w:tab w:val="decimal" w:pos="240" w:leader="none"/>
              </w:tabs>
              <w:rPr>
                <w:lang w:eastAsia="en-US"/>
              </w:rPr>
            </w:pPr>
            <w:r>
              <w:rPr>
                <w:lang w:eastAsia="en-US"/>
              </w:rPr>
              <w:t>2.7%</w:t>
            </w:r>
          </w:p>
        </w:tc>
        <w:tc>
          <w:tcPr>
            <w:tcW w:w="720" w:type="dxa"/>
            <w:tcBorders/>
          </w:tcPr>
          <w:p>
            <w:pPr>
              <w:pStyle w:val="TableBody"/>
              <w:tabs>
                <w:tab w:val="clear" w:pos="720"/>
                <w:tab w:val="decimal" w:pos="330" w:leader="none"/>
              </w:tabs>
              <w:rPr>
                <w:lang w:eastAsia="en-US"/>
              </w:rPr>
            </w:pPr>
            <w:r>
              <w:rPr>
                <w:lang w:eastAsia="en-US"/>
              </w:rPr>
              <w:t>12.1%</w:t>
            </w:r>
          </w:p>
        </w:tc>
        <w:tc>
          <w:tcPr>
            <w:tcW w:w="810" w:type="dxa"/>
            <w:tcBorders>
              <w:end w:val="single" w:sz="4" w:space="0" w:color="000000"/>
            </w:tcBorders>
          </w:tcPr>
          <w:p>
            <w:pPr>
              <w:pStyle w:val="TableBody"/>
              <w:tabs>
                <w:tab w:val="clear" w:pos="720"/>
                <w:tab w:val="decimal" w:pos="330" w:leader="none"/>
              </w:tabs>
              <w:rPr>
                <w:lang w:eastAsia="en-US"/>
              </w:rPr>
            </w:pPr>
            <w:r>
              <w:rPr>
                <w:lang w:eastAsia="en-US"/>
              </w:rPr>
              <w:t>12.6%</w:t>
            </w:r>
          </w:p>
        </w:tc>
      </w:tr>
      <w:tr>
        <w:trPr>
          <w:trHeight w:val="247" w:hRule="atLeast"/>
        </w:trPr>
        <w:tc>
          <w:tcPr>
            <w:tcW w:w="1010" w:type="dxa"/>
            <w:tcBorders>
              <w:start w:val="single" w:sz="4" w:space="0" w:color="000000"/>
              <w:bottom w:val="single" w:sz="4" w:space="0" w:color="000000"/>
            </w:tcBorders>
          </w:tcPr>
          <w:p>
            <w:pPr>
              <w:pStyle w:val="TableBody"/>
              <w:rPr>
                <w:lang w:eastAsia="en-US"/>
              </w:rPr>
            </w:pPr>
            <w:r>
              <w:rPr>
                <w:lang w:eastAsia="en-US"/>
              </w:rPr>
              <w:t>ERCOT</w:t>
            </w:r>
          </w:p>
        </w:tc>
        <w:tc>
          <w:tcPr>
            <w:tcW w:w="730" w:type="dxa"/>
            <w:tcBorders>
              <w:bottom w:val="single" w:sz="4" w:space="0" w:color="000000"/>
            </w:tcBorders>
          </w:tcPr>
          <w:p>
            <w:pPr>
              <w:pStyle w:val="TableBody"/>
              <w:snapToGrid w:val="false"/>
              <w:rPr>
                <w:lang w:eastAsia="en-US"/>
              </w:rPr>
            </w:pPr>
            <w:r>
              <w:rPr>
                <w:lang w:eastAsia="en-US"/>
              </w:rPr>
            </w:r>
          </w:p>
        </w:tc>
        <w:tc>
          <w:tcPr>
            <w:tcW w:w="810" w:type="dxa"/>
            <w:tcBorders>
              <w:start w:val="single" w:sz="4" w:space="0" w:color="000000"/>
              <w:bottom w:val="single" w:sz="4" w:space="0" w:color="000000"/>
            </w:tcBorders>
          </w:tcPr>
          <w:p>
            <w:pPr>
              <w:pStyle w:val="TableBody"/>
              <w:tabs>
                <w:tab w:val="clear" w:pos="720"/>
                <w:tab w:val="decimal" w:pos="600" w:leader="none"/>
              </w:tabs>
              <w:rPr>
                <w:lang w:eastAsia="en-US"/>
              </w:rPr>
            </w:pPr>
            <w:r>
              <w:rPr>
                <w:lang w:eastAsia="en-US"/>
              </w:rPr>
              <w:t>52,152</w:t>
            </w:r>
          </w:p>
        </w:tc>
        <w:tc>
          <w:tcPr>
            <w:tcW w:w="900" w:type="dxa"/>
            <w:tcBorders>
              <w:bottom w:val="single" w:sz="4" w:space="0" w:color="000000"/>
            </w:tcBorders>
          </w:tcPr>
          <w:p>
            <w:pPr>
              <w:pStyle w:val="TableBody"/>
              <w:tabs>
                <w:tab w:val="clear" w:pos="720"/>
                <w:tab w:val="decimal" w:pos="690" w:leader="none"/>
              </w:tabs>
              <w:rPr>
                <w:lang w:eastAsia="en-US"/>
              </w:rPr>
            </w:pPr>
            <w:r>
              <w:rPr>
                <w:lang w:eastAsia="en-US"/>
              </w:rPr>
              <w:t>53,391</w:t>
            </w:r>
          </w:p>
        </w:tc>
        <w:tc>
          <w:tcPr>
            <w:tcW w:w="659" w:type="dxa"/>
            <w:tcBorders>
              <w:bottom w:val="single" w:sz="4" w:space="0" w:color="000000"/>
              <w:end w:val="single" w:sz="4" w:space="0" w:color="000000"/>
            </w:tcBorders>
          </w:tcPr>
          <w:p>
            <w:pPr>
              <w:pStyle w:val="TableBody"/>
              <w:tabs>
                <w:tab w:val="clear" w:pos="720"/>
                <w:tab w:val="decimal" w:pos="330" w:leader="none"/>
              </w:tabs>
              <w:rPr>
                <w:lang w:eastAsia="en-US"/>
              </w:rPr>
            </w:pPr>
            <w:r>
              <w:rPr>
                <w:lang w:eastAsia="en-US"/>
              </w:rPr>
              <w:t>2.4%</w:t>
            </w:r>
          </w:p>
        </w:tc>
        <w:tc>
          <w:tcPr>
            <w:tcW w:w="781" w:type="dxa"/>
            <w:tcBorders>
              <w:bottom w:val="single" w:sz="4" w:space="0" w:color="000000"/>
            </w:tcBorders>
          </w:tcPr>
          <w:p>
            <w:pPr>
              <w:pStyle w:val="TableBody"/>
              <w:tabs>
                <w:tab w:val="clear" w:pos="720"/>
                <w:tab w:val="decimal" w:pos="571" w:leader="none"/>
              </w:tabs>
              <w:rPr>
                <w:lang w:eastAsia="en-US"/>
              </w:rPr>
            </w:pPr>
            <w:r>
              <w:rPr>
                <w:lang w:eastAsia="en-US"/>
              </w:rPr>
              <w:t>61,751</w:t>
            </w:r>
          </w:p>
        </w:tc>
        <w:tc>
          <w:tcPr>
            <w:tcW w:w="810" w:type="dxa"/>
            <w:tcBorders>
              <w:bottom w:val="single" w:sz="4" w:space="0" w:color="000000"/>
            </w:tcBorders>
          </w:tcPr>
          <w:p>
            <w:pPr>
              <w:pStyle w:val="TableBody"/>
              <w:tabs>
                <w:tab w:val="clear" w:pos="720"/>
                <w:tab w:val="decimal" w:pos="600" w:leader="none"/>
              </w:tabs>
              <w:rPr>
                <w:lang w:eastAsia="en-US"/>
              </w:rPr>
            </w:pPr>
            <w:r>
              <w:rPr>
                <w:lang w:eastAsia="en-US"/>
              </w:rPr>
              <w:t>64,164</w:t>
            </w:r>
          </w:p>
        </w:tc>
        <w:tc>
          <w:tcPr>
            <w:tcW w:w="720" w:type="dxa"/>
            <w:tcBorders>
              <w:bottom w:val="single" w:sz="4" w:space="0" w:color="000000"/>
              <w:end w:val="single" w:sz="4" w:space="0" w:color="000000"/>
            </w:tcBorders>
          </w:tcPr>
          <w:p>
            <w:pPr>
              <w:pStyle w:val="TableBody"/>
              <w:tabs>
                <w:tab w:val="clear" w:pos="720"/>
                <w:tab w:val="decimal" w:pos="240" w:leader="none"/>
              </w:tabs>
              <w:rPr>
                <w:lang w:eastAsia="en-US"/>
              </w:rPr>
            </w:pPr>
            <w:r>
              <w:rPr>
                <w:lang w:eastAsia="en-US"/>
              </w:rPr>
              <w:t>3.9%</w:t>
            </w:r>
          </w:p>
        </w:tc>
        <w:tc>
          <w:tcPr>
            <w:tcW w:w="720" w:type="dxa"/>
            <w:tcBorders>
              <w:bottom w:val="single" w:sz="4" w:space="0" w:color="000000"/>
            </w:tcBorders>
          </w:tcPr>
          <w:p>
            <w:pPr>
              <w:pStyle w:val="TableBody"/>
              <w:tabs>
                <w:tab w:val="clear" w:pos="720"/>
                <w:tab w:val="decimal" w:pos="330" w:leader="none"/>
              </w:tabs>
              <w:rPr>
                <w:lang w:eastAsia="en-US"/>
              </w:rPr>
            </w:pPr>
            <w:r>
              <w:rPr>
                <w:lang w:eastAsia="en-US"/>
              </w:rPr>
              <w:t>15.5%</w:t>
            </w:r>
          </w:p>
        </w:tc>
        <w:tc>
          <w:tcPr>
            <w:tcW w:w="810" w:type="dxa"/>
            <w:tcBorders>
              <w:bottom w:val="single" w:sz="4" w:space="0" w:color="000000"/>
              <w:end w:val="single" w:sz="4" w:space="0" w:color="000000"/>
            </w:tcBorders>
          </w:tcPr>
          <w:p>
            <w:pPr>
              <w:pStyle w:val="TableBody"/>
              <w:tabs>
                <w:tab w:val="clear" w:pos="720"/>
                <w:tab w:val="decimal" w:pos="330" w:leader="none"/>
              </w:tabs>
              <w:rPr>
                <w:lang w:eastAsia="en-US"/>
              </w:rPr>
            </w:pPr>
            <w:r>
              <w:rPr>
                <w:lang w:eastAsia="en-US"/>
              </w:rPr>
              <w:t>16.8%</w:t>
            </w:r>
          </w:p>
        </w:tc>
      </w:tr>
    </w:tbl>
    <w:p>
      <w:pPr>
        <w:pStyle w:val="TableFooter"/>
        <w:pBdr>
          <w:bottom w:val="single" w:sz="4" w:space="1" w:color="000000"/>
        </w:pBdr>
        <w:rPr/>
      </w:pPr>
      <w:r>
        <w:rPr/>
        <w:t>Source: NERC’s Summer 2001 Assessment</w:t>
      </w:r>
    </w:p>
    <w:p>
      <w:pPr>
        <w:pStyle w:val="Text"/>
        <w:rPr/>
      </w:pPr>
      <w:r>
        <w:rPr/>
      </w:r>
    </w:p>
    <w:p>
      <w:pPr>
        <w:pStyle w:val="Text"/>
        <w:rPr/>
      </w:pPr>
      <w:r>
        <w:rPr/>
      </w:r>
    </w:p>
    <w:p>
      <w:pPr>
        <w:pStyle w:val="Head2"/>
        <w:rPr/>
      </w:pPr>
      <w:r>
        <w:rPr/>
        <w:t>Brazilian Government Announces Energy Rationing Measures</w:t>
      </w:r>
    </w:p>
    <w:p>
      <w:pPr>
        <w:pStyle w:val="Text"/>
        <w:rPr/>
      </w:pPr>
      <w:r>
        <w:rPr>
          <w:i/>
        </w:rPr>
        <w:t>Below we include excerpts from a note issued by our Latin American Utilities analyst—Zeca Mondonca.  The note summarized electricity rationing measures announced by the Brazilian government on Friday (5/18).  This action is being taken in response to Brail’s severe power shortage, which has resulted from extremely low hydro power plant availability.  About 90% of the country’s generation capacity is hydro powered.  Zeca can be reached directly on 55-11/3841-6312.</w:t>
      </w:r>
    </w:p>
    <w:p>
      <w:pPr>
        <w:pStyle w:val="Text"/>
        <w:rPr/>
      </w:pPr>
      <w:r>
        <w:rPr>
          <w:i/>
        </w:rPr>
        <w:t>This news is particularly relevant for AES Corp., which derives nearly 25% of its earnings from Brazil.  Since April 2, AES shares have fallen 8% partly due to concerns surrounding power rationing proposals and their resulting earnings impact.  Management has refrained from isolating the specific EPS impact of rationing on AES.  Instead, it has emphasized that upside in other parts of its asset portfolio should offset any negative impact on consolidated earnings.  See our First Call note dated May 14, 2001 for further details.</w:t>
      </w:r>
    </w:p>
    <w:p>
      <w:pPr>
        <w:pStyle w:val="Text"/>
        <w:rPr/>
      </w:pPr>
      <w:r>
        <w:rPr/>
        <w:t>The energy rationing measures adopted aim to achieve a 22% reduction in residential consumption - without cuts - 15% in industrial consumption and approximately 25% in commercial consumption.  The decision not to implement “black-outs” for the time being aims to avoid the political disaster of the original proposal.  However, the energy shortage problem is a serious one, and failure to reduce consumption may lead to energy cuts as early as August - critical drought period in the Southeast and Northeast regions.</w:t>
      </w:r>
    </w:p>
    <w:p>
      <w:pPr>
        <w:pStyle w:val="Text"/>
        <w:rPr/>
      </w:pPr>
      <w:r>
        <w:rPr>
          <w:b/>
        </w:rPr>
        <w:t xml:space="preserve">Short-term objective (next six months) - </w:t>
      </w:r>
      <w:r>
        <w:rPr>
          <w:b/>
          <w:u w:val="single"/>
        </w:rPr>
        <w:t>reduce demand</w:t>
      </w:r>
      <w:r>
        <w:rPr>
          <w:b/>
        </w:rPr>
        <w:t>:</w:t>
      </w:r>
    </w:p>
    <w:p>
      <w:pPr>
        <w:pStyle w:val="Text"/>
        <w:rPr/>
      </w:pPr>
      <w:r>
        <w:rPr>
          <w:b/>
        </w:rPr>
        <w:t>1.  Residential consumers broken down by four consumption brackets:</w:t>
      </w:r>
      <w:r>
        <w:rPr/>
        <w:t xml:space="preserve"> (a) up to 100 kWh/month; (b) 101 to 200 kWh/month; (c) 201 to 500 kWh/month; and (d) higher than 501 kWh/month.  Establishes a system of quotas of 80% of the average monthly consumption in the months May/June/July of the year 2000.  A system of quotas will be implemented for those consuming above 201 kWh/month:</w:t>
      </w:r>
    </w:p>
    <w:p>
      <w:pPr>
        <w:pStyle w:val="Text"/>
        <w:numPr>
          <w:ilvl w:val="0"/>
          <w:numId w:val="10"/>
        </w:numPr>
        <w:tabs>
          <w:tab w:val="clear" w:pos="720"/>
          <w:tab w:val="left" w:pos="1080" w:leader="none"/>
        </w:tabs>
        <w:ind w:hanging="360" w:start="1080" w:end="0"/>
        <w:rPr/>
      </w:pPr>
      <w:r>
        <w:rPr>
          <w:b/>
        </w:rPr>
        <w:t>Penalties, higher tariffs:</w:t>
      </w:r>
      <w:r>
        <w:rPr/>
        <w:t xml:space="preserve"> those consumers reducing their consumption below the quota will receive a credit bonus in their next electricity bill, and those who exceed the quota consumption will be required to pay higher tariffs: Those in the two lowest consumption brackets (a) and (b) above will be exempt from the system of quotas; (c) pay 50% above the regular residential tariff of R$ 0.18/kWh; and (d) will pay 200% higher than the normal tariff.</w:t>
      </w:r>
    </w:p>
    <w:p>
      <w:pPr>
        <w:pStyle w:val="Text"/>
        <w:numPr>
          <w:ilvl w:val="0"/>
          <w:numId w:val="6"/>
        </w:numPr>
        <w:tabs>
          <w:tab w:val="clear" w:pos="720"/>
          <w:tab w:val="left" w:pos="1080" w:leader="none"/>
        </w:tabs>
        <w:ind w:hanging="360" w:start="1080" w:end="0"/>
        <w:rPr/>
      </w:pPr>
      <w:r>
        <w:rPr>
          <w:b/>
        </w:rPr>
        <w:t>Bonus:</w:t>
      </w:r>
      <w:r>
        <w:rPr/>
        <w:t xml:space="preserve">  Those in the lowest consumption bracket (a) will receive a bonus of R$ 2 for each R$ 1 saved in the electricity bill; for the remaining consumers, any consumption below the quota will receive "up to" R$1 for each R$ saved during the next six months.  The actual bonus will be defined based on the "funds" raised with the higher tariffs - the idea is to balance the resources among the residential segment.</w:t>
      </w:r>
    </w:p>
    <w:p>
      <w:pPr>
        <w:pStyle w:val="Text"/>
        <w:rPr/>
      </w:pPr>
      <w:r>
        <w:rPr>
          <w:b/>
        </w:rPr>
        <w:t xml:space="preserve">2.  Small industrial/commercial energy users - Low voltage: </w:t>
      </w:r>
      <w:r>
        <w:rPr/>
        <w:t>A system of quotas of 80% will be implemented.  Any consumption above that level will be charged based on the wholesale market / MAE referential price.  If a consumer is able to save more energy, consuming below his quota, he will be able to "sell" that energy back to the system at the same price.  The wholesale market will have regular "auctions" of blocks of energy to reflect the water/availability conditions;</w:t>
      </w:r>
    </w:p>
    <w:p>
      <w:pPr>
        <w:pStyle w:val="Text"/>
        <w:rPr/>
      </w:pPr>
      <w:r>
        <w:rPr>
          <w:b/>
        </w:rPr>
        <w:t>3.  Large industrial/commercial users - High voltage:</w:t>
      </w:r>
      <w:r>
        <w:rPr/>
        <w:t xml:space="preserve"> A system of quotas of 75-85% will be implemented.  Each industry, based on the level of labor employment intensity, will have a specific goal.  Electric intensive users, such as the aluminum industry, should suffer the highest cuts.  Any consumption requirement above that level will have to be negotiated in the wholesale market / MAE, or have the supply cut.  If a consumer is able to save more energy, consuming below his quota, he will be able to "sell" that energy back to the system at the same price in the wholesale market, or keep a "credit of energy" able to be consumed later in the year.  They must, however, always have a "positive" balance in this "energy account" with the distribution companies.</w:t>
      </w:r>
    </w:p>
    <w:p>
      <w:pPr>
        <w:pStyle w:val="Text"/>
        <w:rPr>
          <w:b/>
        </w:rPr>
      </w:pPr>
      <w:r>
        <w:rPr>
          <w:b/>
        </w:rPr>
        <w:t>Medium/Long-term Objectives</w:t>
      </w:r>
    </w:p>
    <w:p>
      <w:pPr>
        <w:pStyle w:val="Text"/>
        <w:rPr/>
      </w:pPr>
      <w:r>
        <w:rPr>
          <w:i/>
        </w:rPr>
        <w:t>The government did not announce any measure related to the medium/long-term objective (next 12 to 36 months) to increase supply.  We expect the government to announce some new guidelines in the next week, along the lines of the ideas below:</w:t>
      </w:r>
    </w:p>
    <w:p>
      <w:pPr>
        <w:pStyle w:val="Text"/>
        <w:rPr/>
      </w:pPr>
      <w:r>
        <w:rPr>
          <w:b/>
        </w:rPr>
        <w:t>1.  Higher availability of funding to finance expansion - BNDES:</w:t>
      </w:r>
      <w:r>
        <w:rPr/>
        <w:t xml:space="preserve"> the government has authorized the Brazilian Development Bank (BNDES) to offer special credit lines for projects (especially thermo power plants) with the potential to speed up the availability of additional capacity in the energy grid;</w:t>
      </w:r>
    </w:p>
    <w:p>
      <w:pPr>
        <w:pStyle w:val="Text"/>
        <w:rPr/>
      </w:pPr>
      <w:r>
        <w:rPr>
          <w:b/>
        </w:rPr>
        <w:t xml:space="preserve">2.  Tax incentives: </w:t>
      </w:r>
      <w:r>
        <w:rPr/>
        <w:t>the government will offer tax incentives for expansion projects, thereby reducing the tax burden on machinery/equipment produced domestically and imported;</w:t>
      </w:r>
    </w:p>
    <w:p>
      <w:pPr>
        <w:pStyle w:val="Text"/>
        <w:rPr/>
      </w:pPr>
      <w:r>
        <w:rPr>
          <w:b/>
        </w:rPr>
        <w:t>3.  Long-term PPA Power Purchasing Agreements:</w:t>
      </w:r>
      <w:r>
        <w:rPr/>
        <w:t xml:space="preserve"> the government authorizes Eletrobras to sign PPA Power Purchasing Agreements with FX hedge for the new thermoelectric projects in Brazil;</w:t>
      </w:r>
    </w:p>
    <w:p>
      <w:pPr>
        <w:pStyle w:val="Text"/>
        <w:rPr/>
      </w:pPr>
      <w:r>
        <w:rPr>
          <w:b/>
        </w:rPr>
        <w:t>4.  Gas supply contracts:</w:t>
      </w:r>
      <w:r>
        <w:rPr/>
        <w:t xml:space="preserve"> the government authorizes Petrobras to sign contracts for the supply of gas to thermo power plants at a value fixed in Reais - corrected only once a year, thereby reducing the impact of FX variation during the year;</w:t>
      </w:r>
    </w:p>
    <w:p>
      <w:pPr>
        <w:pStyle w:val="Text"/>
        <w:rPr/>
      </w:pPr>
      <w:r>
        <w:rPr>
          <w:b/>
        </w:rPr>
        <w:t>5.  Speed up construction of transmission projects:</w:t>
      </w:r>
      <w:r>
        <w:rPr/>
        <w:t xml:space="preserve"> the government is expected to accelerate the process of construction of new transmission lines interlinking the S/SE and N/NE regions;</w:t>
      </w:r>
    </w:p>
    <w:p>
      <w:pPr>
        <w:pStyle w:val="Text"/>
        <w:rPr/>
      </w:pPr>
      <w:r>
        <w:rPr>
          <w:b/>
        </w:rPr>
        <w:t>6.  Speed up process of obtaining environmental licenses for energy expansion projects:</w:t>
      </w:r>
      <w:r>
        <w:rPr/>
        <w:t xml:space="preserve"> the government is expected to work together with Ibama (Brazilian Environment Institute) to accelerate the process of approval of new plants and transmission lines;</w:t>
      </w:r>
    </w:p>
    <w:p>
      <w:pPr>
        <w:pStyle w:val="Head2"/>
        <w:rPr/>
      </w:pPr>
      <w:r>
        <w:rPr/>
      </w:r>
    </w:p>
    <w:p>
      <w:pPr>
        <w:pStyle w:val="Head2"/>
        <w:rPr/>
      </w:pPr>
      <w:r>
        <w:rPr/>
        <w:t>Debt Market Update</w:t>
      </w:r>
    </w:p>
    <w:p>
      <w:pPr>
        <w:pStyle w:val="Text"/>
        <w:rPr>
          <w:i/>
          <w:i/>
        </w:rPr>
      </w:pPr>
      <w:r>
        <w:rPr>
          <w:i/>
        </w:rPr>
        <w:t xml:space="preserve">For this section we asked Andy Brooks, our fixed income analyst, to provide an IPP debt market update.  We have found Andy to be an excellent resource and we encourage you to call him with any questions (212/325-3014).  </w:t>
      </w:r>
    </w:p>
    <w:p>
      <w:pPr>
        <w:pStyle w:val="Text"/>
        <w:rPr>
          <w:i/>
          <w:i/>
        </w:rPr>
      </w:pPr>
      <w:r>
        <w:rPr>
          <w:i/>
        </w:rPr>
        <w:t>From an equity perspective, we believe it is useful to monitor the trading activity of these companies’ fixed income securities.  On the whole, the long-term sustainability of these growth stories depends on an IPP’s ability to identify new investment opportunities as well as its ability to attract funding (both debt and equity) on reasonable terms.</w:t>
      </w:r>
    </w:p>
    <w:p>
      <w:pPr>
        <w:pStyle w:val="Text"/>
        <w:rPr>
          <w:b/>
        </w:rPr>
      </w:pPr>
      <w:r>
        <w:rPr>
          <w:b/>
        </w:rPr>
        <w:t xml:space="preserve">From the Desk of Andy Brooks </w:t>
      </w:r>
    </w:p>
    <w:p>
      <w:pPr>
        <w:pStyle w:val="Text"/>
        <w:rPr/>
      </w:pPr>
      <w:r>
        <w:rPr/>
        <w:t xml:space="preserve">Investment grade rated NRG and Mirant further consolidated recent trading gains, while non-investment grade rated Calpine and AES weakened somewhat over the course of the past week. </w:t>
      </w:r>
    </w:p>
    <w:p>
      <w:pPr>
        <w:pStyle w:val="Text"/>
        <w:numPr>
          <w:ilvl w:val="0"/>
          <w:numId w:val="3"/>
        </w:numPr>
        <w:rPr/>
      </w:pPr>
      <w:r>
        <w:rPr/>
        <w:t xml:space="preserve">The </w:t>
      </w:r>
      <w:r>
        <w:rPr>
          <w:b/>
        </w:rPr>
        <w:t>NRG</w:t>
      </w:r>
      <w:r>
        <w:rPr/>
        <w:t xml:space="preserve"> (Baa3/BBB-) 7.75% 10-year (issued April 2 at +282 bps) traded in another 10 bps to close the week at +225 bps bid. </w:t>
      </w:r>
    </w:p>
    <w:p>
      <w:pPr>
        <w:pStyle w:val="Text"/>
        <w:numPr>
          <w:ilvl w:val="0"/>
          <w:numId w:val="3"/>
        </w:numPr>
        <w:rPr/>
      </w:pPr>
      <w:r>
        <w:rPr/>
        <w:t xml:space="preserve">The </w:t>
      </w:r>
      <w:r>
        <w:rPr>
          <w:b/>
        </w:rPr>
        <w:t>Mirant</w:t>
      </w:r>
      <w:r>
        <w:rPr/>
        <w:t xml:space="preserve"> (Baa2/BBB-) 7.90% due 2009 closed the week at +270 bps bid, propelled in part by the strong performance of the newly issued debt of subsidiary Mirant Americas Generating (Baa3/BBB-) which has now tightened in 38 bps in 10 years from its +315 new issue spread to +277 bps bid. </w:t>
      </w:r>
    </w:p>
    <w:p>
      <w:pPr>
        <w:pStyle w:val="Text"/>
        <w:numPr>
          <w:ilvl w:val="0"/>
          <w:numId w:val="3"/>
        </w:numPr>
        <w:rPr/>
      </w:pPr>
      <w:r>
        <w:rPr/>
        <w:t xml:space="preserve">The </w:t>
      </w:r>
      <w:r>
        <w:rPr>
          <w:b/>
        </w:rPr>
        <w:t>AES</w:t>
      </w:r>
      <w:r>
        <w:rPr/>
        <w:t xml:space="preserve"> (Ba1/BB) 8.875% 10-year weakened by 15 bps over the course of the week, reacting to weakness in AES’ stock price and nagging concerns over the company’s Brazilian and Argentine exposure. </w:t>
      </w:r>
    </w:p>
    <w:p>
      <w:pPr>
        <w:pStyle w:val="Text"/>
        <w:numPr>
          <w:ilvl w:val="0"/>
          <w:numId w:val="3"/>
        </w:numPr>
        <w:rPr/>
      </w:pPr>
      <w:r>
        <w:rPr>
          <w:b/>
        </w:rPr>
        <w:t>Calpine</w:t>
      </w:r>
      <w:r>
        <w:rPr/>
        <w:t xml:space="preserve"> (Ba1/BB+/BBB-), too, lost ground during the week with its 8.50% 10-year closing at +322 bps bid (26 bps wide of recent tights) with investors seeming to want to take a breather from the full extent of recently issued “genco” paper which has recently come to the new issue market.    </w:t>
      </w:r>
    </w:p>
    <w:p>
      <w:pPr>
        <w:pStyle w:val="Text"/>
        <w:rPr/>
      </w:pPr>
      <w:r>
        <w:rPr/>
      </w:r>
    </w:p>
    <w:p>
      <w:pPr>
        <w:pStyle w:val="Text"/>
        <w:rPr>
          <w:i/>
          <w:i/>
        </w:rPr>
      </w:pPr>
      <w:r>
        <w:rPr>
          <w:i/>
        </w:rPr>
      </w:r>
    </w:p>
    <w:p>
      <w:pPr>
        <w:pStyle w:val="Text"/>
        <w:rPr>
          <w:i/>
          <w:i/>
        </w:rPr>
      </w:pPr>
      <w:r>
        <w:rPr>
          <w:i/>
        </w:rPr>
      </w:r>
    </w:p>
    <w:p>
      <w:pPr>
        <w:sectPr>
          <w:headerReference w:type="default" r:id="rId11"/>
          <w:footerReference w:type="default" r:id="rId12"/>
          <w:type w:val="nextPage"/>
          <w:pgSz w:w="12240" w:h="15840"/>
          <w:pgMar w:left="3150" w:right="1195" w:gutter="0" w:header="547" w:top="1440" w:footer="360" w:bottom="1080"/>
          <w:pgNumType w:fmt="decimal"/>
          <w:formProt w:val="false"/>
          <w:textDirection w:val="lrTb"/>
          <w:docGrid w:type="default" w:linePitch="360" w:charSpace="0"/>
        </w:sectPr>
        <w:pStyle w:val="Text"/>
        <w:rPr/>
      </w:pPr>
      <w:r>
        <w:rPr/>
      </w:r>
    </w:p>
    <w:p>
      <w:pPr>
        <w:pStyle w:val="Head1"/>
        <w:rPr/>
      </w:pPr>
      <w:r>
        <w:rPr/>
        <w:t xml:space="preserve">Recent Headlines </w:t>
      </w:r>
    </w:p>
    <w:p>
      <w:pPr>
        <w:pStyle w:val="Text"/>
        <w:keepNext w:val="true"/>
        <w:numPr>
          <w:ilvl w:val="0"/>
          <w:numId w:val="11"/>
        </w:numPr>
        <w:tabs>
          <w:tab w:val="clear" w:pos="720"/>
          <w:tab w:val="left" w:pos="360" w:leader="none"/>
        </w:tabs>
        <w:rPr>
          <w:b/>
          <w:color w:val="000000"/>
          <w:sz w:val="22"/>
        </w:rPr>
      </w:pPr>
      <w:r>
        <w:rPr>
          <w:b/>
          <w:color w:val="000000"/>
          <w:sz w:val="22"/>
        </w:rPr>
        <w:t>Calpine Makes Three New Business Announcements</w:t>
      </w:r>
    </w:p>
    <w:p>
      <w:pPr>
        <w:pStyle w:val="Normal"/>
        <w:jc w:val="start"/>
        <w:rPr/>
      </w:pPr>
      <w:r>
        <w:rPr>
          <w:b/>
        </w:rPr>
        <w:t>Overview:</w:t>
      </w:r>
      <w:r>
        <w:rPr/>
        <w:t xml:space="preserve">  On May 15, Calpine announced that it entered into an agreement to build, own and operate a 1,030 MW gas-fired power plant in Michigan.  The proposed $500 million Berrien Energy Center is CPN's first Michigan development project.  Calpine entered the agreement with CME North American Merchant Energy, which had initiated development efforts.  The project has a target commercial operation date of 2004. </w:t>
      </w:r>
    </w:p>
    <w:p>
      <w:pPr>
        <w:pStyle w:val="Normal"/>
        <w:jc w:val="start"/>
        <w:rPr/>
      </w:pPr>
      <w:r>
        <w:rPr/>
        <w:t>In its second announcement of the day, Calpine announced it would acquire two power plants in Canada from Westcoast Energy Inc.  These plants, representing 275 MW, will cost Calpine approximately USD 255 million.  The first is a 250 MW gas-fired facility located in British Columbia that will begin operation in June 2001.  This facility will sell its output to BC Hydro under a 20-year PPA and steam to Norske Skog under a 15-year contract.  The second facility, located in Ontario, is a 50 MW cogeneration facility that entered operation in 1998.  CPN will own a 50% interest in this unit.  The acquisition is expected to close in the third quarter of this year.</w:t>
      </w:r>
    </w:p>
    <w:p>
      <w:pPr>
        <w:pStyle w:val="Normal"/>
        <w:jc w:val="start"/>
        <w:rPr/>
      </w:pPr>
      <w:r>
        <w:rPr/>
        <w:t xml:space="preserve">Finally, Calpine announced an acquisition of WRMS Engineering, an engineering, construction, and project management company that specializes in designing and engineering facilities high quality distributed generating capacity necessary for the digital economy.  This acquisition will add over 100 engineering professionals and should nicely complement Calpine’s c*Power unit.  </w:t>
      </w:r>
    </w:p>
    <w:p>
      <w:pPr>
        <w:pStyle w:val="Text"/>
        <w:keepNext w:val="true"/>
        <w:numPr>
          <w:ilvl w:val="0"/>
          <w:numId w:val="11"/>
        </w:numPr>
        <w:tabs>
          <w:tab w:val="clear" w:pos="720"/>
          <w:tab w:val="left" w:pos="360" w:leader="none"/>
        </w:tabs>
        <w:rPr>
          <w:b/>
          <w:color w:val="000000"/>
          <w:sz w:val="22"/>
        </w:rPr>
      </w:pPr>
      <w:r>
        <w:rPr>
          <w:b/>
          <w:color w:val="000000"/>
          <w:sz w:val="22"/>
        </w:rPr>
        <w:t>AES Refinances Tiete Debt</w:t>
      </w:r>
    </w:p>
    <w:p>
      <w:pPr>
        <w:pStyle w:val="Normal"/>
        <w:jc w:val="start"/>
        <w:rPr/>
      </w:pPr>
      <w:r>
        <w:rPr>
          <w:b/>
        </w:rPr>
        <w:t>Overview:</w:t>
      </w:r>
      <w:r>
        <w:rPr/>
        <w:t xml:space="preserve">  AES announced on May 16 that it closed a $300 million 15-year bond offering at 11.50% to refinance debt at Tiete.  Tiete is a Brazilian hydroelectric generation company that consists of ten facilities with a capacity of 2,651 MW.  The financing was facilitated by both inconvertibility and devaluation insurance coverage issued by the United States Overseas Private Investment Corporation (OPIC). </w:t>
      </w:r>
    </w:p>
    <w:p>
      <w:pPr>
        <w:pStyle w:val="Text"/>
        <w:keepNext w:val="true"/>
        <w:numPr>
          <w:ilvl w:val="0"/>
          <w:numId w:val="11"/>
        </w:numPr>
        <w:tabs>
          <w:tab w:val="clear" w:pos="720"/>
          <w:tab w:val="left" w:pos="360" w:leader="none"/>
        </w:tabs>
        <w:rPr>
          <w:b/>
          <w:color w:val="000000"/>
          <w:sz w:val="22"/>
        </w:rPr>
      </w:pPr>
      <w:r>
        <w:rPr>
          <w:b/>
          <w:color w:val="000000"/>
          <w:sz w:val="22"/>
        </w:rPr>
        <w:t>AES NewEnergy Wins Contract in New York</w:t>
      </w:r>
    </w:p>
    <w:p>
      <w:pPr>
        <w:pStyle w:val="Normal"/>
        <w:jc w:val="start"/>
        <w:rPr/>
      </w:pPr>
      <w:r>
        <w:rPr>
          <w:b/>
        </w:rPr>
        <w:t>Overview:</w:t>
      </w:r>
      <w:r>
        <w:rPr/>
        <w:t xml:space="preserve">  AES NewEnergy signed a 50 MW supply contract with the US General Services Administration for federal sites in NYC and Westchester County.  The contract length is in excess of two years.</w:t>
      </w:r>
    </w:p>
    <w:p>
      <w:pPr>
        <w:pStyle w:val="Text"/>
        <w:keepNext w:val="true"/>
        <w:numPr>
          <w:ilvl w:val="0"/>
          <w:numId w:val="11"/>
        </w:numPr>
        <w:tabs>
          <w:tab w:val="clear" w:pos="720"/>
          <w:tab w:val="left" w:pos="360" w:leader="none"/>
        </w:tabs>
        <w:rPr>
          <w:b/>
          <w:color w:val="000000"/>
          <w:sz w:val="22"/>
        </w:rPr>
      </w:pPr>
      <w:r>
        <w:rPr>
          <w:b/>
          <w:color w:val="000000"/>
          <w:sz w:val="22"/>
        </w:rPr>
        <w:t>CMS Plans Peaker in Illinois</w:t>
      </w:r>
    </w:p>
    <w:p>
      <w:pPr>
        <w:pStyle w:val="Normal"/>
        <w:jc w:val="start"/>
        <w:rPr/>
      </w:pPr>
      <w:r>
        <w:rPr>
          <w:b/>
        </w:rPr>
        <w:t>Overview:</w:t>
      </w:r>
      <w:r>
        <w:rPr/>
        <w:t xml:space="preserve">  It was reported on May 15 that CMS Energy (56%) and EnerStar Power (44%) proposed a 400 MW gas-fired peaker in east central Illinois.  200 MW of the planned $160 million project is expected to come on-line in May 2002.  The remainder will begin operation by May 2004.  </w:t>
      </w:r>
    </w:p>
    <w:p>
      <w:pPr>
        <w:pStyle w:val="NB"/>
        <w:pBdr>
          <w:top w:val="single" w:sz="4" w:space="1" w:color="000000"/>
        </w:pBdr>
        <w:spacing w:before="0" w:after="60"/>
        <w:rPr/>
      </w:pPr>
      <w:r>
        <w:rPr>
          <w:b/>
        </w:rPr>
        <w:t>N.B.:</w:t>
      </w:r>
      <w:r>
        <w:rPr/>
        <w:t xml:space="preserve"> CREDIT SUISSE FIRST BOSTON CORPORATION may have, within the last three years, served as a manager or co-manager of a public offering of securities for or makes a primary market in issues of any or all of the companies mentioned.</w:t>
      </w:r>
    </w:p>
    <w:p>
      <w:pPr>
        <w:sectPr>
          <w:headerReference w:type="default" r:id="rId13"/>
          <w:headerReference w:type="first" r:id="rId14"/>
          <w:footerReference w:type="default" r:id="rId15"/>
          <w:footerReference w:type="first" r:id="rId16"/>
          <w:type w:val="nextPage"/>
          <w:pgSz w:w="12240" w:h="15840"/>
          <w:pgMar w:left="3150" w:right="1195" w:gutter="0" w:header="547" w:top="1440" w:footer="360" w:bottom="1080"/>
          <w:pgNumType w:fmt="decimal"/>
          <w:formProt w:val="false"/>
          <w:textDirection w:val="lrTb"/>
          <w:docGrid w:type="default" w:linePitch="360" w:charSpace="0"/>
        </w:sectPr>
        <w:pStyle w:val="NB"/>
        <w:pBdr>
          <w:top w:val="nil"/>
        </w:pBdr>
        <w:spacing w:before="0" w:after="60"/>
        <w:rPr/>
      </w:pPr>
      <w:r>
        <w:rPr/>
        <w:t xml:space="preserve">Companies mentioned: AES Corporation (AES, $45.75, Strong Buy), Calpine (CPN, $54.65, Strong Buy), Dynegy (DYN), Edison International (EIX, $11.74, Hold), International Power (IPR), NRG Energy (NRG, $34.25, Buy), Orion Power (ORN, $31.35, Restricted), PG&amp;E (PCG, $11.64, Hold), Mirant Corporation (MIR, $45.44, Buy), CMS Energy </w:t>
      </w:r>
    </w:p>
    <w:p>
      <w:pPr>
        <w:pStyle w:val="CameraReadyTableTitle"/>
        <w:pBdr>
          <w:bottom w:val="single" w:sz="4" w:space="1" w:color="000000"/>
        </w:pBdr>
        <w:rPr>
          <w:i/>
          <w:i/>
        </w:rPr>
      </w:pPr>
      <w:r>
        <w:rPr>
          <w:i/>
        </w:rPr>
        <w:t xml:space="preserve">Exhibit 9: </w:t>
      </w:r>
      <w:r>
        <w:rPr/>
        <w:t>Independent Power Producer Valuation</w:t>
      </w:r>
    </w:p>
    <w:p>
      <w:pPr>
        <w:pStyle w:val="CameraReadyTableTitle"/>
        <w:rPr>
          <w:i/>
          <w:i/>
        </w:rPr>
      </w:pPr>
      <w:r>
        <w:rPr>
          <w:i/>
        </w:rPr>
      </w:r>
    </w:p>
    <w:p>
      <w:pPr>
        <w:sectPr>
          <w:headerReference w:type="default" r:id="rId18"/>
          <w:headerReference w:type="first" r:id="rId19"/>
          <w:footerReference w:type="default" r:id="rId20"/>
          <w:footerReference w:type="first" r:id="rId21"/>
          <w:type w:val="nextPage"/>
          <w:pgSz w:orient="landscape" w:w="15840" w:h="12240"/>
          <w:pgMar w:left="1080" w:right="1627" w:gutter="0" w:header="547" w:top="1710" w:footer="360" w:bottom="1195"/>
          <w:pgNumType w:fmt="decimal"/>
          <w:formProt w:val="false"/>
          <w:textDirection w:val="lrTb"/>
          <w:docGrid w:type="default" w:linePitch="360" w:charSpace="0"/>
        </w:sectPr>
        <w:pStyle w:val="CameraReadyTableTitle"/>
        <w:rPr>
          <w:i/>
          <w:i/>
        </w:rPr>
      </w:pPr>
      <w:r>
        <w:rPr>
          <w:i/>
        </w:rPr>
        <w:drawing>
          <wp:inline distT="0" distB="0" distL="0" distR="0">
            <wp:extent cx="8338820" cy="5549900"/>
            <wp:effectExtent l="0" t="0" r="0" b="0"/>
            <wp:docPr id="9"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title=""/>
                    <pic:cNvPicPr>
                      <a:picLocks noChangeAspect="1" noChangeArrowheads="1"/>
                    </pic:cNvPicPr>
                  </pic:nvPicPr>
                  <pic:blipFill>
                    <a:blip r:embed="rId17"/>
                    <a:srcRect l="-3" t="-5" r="-3" b="-5"/>
                    <a:stretch>
                      <a:fillRect/>
                    </a:stretch>
                  </pic:blipFill>
                  <pic:spPr bwMode="auto">
                    <a:xfrm>
                      <a:off x="0" y="0"/>
                      <a:ext cx="8338820" cy="5549900"/>
                    </a:xfrm>
                    <a:prstGeom prst="rect">
                      <a:avLst/>
                    </a:prstGeom>
                    <a:noFill/>
                  </pic:spPr>
                </pic:pic>
              </a:graphicData>
            </a:graphic>
          </wp:inline>
        </w:drawing>
      </w:r>
    </w:p>
    <w:p>
      <w:pPr>
        <w:pStyle w:val="Head1"/>
        <w:spacing w:before="0" w:after="60"/>
        <w:rPr/>
      </w:pPr>
      <w:r>
        <w:rPr/>
        <w:t>Power Pricing Trends</w:t>
      </w:r>
    </w:p>
    <w:p>
      <w:pPr>
        <w:pStyle w:val="CameraReadyTableTitle"/>
        <w:pBdr>
          <w:top w:val="single" w:sz="6" w:space="1" w:color="000000"/>
          <w:left w:val="single" w:sz="6" w:space="4" w:color="000000"/>
          <w:bottom w:val="single" w:sz="6" w:space="1" w:color="000000"/>
          <w:right w:val="single" w:sz="6" w:space="4" w:color="000000"/>
        </w:pBdr>
        <w:spacing w:before="0" w:after="80"/>
        <w:rPr/>
      </w:pPr>
      <w:r>
        <w:rPr>
          <w:b w:val="false"/>
          <w:i/>
        </w:rPr>
        <w:t>In this section we include power market commentary for selected US regions, adopted primarily from Platts Daily Price Report, published by the McGraw-Hill Companies.  The prices quoted are for previous day trades to be delivered on that day.</w:t>
      </w:r>
    </w:p>
    <w:p>
      <w:pPr>
        <w:pStyle w:val="CameraReadyTableTitle"/>
        <w:pBdr>
          <w:top w:val="single" w:sz="6" w:space="1" w:color="000000"/>
          <w:left w:val="single" w:sz="6" w:space="4" w:color="000000"/>
          <w:bottom w:val="single" w:sz="6" w:space="1" w:color="000000"/>
          <w:right w:val="single" w:sz="6" w:space="4" w:color="000000"/>
        </w:pBdr>
        <w:rPr/>
      </w:pPr>
      <w:r>
        <w:rPr>
          <w:i/>
        </w:rPr>
        <w:t>Overview:</w:t>
      </w:r>
      <w:r>
        <w:rPr>
          <w:b w:val="false"/>
          <w:i/>
        </w:rPr>
        <w:t xml:space="preserve"> Over the course of the week power prices plummeted across most of the country as evidenced by the 41% drop in the Mirant National Power Index.  Primary drivers included mild weather and generation units coming back online after the spring maintenance season.  The Texas (ERCOT) region and parts of the Midwest bucked the trend with relative pricing strength.</w:t>
      </w:r>
    </w:p>
    <w:p>
      <w:pPr>
        <w:pStyle w:val="Text"/>
        <w:tabs>
          <w:tab w:val="clear" w:pos="720"/>
          <w:tab w:val="left" w:pos="2790" w:leader="none"/>
        </w:tabs>
        <w:spacing w:before="80" w:after="0"/>
        <w:rPr/>
      </w:pPr>
      <w:r>
        <w:rPr>
          <w:i/>
        </w:rPr>
        <w:t>Factor Grid</w:t>
      </w:r>
      <w:r>
        <w:rPr/>
        <w:t xml:space="preserve"> below, we attempt to illustrate the effects of certain key drivers on power prices in selected regions of the United States.  On the Y-axis, we list 8 power price drivers.  On the X-axis, we list 8 discrete power markets.  The arrows indicate the general effect of the driver on prices.  </w:t>
      </w:r>
    </w:p>
    <w:p>
      <w:pPr>
        <w:pStyle w:val="CameraReadyTableTitle"/>
        <w:spacing w:before="120" w:after="0"/>
        <w:rPr>
          <w:i/>
          <w:i/>
        </w:rPr>
      </w:pPr>
      <w:r>
        <w:rPr>
          <w:i/>
        </w:rPr>
        <w:t>Exhibit 10:  CSFB’s Market Factor Grid</w:t>
      </w:r>
    </w:p>
    <w:p>
      <w:pPr>
        <w:pStyle w:val="CameraReadyTableSubtitle"/>
        <w:spacing w:before="0" w:after="60"/>
        <w:rPr/>
      </w:pPr>
      <w:r>
        <w:rPr/>
        <w:t>$ per Mwh</w:t>
      </w:r>
    </w:p>
    <w:p>
      <w:pPr>
        <w:pStyle w:val="Text"/>
        <w:pBdr>
          <w:bottom w:val="single" w:sz="4" w:space="1" w:color="000000"/>
        </w:pBdr>
        <w:tabs>
          <w:tab w:val="clear" w:pos="720"/>
          <w:tab w:val="left" w:pos="2790" w:leader="none"/>
        </w:tabs>
        <w:spacing w:before="0" w:after="80"/>
        <w:jc w:val="center"/>
        <w:rPr>
          <w:b/>
        </w:rPr>
      </w:pPr>
      <w:r>
        <w:rPr>
          <w:b/>
        </w:rPr>
        <w:drawing>
          <wp:inline distT="0" distB="0" distL="0" distR="0">
            <wp:extent cx="4851400" cy="3015615"/>
            <wp:effectExtent l="0" t="0" r="0" b="0"/>
            <wp:docPr id="10"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 descr="" title=""/>
                    <pic:cNvPicPr>
                      <a:picLocks noChangeAspect="1" noChangeArrowheads="1"/>
                    </pic:cNvPicPr>
                  </pic:nvPicPr>
                  <pic:blipFill>
                    <a:blip r:embed="rId22"/>
                    <a:srcRect l="-5" t="-8" r="-5" b="-8"/>
                    <a:stretch>
                      <a:fillRect/>
                    </a:stretch>
                  </pic:blipFill>
                  <pic:spPr bwMode="auto">
                    <a:xfrm>
                      <a:off x="0" y="0"/>
                      <a:ext cx="4851400" cy="3015615"/>
                    </a:xfrm>
                    <a:prstGeom prst="rect">
                      <a:avLst/>
                    </a:prstGeom>
                    <a:noFill/>
                  </pic:spPr>
                </pic:pic>
              </a:graphicData>
            </a:graphic>
          </wp:inline>
        </w:drawing>
      </w:r>
    </w:p>
    <w:p>
      <w:pPr>
        <w:pStyle w:val="Text"/>
        <w:numPr>
          <w:ilvl w:val="0"/>
          <w:numId w:val="9"/>
        </w:numPr>
        <w:tabs>
          <w:tab w:val="clear" w:pos="720"/>
          <w:tab w:val="left" w:pos="2790" w:leader="none"/>
        </w:tabs>
        <w:spacing w:before="0" w:after="60"/>
        <w:rPr/>
      </w:pPr>
      <w:r>
        <w:rPr>
          <w:b/>
        </w:rPr>
        <w:t>California</w:t>
      </w:r>
      <w:r>
        <w:rPr/>
        <w:t xml:space="preserve"> and other </w:t>
      </w:r>
      <w:r>
        <w:rPr>
          <w:b/>
        </w:rPr>
        <w:t>Western</w:t>
      </w:r>
      <w:r>
        <w:rPr/>
        <w:t xml:space="preserve"> states had a downward but choppy week.  Better than expected hydro availability, lower than expected loads and some added capacity all played a part in keeping prices down.  However, Wednesday’s hot weather in parts of the West lead to some price spikes.</w:t>
      </w:r>
    </w:p>
    <w:p>
      <w:pPr>
        <w:pStyle w:val="Text"/>
        <w:numPr>
          <w:ilvl w:val="0"/>
          <w:numId w:val="9"/>
        </w:numPr>
        <w:tabs>
          <w:tab w:val="clear" w:pos="720"/>
          <w:tab w:val="left" w:pos="2790" w:leader="none"/>
        </w:tabs>
        <w:spacing w:before="0" w:after="60"/>
        <w:rPr/>
      </w:pPr>
      <w:r>
        <w:rPr/>
        <w:t xml:space="preserve">The </w:t>
      </w:r>
      <w:r>
        <w:rPr>
          <w:b/>
        </w:rPr>
        <w:t>Northeast, Mid-Atlantic</w:t>
      </w:r>
      <w:r>
        <w:rPr/>
        <w:t xml:space="preserve">, and </w:t>
      </w:r>
      <w:r>
        <w:rPr>
          <w:b/>
        </w:rPr>
        <w:t>New York</w:t>
      </w:r>
      <w:r>
        <w:rPr/>
        <w:t xml:space="preserve"> all experienced relative price declines due to mild weather and generation coming back online after the spring maintenance season.  Adding some support to the Mid-Atlantic and New England were transmission constraints.</w:t>
      </w:r>
    </w:p>
    <w:p>
      <w:pPr>
        <w:pStyle w:val="Text"/>
        <w:numPr>
          <w:ilvl w:val="0"/>
          <w:numId w:val="9"/>
        </w:numPr>
        <w:tabs>
          <w:tab w:val="clear" w:pos="720"/>
          <w:tab w:val="left" w:pos="2790" w:leader="none"/>
        </w:tabs>
        <w:spacing w:before="0" w:after="60"/>
        <w:rPr/>
      </w:pPr>
      <w:r>
        <w:rPr/>
        <w:t xml:space="preserve">Spotty hot weather and transmission constraints pushed prices up in </w:t>
      </w:r>
      <w:r>
        <w:rPr>
          <w:b/>
        </w:rPr>
        <w:t>Texas</w:t>
      </w:r>
      <w:r>
        <w:rPr/>
        <w:t xml:space="preserve"> and parts of the </w:t>
      </w:r>
      <w:r>
        <w:rPr>
          <w:b/>
        </w:rPr>
        <w:t>Midwest.</w:t>
      </w:r>
      <w:r>
        <w:rPr/>
        <w:t xml:space="preserve">  </w:t>
      </w:r>
    </w:p>
    <w:p>
      <w:pPr>
        <w:pStyle w:val="Text"/>
        <w:numPr>
          <w:ilvl w:val="0"/>
          <w:numId w:val="9"/>
        </w:numPr>
        <w:tabs>
          <w:tab w:val="clear" w:pos="720"/>
          <w:tab w:val="left" w:pos="2790" w:leader="none"/>
        </w:tabs>
        <w:spacing w:before="0" w:after="60"/>
        <w:rPr/>
      </w:pPr>
      <w:r>
        <w:rPr/>
        <w:t xml:space="preserve">The </w:t>
      </w:r>
      <w:r>
        <w:rPr>
          <w:b/>
        </w:rPr>
        <w:t>Southeast</w:t>
      </w:r>
      <w:r>
        <w:rPr/>
        <w:t xml:space="preserve"> began the week down due to mild weather.  However, as the week progressed hot weather brought related price strength.</w:t>
      </w:r>
    </w:p>
    <w:p>
      <w:pPr>
        <w:pStyle w:val="CameraReadyTableTitle"/>
        <w:spacing w:before="60" w:after="0"/>
        <w:ind w:start="-900" w:end="0"/>
        <w:rPr>
          <w:i/>
          <w:i/>
        </w:rPr>
      </w:pPr>
      <w:r>
        <w:rPr>
          <w:i/>
        </w:rPr>
        <w:t>Exhibit 11: Day-by-Day Pricing in Select Markets</w:t>
      </w:r>
    </w:p>
    <w:p>
      <w:pPr>
        <w:pStyle w:val="CameraReadyTableSubtitle"/>
        <w:spacing w:before="0" w:after="60"/>
        <w:ind w:start="-900" w:end="0"/>
        <w:rPr/>
      </w:pPr>
      <w:r>
        <w:rPr/>
        <w:t>$ per Mwh</w:t>
      </w:r>
    </w:p>
    <w:p>
      <w:pPr>
        <w:pStyle w:val="Text"/>
        <w:spacing w:before="0" w:after="80"/>
        <w:ind w:start="-900" w:end="0"/>
        <w:rPr/>
      </w:pPr>
      <w:r>
        <w:rPr/>
        <w:drawing>
          <wp:inline distT="0" distB="0" distL="0" distR="0">
            <wp:extent cx="6711315" cy="656590"/>
            <wp:effectExtent l="0" t="0" r="0" b="0"/>
            <wp:docPr id="11"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 descr="" title=""/>
                    <pic:cNvPicPr>
                      <a:picLocks noChangeAspect="1" noChangeArrowheads="1"/>
                    </pic:cNvPicPr>
                  </pic:nvPicPr>
                  <pic:blipFill>
                    <a:blip r:embed="rId23"/>
                    <a:srcRect l="-3" t="-32" r="-3" b="-32"/>
                    <a:stretch>
                      <a:fillRect/>
                    </a:stretch>
                  </pic:blipFill>
                  <pic:spPr bwMode="auto">
                    <a:xfrm>
                      <a:off x="0" y="0"/>
                      <a:ext cx="6711315" cy="656590"/>
                    </a:xfrm>
                    <a:prstGeom prst="rect">
                      <a:avLst/>
                    </a:prstGeom>
                    <a:noFill/>
                  </pic:spPr>
                </pic:pic>
              </a:graphicData>
            </a:graphic>
          </wp:inline>
        </w:drawing>
      </w:r>
    </w:p>
    <w:p>
      <w:pPr>
        <w:pStyle w:val="CameraReadyTableTitle"/>
        <w:pBdr>
          <w:bottom w:val="nil"/>
        </w:pBdr>
        <w:ind w:start="-900" w:end="0"/>
        <w:rPr>
          <w:b w:val="false"/>
          <w:sz w:val="14"/>
        </w:rPr>
      </w:pPr>
      <w:r>
        <w:rPr>
          <w:b w:val="false"/>
          <w:sz w:val="14"/>
        </w:rPr>
        <w:t>1) The daily index represents a volume weighted average for prescheduled, daily on-peak electricity.  Volumes are in MW.</w:t>
      </w:r>
    </w:p>
    <w:p>
      <w:pPr>
        <w:pStyle w:val="CameraReadyTableTitle"/>
        <w:pBdr>
          <w:bottom w:val="nil"/>
        </w:pBdr>
        <w:ind w:start="-900" w:end="0"/>
        <w:rPr>
          <w:b w:val="false"/>
          <w:sz w:val="14"/>
        </w:rPr>
      </w:pPr>
      <w:r>
        <w:rPr>
          <w:b w:val="false"/>
          <w:color w:val="000000"/>
          <w:sz w:val="14"/>
          <w:lang w:eastAsia="en-US"/>
        </w:rPr>
        <w:t>2) NE (New England), CIN (Cinergy), SERC (SERC), NP15 (California North Path 15), NYW (New York West), ERCOT (ERCOT), PJM (PJM)</w:t>
      </w:r>
    </w:p>
    <w:p>
      <w:pPr>
        <w:sectPr>
          <w:headerReference w:type="default" r:id="rId24"/>
          <w:headerReference w:type="first" r:id="rId25"/>
          <w:footerReference w:type="default" r:id="rId26"/>
          <w:footerReference w:type="first" r:id="rId27"/>
          <w:type w:val="nextPage"/>
          <w:pgSz w:w="12240" w:h="15840"/>
          <w:pgMar w:left="1714" w:right="1195" w:gutter="0" w:header="547" w:top="1627" w:footer="360" w:bottom="1080"/>
          <w:pgNumType w:fmt="decimal"/>
          <w:formProt w:val="false"/>
          <w:textDirection w:val="lrTb"/>
          <w:docGrid w:type="default" w:linePitch="360" w:charSpace="0"/>
        </w:sectPr>
        <w:pStyle w:val="CameraReadyTableTitle"/>
        <w:ind w:start="-900" w:end="0"/>
        <w:rPr>
          <w:b w:val="false"/>
          <w:sz w:val="14"/>
        </w:rPr>
      </w:pPr>
      <w:r>
        <w:rPr>
          <w:b w:val="false"/>
          <w:sz w:val="14"/>
        </w:rPr>
        <w:t xml:space="preserve">Source: </w:t>
      </w:r>
      <w:r>
        <w:rPr>
          <w:b w:val="false"/>
          <w:i/>
          <w:sz w:val="14"/>
        </w:rPr>
        <w:t>Platts Daily Price Report</w:t>
      </w:r>
    </w:p>
    <w:p>
      <w:pPr>
        <w:pStyle w:val="CameraReadyTableTitle"/>
        <w:rPr/>
      </w:pPr>
      <w:r>
        <w:rPr>
          <w:i/>
        </w:rPr>
        <w:t xml:space="preserve">Exhibit 12:  </w:t>
      </w:r>
      <w:r>
        <w:rPr/>
        <w:t xml:space="preserve"> Weekly Index of On-Peak Spot Electricity Prices</w:t>
      </w:r>
    </w:p>
    <w:p>
      <w:pPr>
        <w:pStyle w:val="CameraReadyTableSubtitle"/>
        <w:rPr/>
      </w:pPr>
      <w:r>
        <w:rPr/>
        <w:t>$ per Mwh</w:t>
      </w:r>
    </w:p>
    <w:p>
      <w:pPr>
        <w:pStyle w:val="CameraReadyTableTitle"/>
        <w:pBdr>
          <w:bottom w:val="nil"/>
        </w:pBdr>
        <w:jc w:val="center"/>
        <w:rPr>
          <w:b w:val="false"/>
          <w:sz w:val="16"/>
        </w:rPr>
      </w:pPr>
      <w:r>
        <w:rPr>
          <w:sz w:val="16"/>
        </w:rPr>
        <w:drawing>
          <wp:inline distT="0" distB="0" distL="0" distR="0">
            <wp:extent cx="5768975" cy="4918710"/>
            <wp:effectExtent l="0" t="0" r="0" b="0"/>
            <wp:docPr id="12"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 descr="" title=""/>
                    <pic:cNvPicPr>
                      <a:picLocks noChangeAspect="1" noChangeArrowheads="1"/>
                    </pic:cNvPicPr>
                  </pic:nvPicPr>
                  <pic:blipFill>
                    <a:blip r:embed="rId28"/>
                    <a:srcRect l="-3" t="-4" r="-3" b="-4"/>
                    <a:stretch>
                      <a:fillRect/>
                    </a:stretch>
                  </pic:blipFill>
                  <pic:spPr bwMode="auto">
                    <a:xfrm>
                      <a:off x="0" y="0"/>
                      <a:ext cx="5768975" cy="4918710"/>
                    </a:xfrm>
                    <a:prstGeom prst="rect">
                      <a:avLst/>
                    </a:prstGeom>
                    <a:noFill/>
                  </pic:spPr>
                </pic:pic>
              </a:graphicData>
            </a:graphic>
          </wp:inline>
        </w:drawing>
      </w:r>
    </w:p>
    <w:p>
      <w:pPr>
        <w:pStyle w:val="CameraReadyTableTitle"/>
        <w:pBdr>
          <w:bottom w:val="nil"/>
        </w:pBdr>
        <w:jc w:val="center"/>
        <w:rPr>
          <w:b w:val="false"/>
          <w:sz w:val="16"/>
        </w:rPr>
      </w:pPr>
      <w:r>
        <w:rPr>
          <w:b w:val="false"/>
          <w:sz w:val="16"/>
        </w:rPr>
      </w:r>
    </w:p>
    <w:p>
      <w:pPr>
        <w:pStyle w:val="CameraReadyTableTitle"/>
        <w:pBdr>
          <w:bottom w:val="nil"/>
        </w:pBdr>
        <w:spacing w:before="120" w:after="0"/>
        <w:ind w:hanging="446" w:start="446" w:end="0"/>
        <w:rPr>
          <w:b w:val="false"/>
          <w:sz w:val="14"/>
        </w:rPr>
      </w:pPr>
      <w:r>
        <w:rPr>
          <w:b w:val="false"/>
          <w:sz w:val="14"/>
        </w:rPr>
        <w:t>Note: The weekly index represents the average of the daily indexes.  The daily index represents a volume weighted average for prescheduled, daily on-peak electricity.</w:t>
      </w:r>
    </w:p>
    <w:p>
      <w:pPr>
        <w:pStyle w:val="CameraReadyTableTitle"/>
        <w:pBdr>
          <w:bottom w:val="nil"/>
        </w:pBdr>
        <w:rPr>
          <w:b w:val="false"/>
          <w:sz w:val="14"/>
        </w:rPr>
      </w:pPr>
      <w:r>
        <w:rPr>
          <w:b w:val="false"/>
          <w:sz w:val="14"/>
        </w:rPr>
      </w:r>
    </w:p>
    <w:p>
      <w:pPr>
        <w:pStyle w:val="CameraReadyTableTitle"/>
        <w:pBdr>
          <w:bottom w:val="single" w:sz="4" w:space="1" w:color="000000"/>
        </w:pBdr>
        <w:spacing w:before="0" w:after="240"/>
        <w:rPr>
          <w:b w:val="false"/>
          <w:sz w:val="14"/>
        </w:rPr>
      </w:pPr>
      <w:r>
        <w:rPr>
          <w:b w:val="false"/>
          <w:sz w:val="14"/>
        </w:rPr>
        <w:t>Source: Power Markets Week, CSFB</w:t>
      </w:r>
    </w:p>
    <w:p>
      <w:pPr>
        <w:pStyle w:val="CameraReadyTableTitle"/>
        <w:pBdr>
          <w:bottom w:val="nil"/>
        </w:pBdr>
        <w:spacing w:before="240" w:after="0"/>
        <w:rPr/>
      </w:pPr>
      <w:r>
        <w:rPr>
          <w:i/>
        </w:rPr>
        <w:t>Exhibit 13:</w:t>
      </w:r>
      <w:r>
        <w:rPr/>
        <w:t xml:space="preserve"> On-Peak Spot Electricity Price Index Year-Over-Year Comparison</w:t>
      </w:r>
    </w:p>
    <w:p>
      <w:pPr>
        <w:pStyle w:val="CameraReadyTableSubtitle"/>
        <w:pBdr>
          <w:bottom w:val="single" w:sz="4" w:space="1" w:color="000000"/>
        </w:pBdr>
        <w:spacing w:before="0" w:after="120"/>
        <w:rPr/>
      </w:pPr>
      <w:r>
        <w:rPr/>
        <w:t>$ per Mwh</w:t>
      </w:r>
    </w:p>
    <w:p>
      <w:pPr>
        <w:pStyle w:val="CameraReadyTableTitle"/>
        <w:pBdr>
          <w:bottom w:val="nil"/>
        </w:pBdr>
        <w:spacing w:before="120" w:after="0"/>
        <w:jc w:val="center"/>
        <w:rPr>
          <w:b w:val="false"/>
          <w:sz w:val="16"/>
        </w:rPr>
      </w:pPr>
      <w:r>
        <w:rPr>
          <w:sz w:val="16"/>
        </w:rPr>
        <w:drawing>
          <wp:inline distT="0" distB="0" distL="0" distR="0">
            <wp:extent cx="5917565" cy="1443355"/>
            <wp:effectExtent l="0" t="0" r="0" b="0"/>
            <wp:docPr id="13"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1" descr="" title=""/>
                    <pic:cNvPicPr>
                      <a:picLocks noChangeAspect="1" noChangeArrowheads="1"/>
                    </pic:cNvPicPr>
                  </pic:nvPicPr>
                  <pic:blipFill>
                    <a:blip r:embed="rId29"/>
                    <a:srcRect l="-5" t="-20" r="-5" b="-20"/>
                    <a:stretch>
                      <a:fillRect/>
                    </a:stretch>
                  </pic:blipFill>
                  <pic:spPr bwMode="auto">
                    <a:xfrm>
                      <a:off x="0" y="0"/>
                      <a:ext cx="5917565" cy="1443355"/>
                    </a:xfrm>
                    <a:prstGeom prst="rect">
                      <a:avLst/>
                    </a:prstGeom>
                    <a:noFill/>
                  </pic:spPr>
                </pic:pic>
              </a:graphicData>
            </a:graphic>
          </wp:inline>
        </w:drawing>
      </w:r>
    </w:p>
    <w:p>
      <w:pPr>
        <w:pStyle w:val="CameraReadyTableTitle"/>
        <w:pBdr>
          <w:bottom w:val="nil"/>
        </w:pBdr>
        <w:spacing w:before="120" w:after="0"/>
        <w:rPr/>
      </w:pPr>
      <w:r>
        <w:rPr>
          <w:b w:val="false"/>
          <w:sz w:val="14"/>
        </w:rPr>
        <w:t>Note: NE (New England), CIN (Cinergy), SERC (SERC), NP15 (California North Path 15), NYW (NY West), ERCOT (ERCOT)</w:t>
      </w:r>
    </w:p>
    <w:p>
      <w:pPr>
        <w:sectPr>
          <w:headerReference w:type="default" r:id="rId30"/>
          <w:headerReference w:type="first" r:id="rId31"/>
          <w:footerReference w:type="default" r:id="rId32"/>
          <w:footerReference w:type="first" r:id="rId33"/>
          <w:type w:val="nextPage"/>
          <w:pgSz w:w="12240" w:h="15840"/>
          <w:pgMar w:left="1714" w:right="1195" w:gutter="0" w:header="547" w:top="1627" w:footer="360" w:bottom="1080"/>
          <w:pgNumType w:fmt="decimal"/>
          <w:formProt w:val="false"/>
          <w:textDirection w:val="lrTb"/>
          <w:docGrid w:type="default" w:linePitch="360" w:charSpace="0"/>
        </w:sectPr>
        <w:pStyle w:val="CameraReadyTableTitle"/>
        <w:rPr>
          <w:b w:val="false"/>
          <w:sz w:val="14"/>
        </w:rPr>
      </w:pPr>
      <w:r>
        <w:rPr>
          <w:b w:val="false"/>
          <w:sz w:val="14"/>
        </w:rPr>
        <w:t>Source: Power Markets Week, CSFB</w:t>
      </w:r>
    </w:p>
    <w:p>
      <w:pPr>
        <w:pStyle w:val="CameraReadyTableTitle"/>
        <w:pBdr>
          <w:bottom w:val="nil"/>
        </w:pBdr>
        <w:rPr/>
      </w:pPr>
      <w:r>
        <w:rPr>
          <w:i/>
        </w:rPr>
        <w:t xml:space="preserve">Exhibit 14: </w:t>
      </w:r>
      <w:r>
        <w:rPr/>
        <w:t>Mirant National Power Index</w:t>
      </w:r>
    </w:p>
    <w:p>
      <w:pPr>
        <w:pStyle w:val="CameraReadyTableTitle"/>
        <w:pBdr>
          <w:bottom w:val="single" w:sz="4" w:space="1" w:color="000000"/>
        </w:pBdr>
        <w:rPr/>
      </w:pPr>
      <w:r>
        <w:rPr/>
        <w:t>$ per Mwh</w:t>
      </w:r>
    </w:p>
    <w:p>
      <w:pPr>
        <w:pStyle w:val="CameraReadyTableTitle"/>
        <w:pBdr>
          <w:bottom w:val="nil"/>
        </w:pBdr>
        <w:spacing w:before="120" w:after="0"/>
        <w:jc w:val="center"/>
        <w:rPr>
          <w:b w:val="false"/>
          <w:i/>
          <w:i/>
        </w:rPr>
      </w:pPr>
      <w:r>
        <w:rPr>
          <w:i/>
        </w:rPr>
        <w:drawing>
          <wp:inline distT="0" distB="0" distL="0" distR="0">
            <wp:extent cx="4712335" cy="1932305"/>
            <wp:effectExtent l="0" t="0" r="0" b="0"/>
            <wp:docPr id="14"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 descr="" title=""/>
                    <pic:cNvPicPr>
                      <a:picLocks noChangeAspect="1" noChangeArrowheads="1"/>
                    </pic:cNvPicPr>
                  </pic:nvPicPr>
                  <pic:blipFill>
                    <a:blip r:embed="rId34"/>
                    <a:srcRect l="-5" t="-13" r="-5" b="-13"/>
                    <a:stretch>
                      <a:fillRect/>
                    </a:stretch>
                  </pic:blipFill>
                  <pic:spPr bwMode="auto">
                    <a:xfrm>
                      <a:off x="0" y="0"/>
                      <a:ext cx="4712335" cy="1932305"/>
                    </a:xfrm>
                    <a:prstGeom prst="rect">
                      <a:avLst/>
                    </a:prstGeom>
                    <a:noFill/>
                  </pic:spPr>
                </pic:pic>
              </a:graphicData>
            </a:graphic>
          </wp:inline>
        </w:drawing>
      </w:r>
    </w:p>
    <w:p>
      <w:pPr>
        <w:pStyle w:val="CameraReadyTableTitle"/>
        <w:pBdr>
          <w:bottom w:val="nil"/>
        </w:pBdr>
        <w:jc w:val="center"/>
        <w:rPr>
          <w:b w:val="false"/>
          <w:i/>
          <w:i/>
          <w:sz w:val="16"/>
        </w:rPr>
      </w:pPr>
      <w:r>
        <w:rPr>
          <w:b w:val="false"/>
          <w:i/>
          <w:sz w:val="16"/>
        </w:rPr>
      </w:r>
    </w:p>
    <w:p>
      <w:pPr>
        <w:pStyle w:val="TableFooter"/>
        <w:pBdr>
          <w:bottom w:val="single" w:sz="4" w:space="1" w:color="000000"/>
        </w:pBdr>
        <w:rPr/>
      </w:pPr>
      <w:r>
        <w:rPr/>
        <w:t>Source: Wall Street Journal</w:t>
      </w:r>
    </w:p>
    <w:p>
      <w:pPr>
        <w:pStyle w:val="CameraReadyTableTitle"/>
        <w:pBdr>
          <w:bottom w:val="nil"/>
        </w:pBdr>
        <w:rPr>
          <w:i/>
          <w:i/>
        </w:rPr>
      </w:pPr>
      <w:r>
        <w:rPr>
          <w:i/>
        </w:rPr>
      </w:r>
    </w:p>
    <w:p>
      <w:pPr>
        <w:pStyle w:val="CameraReadyTableTitle"/>
        <w:pBdr>
          <w:bottom w:val="nil"/>
        </w:pBdr>
        <w:rPr>
          <w:i/>
          <w:i/>
        </w:rPr>
      </w:pPr>
      <w:r>
        <w:rPr>
          <w:i/>
        </w:rPr>
      </w:r>
    </w:p>
    <w:p>
      <w:pPr>
        <w:pStyle w:val="CameraReadyTableTitle"/>
        <w:pBdr>
          <w:bottom w:val="nil"/>
        </w:pBdr>
        <w:rPr>
          <w:i/>
          <w:i/>
        </w:rPr>
      </w:pPr>
      <w:r>
        <w:rPr>
          <w:i/>
        </w:rPr>
      </w:r>
    </w:p>
    <w:p>
      <w:pPr>
        <w:pStyle w:val="CameraReadyTableTitle"/>
        <w:pBdr>
          <w:bottom w:val="nil"/>
        </w:pBdr>
        <w:rPr>
          <w:i/>
          <w:i/>
        </w:rPr>
      </w:pPr>
      <w:r>
        <w:rPr>
          <w:i/>
        </w:rPr>
      </w:r>
    </w:p>
    <w:p>
      <w:pPr>
        <w:pStyle w:val="CameraReadyTableTitle"/>
        <w:pBdr>
          <w:bottom w:val="nil"/>
        </w:pBdr>
        <w:rPr/>
      </w:pPr>
      <w:r>
        <w:rPr>
          <w:i/>
        </w:rPr>
        <w:t xml:space="preserve">Exhibit 15: </w:t>
      </w:r>
      <w:r>
        <w:rPr/>
        <w:t>Natural Gas Spot Wellhead Composite</w:t>
      </w:r>
    </w:p>
    <w:p>
      <w:pPr>
        <w:pStyle w:val="CameraReadyTableSubtitle"/>
        <w:rPr/>
      </w:pPr>
      <w:r>
        <w:rPr/>
        <w:t>$/MMBtu</w:t>
      </w:r>
    </w:p>
    <w:p>
      <w:pPr>
        <w:pStyle w:val="NB"/>
        <w:pBdr>
          <w:top w:val="nil"/>
        </w:pBdr>
        <w:rPr/>
      </w:pPr>
      <w:r>
        <w:rPr/>
      </w:r>
    </w:p>
    <w:p>
      <w:pPr>
        <w:pStyle w:val="NB"/>
        <w:pBdr>
          <w:top w:val="nil"/>
        </w:pBdr>
        <w:jc w:val="center"/>
        <w:rPr/>
      </w:pPr>
      <w:r>
        <w:rPr/>
        <w:drawing>
          <wp:inline distT="0" distB="0" distL="0" distR="0">
            <wp:extent cx="4512310" cy="2491105"/>
            <wp:effectExtent l="0" t="0" r="0" b="0"/>
            <wp:docPr id="15"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 descr="" title=""/>
                    <pic:cNvPicPr>
                      <a:picLocks noChangeAspect="1" noChangeArrowheads="1"/>
                    </pic:cNvPicPr>
                  </pic:nvPicPr>
                  <pic:blipFill>
                    <a:blip r:embed="rId35"/>
                    <a:srcRect l="-7" t="-13" r="-7" b="-13"/>
                    <a:stretch>
                      <a:fillRect/>
                    </a:stretch>
                  </pic:blipFill>
                  <pic:spPr bwMode="auto">
                    <a:xfrm>
                      <a:off x="0" y="0"/>
                      <a:ext cx="4512310" cy="2491105"/>
                    </a:xfrm>
                    <a:prstGeom prst="rect">
                      <a:avLst/>
                    </a:prstGeom>
                    <a:noFill/>
                  </pic:spPr>
                </pic:pic>
              </a:graphicData>
            </a:graphic>
          </wp:inline>
        </w:drawing>
      </w:r>
    </w:p>
    <w:p>
      <w:pPr>
        <w:pStyle w:val="CameraReadyTableTitle"/>
        <w:pBdr>
          <w:bottom w:val="nil"/>
        </w:pBdr>
        <w:rPr>
          <w:b w:val="false"/>
          <w:sz w:val="16"/>
        </w:rPr>
      </w:pPr>
      <w:r>
        <w:rPr>
          <w:b w:val="false"/>
          <w:sz w:val="16"/>
        </w:rPr>
      </w:r>
    </w:p>
    <w:p>
      <w:pPr>
        <w:sectPr>
          <w:headerReference w:type="default" r:id="rId36"/>
          <w:headerReference w:type="first" r:id="rId37"/>
          <w:footerReference w:type="default" r:id="rId38"/>
          <w:footerReference w:type="first" r:id="rId39"/>
          <w:type w:val="nextPage"/>
          <w:pgSz w:w="12240" w:h="15840"/>
          <w:pgMar w:left="1714" w:right="1195" w:gutter="0" w:header="547" w:top="1627" w:footer="360" w:bottom="1080"/>
          <w:pgNumType w:fmt="decimal"/>
          <w:formProt w:val="false"/>
          <w:textDirection w:val="lrTb"/>
          <w:docGrid w:type="default" w:linePitch="360" w:charSpace="0"/>
        </w:sectPr>
        <w:pStyle w:val="TableFooter"/>
        <w:pBdr>
          <w:bottom w:val="single" w:sz="4" w:space="1" w:color="000000"/>
        </w:pBdr>
        <w:rPr>
          <w:i/>
          <w:i/>
        </w:rPr>
      </w:pPr>
      <w:r>
        <w:rPr/>
        <w:t>Sources:  Natural Gas Week, CSFB estimates</w:t>
      </w:r>
    </w:p>
    <w:p>
      <w:pPr>
        <w:pStyle w:val="CameraReadyTableTitle"/>
        <w:rPr>
          <w:i/>
          <w:i/>
        </w:rPr>
      </w:pPr>
      <w:r>
        <w:rPr>
          <w:i/>
        </w:rPr>
        <w:t>Exhibit 16:  Current Spreads for Selected IPPs / Projects</w:t>
      </w:r>
    </w:p>
    <w:p>
      <w:pPr>
        <w:pStyle w:val="CameraReadyTableSubtitle"/>
        <w:rPr/>
      </w:pPr>
      <w:r>
        <w:rPr/>
        <w:t>Current Spread As of 5/15/01</w:t>
      </w:r>
    </w:p>
    <w:p>
      <w:pPr>
        <w:pStyle w:val="Text"/>
        <w:rPr/>
      </w:pPr>
      <w:r>
        <w:rPr/>
      </w:r>
    </w:p>
    <w:p>
      <w:pPr>
        <w:pStyle w:val="Text"/>
        <w:jc w:val="center"/>
        <w:rPr/>
      </w:pPr>
      <w:r>
        <w:rPr/>
        <w:drawing>
          <wp:inline distT="0" distB="0" distL="0" distR="0">
            <wp:extent cx="8338820" cy="2763520"/>
            <wp:effectExtent l="0" t="0" r="0" b="0"/>
            <wp:docPr id="16"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 descr="" title=""/>
                    <pic:cNvPicPr>
                      <a:picLocks noChangeAspect="1" noChangeArrowheads="1"/>
                    </pic:cNvPicPr>
                  </pic:nvPicPr>
                  <pic:blipFill>
                    <a:blip r:embed="rId40"/>
                    <a:srcRect l="-4" t="-11" r="-4" b="-11"/>
                    <a:stretch>
                      <a:fillRect/>
                    </a:stretch>
                  </pic:blipFill>
                  <pic:spPr bwMode="auto">
                    <a:xfrm>
                      <a:off x="0" y="0"/>
                      <a:ext cx="8338820" cy="2763520"/>
                    </a:xfrm>
                    <a:prstGeom prst="rect">
                      <a:avLst/>
                    </a:prstGeom>
                    <a:noFill/>
                  </pic:spPr>
                </pic:pic>
              </a:graphicData>
            </a:graphic>
          </wp:inline>
        </w:drawing>
      </w:r>
    </w:p>
    <w:p>
      <w:pPr>
        <w:pStyle w:val="TableFooter"/>
        <w:rPr/>
      </w:pPr>
      <w:r>
        <w:rPr/>
        <w:t>Source: CSFB</w:t>
      </w:r>
    </w:p>
    <w:p>
      <w:pPr>
        <w:sectPr>
          <w:headerReference w:type="default" r:id="rId41"/>
          <w:headerReference w:type="first" r:id="rId42"/>
          <w:footerReference w:type="default" r:id="rId43"/>
          <w:footerReference w:type="first" r:id="rId44"/>
          <w:type w:val="nextPage"/>
          <w:pgSz w:orient="landscape" w:w="15840" w:h="12240"/>
          <w:pgMar w:left="1080" w:right="1627" w:gutter="0" w:header="547" w:top="1440" w:footer="360" w:bottom="1195"/>
          <w:pgNumType w:fmt="decimal"/>
          <w:formProt w:val="false"/>
          <w:textDirection w:val="lrTb"/>
          <w:docGrid w:type="default" w:linePitch="360" w:charSpace="0"/>
        </w:sectPr>
      </w:pPr>
      <w:r>
        <w:br w:type="page"/>
      </w:r>
    </w:p>
    <w:p>
      <w:pPr>
        <w:pStyle w:val="officename"/>
        <w:rPr/>
      </w:pPr>
      <w:r>
        <w:rPr/>
        <w:t>AMSTERDAM</w:t>
        <w:tab/>
        <w:t>31 20 5754 890</w:t>
      </w:r>
    </w:p>
    <w:p>
      <w:pPr>
        <w:pStyle w:val="officename"/>
        <w:rPr/>
      </w:pPr>
      <w:r>
        <w:rPr/>
        <w:t>ATLANTA</w:t>
        <w:tab/>
        <w:t>1 404 656 9500</w:t>
      </w:r>
    </w:p>
    <w:p>
      <w:pPr>
        <w:pStyle w:val="officename"/>
        <w:rPr/>
      </w:pPr>
      <w:r>
        <w:rPr/>
        <w:t>AUCKLAND</w:t>
        <w:tab/>
        <w:t>64 9 302 5500</w:t>
      </w:r>
    </w:p>
    <w:p>
      <w:pPr>
        <w:pStyle w:val="officename"/>
        <w:rPr/>
      </w:pPr>
      <w:r>
        <w:rPr/>
        <w:t>BALTIMORE</w:t>
        <w:tab/>
        <w:t>1 410 223 3000</w:t>
      </w:r>
    </w:p>
    <w:p>
      <w:pPr>
        <w:pStyle w:val="officename"/>
        <w:rPr/>
      </w:pPr>
      <w:r>
        <w:rPr/>
        <w:t>BEIJING</w:t>
        <w:tab/>
        <w:t>86 10 6410 6611</w:t>
      </w:r>
    </w:p>
    <w:p>
      <w:pPr>
        <w:pStyle w:val="officename"/>
        <w:rPr/>
      </w:pPr>
      <w:r>
        <w:rPr/>
        <w:t>BOSTON</w:t>
        <w:tab/>
        <w:t>1 617 556 5500</w:t>
      </w:r>
    </w:p>
    <w:p>
      <w:pPr>
        <w:pStyle w:val="officename"/>
        <w:rPr/>
      </w:pPr>
      <w:r>
        <w:rPr/>
        <w:t>BUDAPEST</w:t>
        <w:tab/>
        <w:t>36 1 202 2188</w:t>
      </w:r>
    </w:p>
    <w:p>
      <w:pPr>
        <w:pStyle w:val="officename"/>
        <w:rPr/>
      </w:pPr>
      <w:r>
        <w:rPr/>
        <w:t>BUENOS AIRES</w:t>
        <w:tab/>
        <w:t>54 11 4394 3100</w:t>
      </w:r>
    </w:p>
    <w:p>
      <w:pPr>
        <w:pStyle w:val="officename"/>
        <w:rPr/>
      </w:pPr>
      <w:r>
        <w:rPr/>
        <w:t>CHICAGO</w:t>
        <w:tab/>
        <w:t>1 312 750 3000</w:t>
      </w:r>
    </w:p>
    <w:p>
      <w:pPr>
        <w:pStyle w:val="officename"/>
        <w:rPr/>
      </w:pPr>
      <w:r>
        <w:rPr/>
        <w:t>FRANKFURT</w:t>
        <w:tab/>
        <w:t>49 69 75 38 0</w:t>
      </w:r>
    </w:p>
    <w:p>
      <w:pPr>
        <w:pStyle w:val="officename"/>
        <w:rPr/>
      </w:pPr>
      <w:r>
        <w:rPr/>
        <w:t>GENEVA</w:t>
        <w:tab/>
        <w:t>41 22 394 70 00</w:t>
      </w:r>
    </w:p>
    <w:p>
      <w:pPr>
        <w:pStyle w:val="officename"/>
        <w:rPr/>
      </w:pPr>
      <w:r>
        <w:rPr/>
        <w:t>HOUSTON</w:t>
        <w:tab/>
        <w:t>1 713 220 6700</w:t>
      </w:r>
    </w:p>
    <w:p>
      <w:pPr>
        <w:pStyle w:val="officename"/>
        <w:rPr/>
      </w:pPr>
      <w:r>
        <w:rPr/>
        <w:t>HONG KONG</w:t>
        <w:tab/>
        <w:t>852 2101 6000</w:t>
      </w:r>
    </w:p>
    <w:p>
      <w:pPr>
        <w:pStyle w:val="officename"/>
        <w:rPr/>
      </w:pPr>
      <w:r>
        <w:rPr/>
      </w:r>
    </w:p>
    <w:p>
      <w:pPr>
        <w:pStyle w:val="officename"/>
        <w:rPr/>
      </w:pPr>
      <w:r>
        <w:br w:type="column"/>
      </w:r>
      <w:r>
        <w:rPr/>
        <w:t>LONDON</w:t>
        <w:tab/>
        <w:t>44 20 7888 8888</w:t>
      </w:r>
    </w:p>
    <w:p>
      <w:pPr>
        <w:pStyle w:val="officename"/>
        <w:rPr/>
      </w:pPr>
      <w:r>
        <w:rPr/>
        <w:t>MADRID</w:t>
        <w:tab/>
        <w:t>34 91 423 16 00</w:t>
      </w:r>
    </w:p>
    <w:p>
      <w:pPr>
        <w:pStyle w:val="officename"/>
        <w:rPr/>
      </w:pPr>
      <w:r>
        <w:rPr/>
        <w:t>MELBOURNE</w:t>
        <w:tab/>
        <w:t>61 3 9280 1666</w:t>
      </w:r>
    </w:p>
    <w:p>
      <w:pPr>
        <w:pStyle w:val="officename"/>
        <w:rPr/>
      </w:pPr>
      <w:r>
        <w:rPr/>
        <w:t>MEXICO</w:t>
        <w:tab/>
        <w:t>52 5 283 89 00</w:t>
      </w:r>
    </w:p>
    <w:p>
      <w:pPr>
        <w:pStyle w:val="officename"/>
        <w:rPr/>
      </w:pPr>
      <w:r>
        <w:rPr/>
        <w:t>MILAN</w:t>
        <w:tab/>
        <w:t>39 02 7702 1</w:t>
      </w:r>
    </w:p>
    <w:p>
      <w:pPr>
        <w:pStyle w:val="officename"/>
        <w:rPr/>
      </w:pPr>
      <w:r>
        <w:rPr/>
        <w:t>MOSCOW</w:t>
        <w:tab/>
        <w:t>7 501 967 8200</w:t>
      </w:r>
    </w:p>
    <w:p>
      <w:pPr>
        <w:pStyle w:val="officename"/>
        <w:rPr/>
      </w:pPr>
      <w:r>
        <w:rPr/>
        <w:t>MUMBAI</w:t>
        <w:tab/>
        <w:t>91 22 230 6333</w:t>
      </w:r>
    </w:p>
    <w:p>
      <w:pPr>
        <w:pStyle w:val="officename"/>
        <w:rPr/>
      </w:pPr>
      <w:r>
        <w:rPr/>
        <w:t>NEW YORK</w:t>
        <w:tab/>
        <w:t>1 212 325 2000</w:t>
      </w:r>
    </w:p>
    <w:p>
      <w:pPr>
        <w:pStyle w:val="officename"/>
        <w:rPr/>
      </w:pPr>
      <w:r>
        <w:rPr/>
        <w:t>PALO ALTO</w:t>
        <w:tab/>
        <w:t>1 650 614 5000</w:t>
      </w:r>
    </w:p>
    <w:p>
      <w:pPr>
        <w:pStyle w:val="officename"/>
        <w:rPr/>
      </w:pPr>
      <w:r>
        <w:rPr/>
        <w:t>PARIS</w:t>
        <w:tab/>
        <w:t>33 1 40 76 8888</w:t>
      </w:r>
    </w:p>
    <w:p>
      <w:pPr>
        <w:pStyle w:val="officename"/>
        <w:rPr/>
      </w:pPr>
      <w:r>
        <w:rPr/>
        <w:t>PASADENA</w:t>
        <w:tab/>
        <w:t>1 626 395 5100</w:t>
      </w:r>
    </w:p>
    <w:p>
      <w:pPr>
        <w:pStyle w:val="officename"/>
        <w:rPr/>
      </w:pPr>
      <w:r>
        <w:rPr/>
        <w:t>PHILADELPHIA</w:t>
        <w:tab/>
        <w:t>1 215 851 1000</w:t>
      </w:r>
    </w:p>
    <w:p>
      <w:pPr>
        <w:pStyle w:val="officename"/>
        <w:rPr/>
      </w:pPr>
      <w:r>
        <w:rPr/>
        <w:t>PRAGUE</w:t>
        <w:tab/>
        <w:t>420 2 210 83111</w:t>
      </w:r>
    </w:p>
    <w:p>
      <w:pPr>
        <w:pStyle w:val="officename"/>
        <w:rPr/>
      </w:pPr>
      <w:r>
        <w:rPr/>
      </w:r>
    </w:p>
    <w:p>
      <w:pPr>
        <w:pStyle w:val="officename"/>
        <w:rPr/>
      </w:pPr>
      <w:r>
        <w:br w:type="column"/>
      </w:r>
      <w:r>
        <w:rPr/>
        <w:t>SAN FRANCISCO</w:t>
        <w:tab/>
        <w:t>1 415 836 7600</w:t>
      </w:r>
    </w:p>
    <w:p>
      <w:pPr>
        <w:pStyle w:val="officename"/>
        <w:rPr/>
      </w:pPr>
      <w:r>
        <w:rPr/>
        <w:t>SÃO PAULO</w:t>
        <w:tab/>
        <w:t>55 11 3841 6000</w:t>
      </w:r>
    </w:p>
    <w:p>
      <w:pPr>
        <w:pStyle w:val="officename"/>
        <w:rPr/>
      </w:pPr>
      <w:r>
        <w:rPr/>
        <w:t>SEOUL</w:t>
        <w:tab/>
        <w:t>82 2 3707 3700</w:t>
      </w:r>
    </w:p>
    <w:p>
      <w:pPr>
        <w:pStyle w:val="officename"/>
        <w:rPr/>
      </w:pPr>
      <w:r>
        <w:rPr/>
        <w:t>SHANGHAI</w:t>
        <w:tab/>
        <w:t>86 21 6881 8418</w:t>
      </w:r>
    </w:p>
    <w:p>
      <w:pPr>
        <w:pStyle w:val="officename"/>
        <w:rPr/>
      </w:pPr>
      <w:r>
        <w:rPr/>
        <w:t>SINGAPORE</w:t>
        <w:tab/>
        <w:t>65 538 6322</w:t>
      </w:r>
    </w:p>
    <w:p>
      <w:pPr>
        <w:pStyle w:val="officename"/>
        <w:rPr/>
      </w:pPr>
      <w:r>
        <w:rPr/>
        <w:t>SYDNEY</w:t>
        <w:tab/>
        <w:t>61 2 8205 4400</w:t>
      </w:r>
    </w:p>
    <w:p>
      <w:pPr>
        <w:pStyle w:val="officename"/>
        <w:rPr/>
      </w:pPr>
      <w:r>
        <w:rPr/>
        <w:t>TAIPEI</w:t>
        <w:tab/>
        <w:t>886 2 2715 6388</w:t>
      </w:r>
    </w:p>
    <w:p>
      <w:pPr>
        <w:pStyle w:val="officename"/>
        <w:rPr/>
      </w:pPr>
      <w:r>
        <w:rPr/>
        <w:t>TOKYO</w:t>
        <w:tab/>
        <w:t>81 3 5404 9000</w:t>
      </w:r>
    </w:p>
    <w:p>
      <w:pPr>
        <w:pStyle w:val="officename"/>
        <w:rPr/>
      </w:pPr>
      <w:r>
        <w:rPr/>
        <w:t>TORONTO</w:t>
        <w:tab/>
        <w:t>1 416 352 4500</w:t>
      </w:r>
    </w:p>
    <w:p>
      <w:pPr>
        <w:pStyle w:val="officename"/>
        <w:rPr/>
      </w:pPr>
      <w:r>
        <w:rPr/>
        <w:t>VIENNA</w:t>
        <w:tab/>
        <w:t>43 1 512 3023</w:t>
      </w:r>
    </w:p>
    <w:p>
      <w:pPr>
        <w:pStyle w:val="officename"/>
        <w:rPr/>
      </w:pPr>
      <w:r>
        <w:rPr/>
        <w:t>WARSAW</w:t>
        <w:tab/>
        <w:t>48 22 695 0050</w:t>
      </w:r>
    </w:p>
    <w:p>
      <w:pPr>
        <w:pStyle w:val="officename"/>
        <w:rPr/>
      </w:pPr>
      <w:r>
        <w:rPr/>
        <w:t>WELLINGTON</w:t>
        <w:tab/>
        <w:t>64 4 474 4400</w:t>
      </w:r>
    </w:p>
    <w:p>
      <w:pPr>
        <w:pStyle w:val="officename"/>
        <w:rPr/>
      </w:pPr>
      <w:r>
        <w:rPr/>
        <w:t>ZUG</w:t>
        <w:tab/>
        <w:t>41 41 727 97 00</w:t>
      </w:r>
    </w:p>
    <w:p>
      <w:pPr>
        <w:pStyle w:val="officename"/>
        <w:rPr/>
      </w:pPr>
      <w:r>
        <w:rPr/>
        <w:t>ZURICH</w:t>
        <w:tab/>
        <w:t>41 1 333 55 55</w:t>
      </w:r>
    </w:p>
    <w:p>
      <w:pPr>
        <w:pStyle w:val="Text"/>
        <w:spacing w:before="0" w:after="0"/>
        <w:rPr/>
      </w:pPr>
      <w:r>
        <w:rPr/>
      </w:r>
    </w:p>
    <w:p>
      <w:pPr>
        <w:sectPr>
          <w:headerReference w:type="default" r:id="rId45"/>
          <w:headerReference w:type="first" r:id="rId46"/>
          <w:footerReference w:type="default" r:id="rId47"/>
          <w:footerReference w:type="first" r:id="rId48"/>
          <w:type w:val="nextPage"/>
          <w:pgSz w:w="12240" w:h="15840"/>
          <w:pgMar w:left="1440" w:right="1195" w:gutter="0" w:header="547" w:top="1980" w:footer="675" w:bottom="1080"/>
          <w:pgNumType w:fmt="decimal"/>
          <w:cols w:num="3" w:space="708" w:equalWidth="true" w:sep="false"/>
          <w:formProt w:val="false"/>
          <w:textDirection w:val="lrTb"/>
          <w:docGrid w:type="default" w:linePitch="360" w:charSpace="0"/>
        </w:sectPr>
      </w:pPr>
    </w:p>
    <w:p>
      <w:pPr>
        <w:pStyle w:val="Disclaimer"/>
        <w:rPr/>
      </w:pPr>
      <w:r>
        <w:rPr/>
        <w:t>Copyright Credit Suisse First Boston, and its subsidiaries and affiliates, 2000.  All rights reserved.</w:t>
      </w:r>
    </w:p>
    <w:p>
      <w:pPr>
        <w:pStyle w:val="Disclaimer"/>
        <w:rPr/>
      </w:pPr>
      <w:r>
        <w:rPr/>
        <w:t>This report is</w:t>
      </w:r>
      <w:r>
        <w:rPr>
          <w:lang w:eastAsia="en-US"/>
        </w:rPr>
        <w:t xml:space="preserve"> not directed to, or intended for distribution to or use by, any person or entity who is a citizen or resident of or located in any locality, state, country or other jurisdiction where such distribution, publication, availability or use would be contrary to law or regulation or which would subject Credit Suisse First Boston or its subsidiaries or affiliates (collectively "CSFB") to any registration or licensing requirement within such jurisdiction. </w:t>
      </w:r>
      <w:r>
        <w:rPr/>
        <w:t xml:space="preserve">All material presented in this report, unless specifically indicated otherwise, is under copyright to CSFB. None of the material, nor its content, nor any copy of it, may be altered in any way, transmitted to, or distributed to any other party, without the prior express written permission of CSFB. All trademarks, service marks and logos used in this report are trademarks or service marks or registered trademarks or service marks of CSFB. </w:t>
      </w:r>
    </w:p>
    <w:p>
      <w:pPr>
        <w:pStyle w:val="Disclaimer"/>
        <w:rPr/>
      </w:pPr>
      <w:r>
        <w:rPr/>
        <w:t xml:space="preserve">The information, tools and material presented in this report are provided to you for information purposes only and are not to be used or considered as an offer or the solicitation of an offer to sell or to buy or subscribe for securities or other financial instruments. CSFB has not taken any steps to ensure that the securities referred to in this report are suitable for any particular investor. </w:t>
      </w:r>
    </w:p>
    <w:p>
      <w:pPr>
        <w:pStyle w:val="Disclaimer"/>
        <w:rPr/>
      </w:pPr>
      <w:r>
        <w:rPr/>
        <w:t>Information and opinions presented in this report have been obtained or derived from sources believed by CSFB to be reliable, but CSFB makes no representation as to their accuracy or completeness and CSFB accepts no liability for loss arising from the use of the material presented in this report where permitted by law and/or regulation. This report is not to be relied upon in substitution for the exercise of independent judgment. CSFB may have issued other reports that are inconsistent with, and reach different conclusions from, the information presented in this report. Those reports reflect the different assumptions, views and analytical methods of the analysts who prepared them.</w:t>
      </w:r>
      <w:r>
        <w:rPr>
          <w:lang w:eastAsia="en-US"/>
        </w:rPr>
        <w:t xml:space="preserve"> </w:t>
      </w:r>
    </w:p>
    <w:p>
      <w:pPr>
        <w:pStyle w:val="Disclaimer"/>
        <w:rPr/>
      </w:pPr>
      <w:r>
        <w:rPr/>
        <w:t>CSFB may, to the extent permitted by law, participate or invest in financing transactions with the issuer(s) of the securities referred to in this report, perform services for or solicit business from such issuers, and/or have a position or effect transactions in the securities or options thereon. In addition, it may make markets in the securities mentioned in the material presented in this report. CSFB may, to the extent permitted by law, act upon or use the information or opinions presented herein, or the research or analysis on which they are based, before the material is published. CSFB may have, within the last three years, served as manager or co-manager of a public offering of securities for, or currently may make a primary market in issues of, any or all of the companies mentioned in this report. Additional information is available on request</w:t>
      </w:r>
      <w:r>
        <w:rPr>
          <w:b/>
        </w:rPr>
        <w:t>.</w:t>
      </w:r>
    </w:p>
    <w:p>
      <w:pPr>
        <w:pStyle w:val="Disclaimer"/>
        <w:rPr/>
      </w:pPr>
      <w:r>
        <w:rPr/>
        <w:t>Past performance should not be taken as an indication or guarantee of future performance, and no representation or warranty, express or implied, is made regarding future performance. Information, opinions and estimates contained in this report reflect a judgment at its original date of publication by CSFB and are subject to change. The value and income of any of the securities or financial instruments mentioned in this report can fall as well as rise, and is subject to exchange rate fluctuation that may have a positive or adverse effect on the price or income of such securities or financial instruments. Investors in securities such as ADRs, the values of which are influenced by currency fluctuation, effectively assume this risk.</w:t>
      </w:r>
      <w:r>
        <w:rPr>
          <w:i/>
        </w:rPr>
        <w:t xml:space="preserve"> </w:t>
      </w:r>
    </w:p>
    <w:p>
      <w:pPr>
        <w:pStyle w:val="Disclaimer"/>
        <w:rPr/>
      </w:pPr>
      <w:r>
        <w:rPr/>
        <w:t>Structured securities are complex instruments, typically involve a high degree of risk and are intended for sale only to sophisticated investors who are capable of understanding and assuming the risks involved. The market value of any structured security may be affected by changes in economic, financial and political factors (including, but not limited to, spot and forward interest and exchange rates), time to maturity, market conditions and volatility, and the credit quality of any issuer or reference issuer. Any investor interested in purchasing a structured product should conduct its own investigation and analysis of the product and consult with its own professional advisers as to the risks involved in making such a purchase.</w:t>
      </w:r>
      <w:r>
        <w:rPr>
          <w:i/>
        </w:rPr>
        <w:t xml:space="preserve"> </w:t>
      </w:r>
    </w:p>
    <w:p>
      <w:pPr>
        <w:pStyle w:val="Disclaimer"/>
        <w:rPr/>
      </w:pPr>
      <w:r>
        <w:rPr/>
        <w:t xml:space="preserve">This report is distributed in Europe by Credit Suisse First Boston (Europe) Limited, which is regulated in the United Kingdom by </w:t>
      </w:r>
      <w:r>
        <w:rPr>
          <w:lang w:eastAsia="en-US"/>
        </w:rPr>
        <w:t>The Securities and Futures Authority (“SFA”).</w:t>
      </w:r>
      <w:r>
        <w:rPr/>
        <w:t xml:space="preserve"> It is not for distribution to private customers as defined by the rules of The SFA. This report is distributed in the United States by Credit Suisse First Boston Corporation; in Canada by Credit Suisse First Boston Securities Canada, Inc.; in Brazil by Banco de Investimentos Credit Suisse First Boston Garantia S.A.; in Japan by Credit Suisse First Boston Securities (Japan) Limited; elsewhere in Asia/Pacific by Credit Suisse First Boston (Hong Kong) Limited;. Credit Suisse First Boston Australia Equities Limited; Credit Suisse First Boston NZ Securities Limited, Credit Suisse First Boston Singapore Branch and elsewhere in the world by an authorized affiliate.</w:t>
      </w:r>
    </w:p>
    <w:p>
      <w:pPr>
        <w:pStyle w:val="Disclaimer"/>
        <w:rPr/>
      </w:pPr>
      <w:r>
        <w:rPr/>
        <w:t>I</w:t>
      </w:r>
      <w:r>
        <w:rPr>
          <w:lang w:eastAsia="en-US"/>
        </w:rPr>
        <w:t>n jurisdictions where CSFB is not already registered or licensed to trade in securities, transactions will only be effected in accordance with applicable securities legislation, which will vary from jurisdiction to jurisdiction and may require that the trade be made in accordance with applicable exemptions from registration or licensing requirements.</w:t>
      </w:r>
      <w:r>
        <w:rPr/>
        <w:t xml:space="preserve"> Non-U.S. customers wishing to effect a transaction should contact a CSFB entity in their local jurisdiction unless governing law permits otherwise. U.S. customers wishing to effect a transaction should do so only by contacting a representative at Credit Suisse First Boston Corporation in the U.S. </w:t>
      </w:r>
    </w:p>
    <w:p>
      <w:pPr>
        <w:sectPr>
          <w:type w:val="continuous"/>
          <w:pgSz w:w="12240" w:h="15840"/>
          <w:pgMar w:left="1440" w:right="1195" w:gutter="0" w:header="547" w:top="1980" w:footer="675" w:bottom="1080"/>
          <w:formProt w:val="false"/>
          <w:textDirection w:val="lrTb"/>
          <w:docGrid w:type="default" w:linePitch="360" w:charSpace="0"/>
        </w:sectPr>
      </w:pPr>
    </w:p>
    <w:p>
      <w:pPr>
        <w:pStyle w:val="Text"/>
        <w:spacing w:before="0" w:after="60"/>
        <w:jc w:val="both"/>
        <w:rPr/>
      </w:pPr>
      <w:r>
        <w:rPr/>
      </w:r>
    </w:p>
    <w:sectPr>
      <w:type w:val="continuous"/>
      <w:pgSz w:w="12240" w:h="15840"/>
      <w:pgMar w:left="1440" w:right="1195" w:gutter="0" w:header="547" w:top="1980" w:footer="675" w:bottom="10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Bookshelf Symbol 3">
    <w:charset w:val="02"/>
    <w:family w:val="roman"/>
    <w:pitch w:val="variable"/>
  </w:font>
  <w:font w:name="Palatino">
    <w:charset w:val="00" w:characterSet="windows-1252"/>
    <w:family w:val="roman"/>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before="0" w:after="120"/>
      <w:jc w:val="both"/>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Fonts w:eastAsia="Arial"/>
      </w:rPr>
      <w:t xml:space="preserve"> </w:t>
    </w:r>
    <w:r>
      <w:rPr>
        <w:rStyle w:val="PageNumber"/>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Fonts w:eastAsia="Arial"/>
      </w:rPr>
      <w:t xml:space="preserve"> </w:t>
    </w:r>
    <w:r>
      <w:rPr>
        <w:rStyle w:val="PageNumber"/>
      </w:rPr>
      <w:t>–</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Fonts w:eastAsia="Arial"/>
      </w:rPr>
      <w:t xml:space="preserve"> </w:t>
    </w:r>
    <w:r>
      <w:rPr>
        <w:rStyle w:val="PageNumber"/>
      </w:rPr>
      <w:t>–</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Fonts w:eastAsia="Arial"/>
      </w:rPr>
      <w:t xml:space="preserve"> </w:t>
    </w:r>
    <w:r>
      <w:rPr>
        <w:rStyle w:val="PageNumber"/>
      </w:rPr>
      <w: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w:instrText>
    </w:r>
    <w:r>
      <w:rPr>
        <w:sz w:val="18"/>
        <w:rFonts w:cs="Arial Narrow" w:ascii="Arial Narrow" w:hAnsi="Arial Narrow"/>
      </w:rPr>
      <w:fldChar w:fldCharType="separate"/>
    </w:r>
    <w:r>
      <w:rPr>
        <w:sz w:val="18"/>
        <w:rFonts w:cs="Arial Narrow" w:ascii="Arial Narrow" w:hAnsi="Arial Narrow"/>
      </w:rPr>
      <w:t>IPW052101.doc</w:t>
    </w:r>
    <w:r>
      <w:rPr>
        <w:sz w:val="18"/>
        <w:rFonts w:cs="Arial Narrow" w:ascii="Arial Narrow" w:hAnsi="Arial Narrow"/>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9" w:color="000000"/>
      </w:pBd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Fonts w:eastAsia="Arial"/>
      </w:rPr>
      <w:t xml:space="preserve"> </w:t>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Fonts w:eastAsia="Arial"/>
      </w:rPr>
      <w:t xml:space="preserve"> </w:t>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Fonts w:eastAsia="Arial"/>
      </w:rPr>
      <w:t xml:space="preserve"> </w:t>
    </w:r>
    <w:r>
      <w:rPr>
        <w:rStyle w:val="PageNumber"/>
      </w:rPr>
      <w: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Fonts w:eastAsia="Arial"/>
      </w:rPr>
      <w:t xml:space="preserve"> </w:t>
    </w:r>
    <w:r>
      <w:rPr>
        <w:rStyle w:val="PageNumber"/>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ogoEvenPg"/>
      <w:pBdr>
        <w:bottom w:val="single" w:sz="6" w:space="3" w:color="000000"/>
      </w:pBdr>
      <w:tabs>
        <w:tab w:val="clear" w:pos="4680"/>
        <w:tab w:val="right" w:pos="7200" w:leader="none"/>
      </w:tabs>
      <w:spacing w:before="60" w:after="0"/>
      <w:rPr/>
    </w:pPr>
    <w:r>
      <w:rPr/>
      <w:tab/>
    </w:r>
    <w:r>
      <w:rPr/>
      <w:drawing>
        <wp:inline distT="0" distB="0" distL="0" distR="0">
          <wp:extent cx="1005840" cy="304165"/>
          <wp:effectExtent l="0" t="0" r="0" b="0"/>
          <wp:docPr id="2"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5" descr="" title=""/>
                  <pic:cNvPicPr>
                    <a:picLocks noChangeAspect="1" noChangeArrowheads="1"/>
                  </pic:cNvPicPr>
                </pic:nvPicPr>
                <pic:blipFill>
                  <a:blip r:embed="rId1"/>
                  <a:stretch>
                    <a:fillRect/>
                  </a:stretch>
                </pic:blipFill>
                <pic:spPr bwMode="auto">
                  <a:xfrm>
                    <a:off x="0" y="0"/>
                    <a:ext cx="1005840" cy="304165"/>
                  </a:xfrm>
                  <a:prstGeom prst="rect">
                    <a:avLst/>
                  </a:prstGeom>
                </pic:spPr>
              </pic:pic>
            </a:graphicData>
          </a:graphic>
        </wp:inline>
      </w:drawing>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Portrait"/>
      <w:spacing w:before="60" w:after="0"/>
      <w:ind w:hanging="0" w:start="0" w:end="-43"/>
      <w:rPr/>
    </w:pPr>
    <w:r>
      <w:rPr/>
      <w:t>Independent Power Weekly</w:t>
      <w:tab/>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spacing w:before="0" w:after="0"/>
      <w:rPr/>
    </w:pPr>
    <w:r>
      <w:rPr/>
      <w:drawing>
        <wp:inline distT="0" distB="0" distL="0" distR="0">
          <wp:extent cx="1799590" cy="640080"/>
          <wp:effectExtent l="0" t="0" r="0" b="0"/>
          <wp:docPr id="17"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6" descr="" title=""/>
                  <pic:cNvPicPr>
                    <a:picLocks noChangeAspect="1" noChangeArrowheads="1"/>
                  </pic:cNvPicPr>
                </pic:nvPicPr>
                <pic:blipFill>
                  <a:blip r:embed="rId1"/>
                  <a:srcRect l="3760" t="-57" r="-19" b="-340"/>
                  <a:stretch>
                    <a:fillRect/>
                  </a:stretch>
                </pic:blipFill>
                <pic:spPr bwMode="auto">
                  <a:xfrm>
                    <a:off x="0" y="0"/>
                    <a:ext cx="1799590" cy="640080"/>
                  </a:xfrm>
                  <a:prstGeom prst="rect">
                    <a:avLst/>
                  </a:prstGeom>
                  <a:noFill/>
                </pic:spPr>
              </pic:pic>
            </a:graphicData>
          </a:graphic>
        </wp:inline>
      </w:drawing>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16"/>
      </w:rPr>
    </w:lvl>
  </w:abstractNum>
  <w:abstractNum w:abstractNumId="4">
    <w:lvl w:ilvl="0">
      <w:start w:val="1"/>
      <w:numFmt w:val="bullet"/>
      <w:lvlText w:val="·"/>
      <w:lvlJc w:val="start"/>
      <w:pPr>
        <w:tabs>
          <w:tab w:val="num" w:pos="0"/>
        </w:tabs>
        <w:ind w:start="0" w:hanging="0"/>
      </w:pPr>
      <w:rPr>
        <w:rFonts w:ascii="Symbol" w:hAnsi="Symbol" w:cs="Symbol" w:hint="default"/>
      </w:rPr>
    </w:lvl>
  </w:abstractNum>
  <w:abstractNum w:abstractNumId="5">
    <w:lvl w:ilvl="0">
      <w:start w:val="1"/>
      <w:numFmt w:val="decimal"/>
      <w:lvlText w:val="%1."/>
      <w:lvlJc w:val="start"/>
      <w:pPr>
        <w:tabs>
          <w:tab w:val="num" w:pos="360"/>
        </w:tabs>
        <w:ind w:start="360" w:hanging="360"/>
      </w:pPr>
      <w:rPr>
        <w:sz w:val="18"/>
        <w:i w:val="false"/>
        <w:b/>
        <w:rFonts w:ascii="Arial Narrow" w:hAnsi="Arial Narrow" w:cs="Arial Narrow"/>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0" w:hanging="0"/>
      </w:pPr>
    </w:lvl>
    <w:lvl w:ilvl="1">
      <w:start w:val="1"/>
      <w:numFmt w:val="lowerLetter"/>
      <w:lvlText w:val="%2)"/>
      <w:lvlJc w:val="start"/>
      <w:pPr>
        <w:tabs>
          <w:tab w:val="num" w:pos="720"/>
        </w:tabs>
        <w:ind w:start="720" w:hanging="360"/>
      </w:pPr>
      <w:rPr>
        <w:i w:val="false"/>
        <w:b w:val="false"/>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360"/>
        </w:tabs>
        <w:ind w:start="216" w:hanging="216"/>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sz w:val="16"/>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numFmt w:val="bullet"/>
      <w:lvlText w:val=""/>
      <w:lvlJc w:val="start"/>
      <w:pPr>
        <w:tabs>
          <w:tab w:val="num" w:pos="360"/>
        </w:tabs>
        <w:ind w:start="360" w:hanging="360"/>
      </w:pPr>
      <w:rPr>
        <w:rFonts w:ascii="Bookshelf Symbol 3" w:hAnsi="Bookshelf Symbol 3" w:cs="Bookshelf Symbol 3"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spacing w:before="0" w:after="120"/>
      <w:jc w:val="both"/>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320"/>
      <w:jc w:val="start"/>
      <w:outlineLvl w:val="0"/>
    </w:pPr>
    <w:rPr>
      <w:rFonts w:ascii="Helvetica" w:hAnsi="Helvetica" w:cs="Helvetica"/>
      <w:b/>
      <w:caps/>
      <w:kern w:val="2"/>
      <w:sz w:val="24"/>
    </w:rPr>
  </w:style>
  <w:style w:type="paragraph" w:styleId="Heading2">
    <w:name w:val="heading 2"/>
    <w:basedOn w:val="Normal"/>
    <w:next w:val="Normal"/>
    <w:qFormat/>
    <w:pPr>
      <w:keepNext w:val="true"/>
      <w:numPr>
        <w:ilvl w:val="1"/>
        <w:numId w:val="1"/>
      </w:numPr>
      <w:spacing w:before="10" w:after="120"/>
      <w:jc w:val="start"/>
      <w:outlineLvl w:val="1"/>
    </w:pPr>
    <w:rPr>
      <w:rFonts w:ascii="Arial Narrow" w:hAnsi="Arial Narrow" w:cs="Arial Narrow"/>
      <w:b/>
    </w:rPr>
  </w:style>
  <w:style w:type="paragraph" w:styleId="Heading3">
    <w:name w:val="heading 3"/>
    <w:basedOn w:val="Normal"/>
    <w:next w:val="Normal"/>
    <w:qFormat/>
    <w:pPr>
      <w:keepNext w:val="true"/>
      <w:numPr>
        <w:ilvl w:val="2"/>
        <w:numId w:val="1"/>
      </w:numPr>
      <w:jc w:val="center"/>
      <w:outlineLvl w:val="2"/>
    </w:pPr>
    <w:rPr>
      <w:sz w:val="22"/>
    </w:rPr>
  </w:style>
  <w:style w:type="paragraph" w:styleId="Heading4">
    <w:name w:val="heading 4"/>
    <w:basedOn w:val="Normal"/>
    <w:next w:val="Normal"/>
    <w:qFormat/>
    <w:pPr>
      <w:keepNext w:val="true"/>
      <w:numPr>
        <w:ilvl w:val="3"/>
        <w:numId w:val="1"/>
      </w:numPr>
      <w:spacing w:before="0" w:after="360"/>
      <w:outlineLvl w:val="3"/>
    </w:pPr>
    <w:rPr>
      <w:sz w:val="24"/>
    </w:rPr>
  </w:style>
  <w:style w:type="paragraph" w:styleId="Heading5">
    <w:name w:val="heading 5"/>
    <w:basedOn w:val="Normal"/>
    <w:next w:val="Normal"/>
    <w:qFormat/>
    <w:pPr>
      <w:keepNext w:val="true"/>
      <w:numPr>
        <w:ilvl w:val="4"/>
        <w:numId w:val="1"/>
      </w:numPr>
      <w:spacing w:before="60" w:after="0"/>
      <w:ind w:hanging="0" w:start="86" w:end="0"/>
      <w:jc w:val="start"/>
      <w:outlineLvl w:val="4"/>
    </w:pPr>
    <w:rPr>
      <w:b/>
    </w:rPr>
  </w:style>
  <w:style w:type="paragraph" w:styleId="Heading6">
    <w:name w:val="heading 6"/>
    <w:basedOn w:val="Normal"/>
    <w:next w:val="Normal"/>
    <w:qFormat/>
    <w:pPr>
      <w:keepNext w:val="true"/>
      <w:numPr>
        <w:ilvl w:val="5"/>
        <w:numId w:val="1"/>
      </w:numPr>
      <w:spacing w:before="60" w:after="0"/>
      <w:ind w:hanging="0" w:start="86" w:end="0"/>
      <w:jc w:val="start"/>
      <w:outlineLvl w:val="5"/>
    </w:pPr>
    <w:rPr>
      <w:b/>
    </w:rPr>
  </w:style>
  <w:style w:type="paragraph" w:styleId="Heading7">
    <w:name w:val="heading 7"/>
    <w:basedOn w:val="Normal"/>
    <w:next w:val="Normal"/>
    <w:qFormat/>
    <w:pPr>
      <w:keepNext w:val="true"/>
      <w:numPr>
        <w:ilvl w:val="6"/>
        <w:numId w:val="1"/>
      </w:numPr>
      <w:spacing w:before="120" w:after="120"/>
      <w:outlineLvl w:val="6"/>
    </w:pPr>
    <w:rPr>
      <w:rFonts w:ascii="Arial Narrow" w:hAnsi="Arial Narrow" w:cs="Arial Narrow"/>
      <w:b/>
      <w:color w:val="000000"/>
      <w:sz w:val="22"/>
    </w:rPr>
  </w:style>
  <w:style w:type="paragraph" w:styleId="Heading8">
    <w:name w:val="heading 8"/>
    <w:basedOn w:val="Normal"/>
    <w:next w:val="Normal"/>
    <w:qFormat/>
    <w:pPr>
      <w:keepNext w:val="true"/>
      <w:numPr>
        <w:ilvl w:val="7"/>
        <w:numId w:val="1"/>
      </w:numPr>
      <w:spacing w:before="120" w:after="0"/>
      <w:outlineLvl w:val="7"/>
    </w:pPr>
    <w:rPr>
      <w:b/>
    </w:rPr>
  </w:style>
  <w:style w:type="paragraph" w:styleId="Heading9">
    <w:name w:val="heading 9"/>
    <w:basedOn w:val="Normal"/>
    <w:next w:val="Normal"/>
    <w:qFormat/>
    <w:pPr>
      <w:keepNext w:val="true"/>
      <w:numPr>
        <w:ilvl w:val="8"/>
        <w:numId w:val="1"/>
      </w:numPr>
      <w:outlineLvl w:val="8"/>
    </w:pPr>
    <w:rPr>
      <w:b/>
      <w:i/>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sz w:val="16"/>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rFonts w:ascii="Symbol" w:hAnsi="Symbol" w:cs="Symbol"/>
      <w:color w:val="auto"/>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sz w:val="16"/>
    </w:rPr>
  </w:style>
  <w:style w:type="character" w:styleId="WW8Num27z0">
    <w:name w:val="WW8Num27z0"/>
    <w:qFormat/>
    <w:rPr>
      <w:rFonts w:ascii="Symbol" w:hAnsi="Symbol" w:cs="Symbol"/>
      <w:sz w:val="16"/>
    </w:rPr>
  </w:style>
  <w:style w:type="character" w:styleId="WW8Num28z0">
    <w:name w:val="WW8Num28z0"/>
    <w:qFormat/>
    <w:rPr>
      <w:rFonts w:ascii="Symbol" w:hAnsi="Symbol" w:cs="Symbol"/>
      <w:sz w:val="16"/>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sz w:val="16"/>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sz w:val="16"/>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sz w:val="16"/>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3z0">
    <w:name w:val="WW8Num53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sz w:val="22"/>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sz w:val="16"/>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sz w:val="16"/>
    </w:rPr>
  </w:style>
  <w:style w:type="character" w:styleId="WW8Num77z0">
    <w:name w:val="WW8Num77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b/>
      <w:i w:val="false"/>
      <w:color w:val="FFFFFF"/>
      <w:sz w:val="32"/>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b/>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rFonts w:ascii="Symbol" w:hAnsi="Symbol" w:cs="Symbol"/>
    </w:rPr>
  </w:style>
  <w:style w:type="character" w:styleId="WW8Num90z0">
    <w:name w:val="WW8Num90z0"/>
    <w:qFormat/>
    <w:rPr>
      <w:rFonts w:ascii="Arial Narrow" w:hAnsi="Arial Narrow" w:cs="Arial Narrow"/>
      <w:b/>
      <w:i w:val="false"/>
      <w:sz w:val="18"/>
    </w:rPr>
  </w:style>
  <w:style w:type="character" w:styleId="WW8Num91z0">
    <w:name w:val="WW8Num91z0"/>
    <w:qFormat/>
    <w:rPr>
      <w:rFonts w:ascii="Symbol" w:hAnsi="Symbol" w:cs="Symbol"/>
    </w:rPr>
  </w:style>
  <w:style w:type="character" w:styleId="WW8Num92z0">
    <w:name w:val="WW8Num92z0"/>
    <w:qFormat/>
    <w:rPr>
      <w:rFonts w:ascii="Wingdings" w:hAnsi="Wingdings" w:cs="Wingdings"/>
    </w:rPr>
  </w:style>
  <w:style w:type="character" w:styleId="WW8Num94z0">
    <w:name w:val="WW8Num94z0"/>
    <w:qFormat/>
    <w:rPr>
      <w:rFonts w:ascii="Symbol" w:hAnsi="Symbol" w:cs="Symbol"/>
      <w:sz w:val="16"/>
    </w:rPr>
  </w:style>
  <w:style w:type="character" w:styleId="WW8Num96z0">
    <w:name w:val="WW8Num96z0"/>
    <w:qFormat/>
    <w:rPr>
      <w:rFonts w:ascii="Symbol" w:hAnsi="Symbol" w:cs="Symbol"/>
      <w:color w:val="auto"/>
    </w:rPr>
  </w:style>
  <w:style w:type="character" w:styleId="WW8Num98z0">
    <w:name w:val="WW8Num98z0"/>
    <w:qFormat/>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sz w:val="22"/>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b w:val="false"/>
      <w:i w:val="false"/>
    </w:rPr>
  </w:style>
  <w:style w:type="character" w:styleId="WW8Num113z0">
    <w:name w:val="WW8Num113z0"/>
    <w:qFormat/>
    <w:rPr>
      <w:rFonts w:ascii="Symbol" w:hAnsi="Symbol" w:cs="Symbol"/>
    </w:rPr>
  </w:style>
  <w:style w:type="character" w:styleId="WW8Num115z0">
    <w:name w:val="WW8Num115z0"/>
    <w:qFormat/>
    <w:rPr>
      <w:rFonts w:ascii="Symbol" w:hAnsi="Symbol" w:cs="Symbol"/>
    </w:rPr>
  </w:style>
  <w:style w:type="character" w:styleId="WW8Num117z0">
    <w:name w:val="WW8Num117z0"/>
    <w:qFormat/>
    <w:rPr>
      <w:b/>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style>
  <w:style w:type="character" w:styleId="WW8Num124z0">
    <w:name w:val="WW8Num124z0"/>
    <w:qFormat/>
    <w:rPr>
      <w:rFonts w:ascii="Symbol" w:hAnsi="Symbol" w:cs="Symbol"/>
      <w:sz w:val="16"/>
    </w:rPr>
  </w:style>
  <w:style w:type="character" w:styleId="WW8Num125z0">
    <w:name w:val="WW8Num125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sz w:val="22"/>
    </w:rPr>
  </w:style>
  <w:style w:type="character" w:styleId="WW8Num140z0">
    <w:name w:val="WW8Num140z0"/>
    <w:qFormat/>
    <w:rPr>
      <w:rFonts w:ascii="Symbol" w:hAnsi="Symbol" w:cs="Symbol"/>
      <w:sz w:val="16"/>
    </w:rPr>
  </w:style>
  <w:style w:type="character" w:styleId="WW8Num141z0">
    <w:name w:val="WW8Num141z0"/>
    <w:qFormat/>
    <w:rPr>
      <w:rFonts w:ascii="Symbol" w:hAnsi="Symbol" w:cs="Symbol"/>
      <w:sz w:val="16"/>
    </w:rPr>
  </w:style>
  <w:style w:type="character" w:styleId="WW8Num142z0">
    <w:name w:val="WW8Num142z0"/>
    <w:qFormat/>
    <w:rPr>
      <w:rFonts w:ascii="Symbol" w:hAnsi="Symbol" w:cs="Symbol"/>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sz w:val="16"/>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style>
  <w:style w:type="character" w:styleId="WW8Num157z0">
    <w:name w:val="WW8Num157z0"/>
    <w:qFormat/>
    <w:rPr>
      <w:b/>
      <w:i w:val="false"/>
      <w:color w:val="FFFFFF"/>
      <w:sz w:val="32"/>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b/>
      <w:i w:val="false"/>
      <w:color w:val="FFFFFF"/>
      <w:sz w:val="32"/>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b/>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style>
  <w:style w:type="character" w:styleId="WW8Num178z0">
    <w:name w:val="WW8Num178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1">
    <w:name w:val="WW8Num182z1"/>
    <w:qFormat/>
    <w:rPr>
      <w:b w:val="false"/>
      <w:i w:val="false"/>
    </w:rPr>
  </w:style>
  <w:style w:type="character" w:styleId="WW8Num185z0">
    <w:name w:val="WW8Num185z0"/>
    <w:qFormat/>
    <w:rPr>
      <w:rFonts w:ascii="Symbol" w:hAnsi="Symbol" w:cs="Symbol"/>
    </w:rPr>
  </w:style>
  <w:style w:type="character" w:styleId="WW8Num186z0">
    <w:name w:val="WW8Num186z0"/>
    <w:qFormat/>
    <w:rPr>
      <w:rFonts w:ascii="Symbol" w:hAnsi="Symbol" w:cs="Symbol"/>
      <w:sz w:val="16"/>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sz w:val="16"/>
    </w:rPr>
  </w:style>
  <w:style w:type="character" w:styleId="WW8Num191z0">
    <w:name w:val="WW8Num191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6z1">
    <w:name w:val="WW8Num196z1"/>
    <w:qFormat/>
    <w:rPr>
      <w:b w:val="false"/>
      <w:i w:val="false"/>
    </w:rPr>
  </w:style>
  <w:style w:type="character" w:styleId="WW8Num197z0">
    <w:name w:val="WW8Num197z0"/>
    <w:qFormat/>
    <w:rPr>
      <w:rFonts w:ascii="Symbol" w:hAnsi="Symbol" w:cs="Symbol"/>
    </w:rPr>
  </w:style>
  <w:style w:type="character" w:styleId="WW8Num198z0">
    <w:name w:val="WW8Num198z0"/>
    <w:qFormat/>
    <w:rPr>
      <w:b/>
      <w:i w:val="false"/>
      <w:color w:val="FFFFFF"/>
      <w:sz w:val="32"/>
    </w:rPr>
  </w:style>
  <w:style w:type="character" w:styleId="WW8Num199z0">
    <w:name w:val="WW8Num199z0"/>
    <w:qFormat/>
    <w:rPr>
      <w:rFonts w:ascii="Symbol" w:hAnsi="Symbol" w:cs="Symbol"/>
    </w:rPr>
  </w:style>
  <w:style w:type="character" w:styleId="WW8Num200z0">
    <w:name w:val="WW8Num200z0"/>
    <w:qFormat/>
    <w:rPr/>
  </w:style>
  <w:style w:type="character" w:styleId="WW8Num201z0">
    <w:name w:val="WW8Num201z0"/>
    <w:qFormat/>
    <w:rPr>
      <w:rFonts w:ascii="Symbol" w:hAnsi="Symbol" w:cs="Symbol"/>
      <w:sz w:val="16"/>
    </w:rPr>
  </w:style>
  <w:style w:type="character" w:styleId="WW8Num202z0">
    <w:name w:val="WW8Num202z0"/>
    <w:qFormat/>
    <w:rPr>
      <w:rFonts w:ascii="Symbol" w:hAnsi="Symbol" w:cs="Symbol"/>
    </w:rPr>
  </w:style>
  <w:style w:type="character" w:styleId="WW8Num203z0">
    <w:name w:val="WW8Num203z0"/>
    <w:qFormat/>
    <w:rPr/>
  </w:style>
  <w:style w:type="character" w:styleId="WW8Num204z0">
    <w:name w:val="WW8Num204z0"/>
    <w:qFormat/>
    <w:rPr>
      <w:rFonts w:ascii="Symbol" w:hAnsi="Symbol" w:cs="Symbol"/>
      <w:sz w:val="16"/>
    </w:rPr>
  </w:style>
  <w:style w:type="character" w:styleId="WW8Num205z0">
    <w:name w:val="WW8Num205z0"/>
    <w:qFormat/>
    <w:rPr>
      <w:rFonts w:ascii="Symbol" w:hAnsi="Symbol" w:cs="Symbol"/>
    </w:rPr>
  </w:style>
  <w:style w:type="character" w:styleId="WW8Num206z0">
    <w:name w:val="WW8Num206z0"/>
    <w:qFormat/>
    <w:rPr>
      <w:rFonts w:ascii="Times New Roman" w:hAnsi="Times New Roman" w:cs="Times New Roman"/>
    </w:rPr>
  </w:style>
  <w:style w:type="character" w:styleId="WW8Num207z0">
    <w:name w:val="WW8Num207z0"/>
    <w:qFormat/>
    <w:rPr>
      <w:rFonts w:ascii="Symbol" w:hAnsi="Symbol" w:cs="Symbol"/>
    </w:rPr>
  </w:style>
  <w:style w:type="character" w:styleId="WW8Num208z0">
    <w:name w:val="WW8Num208z0"/>
    <w:qFormat/>
    <w:rPr>
      <w:rFonts w:ascii="Wingdings" w:hAnsi="Wingdings" w:cs="Wingdings"/>
    </w:rPr>
  </w:style>
  <w:style w:type="character" w:styleId="WW8Num208z1">
    <w:name w:val="WW8Num208z1"/>
    <w:qFormat/>
    <w:rPr>
      <w:rFonts w:ascii="Courier New" w:hAnsi="Courier New" w:cs="Courier New"/>
    </w:rPr>
  </w:style>
  <w:style w:type="character" w:styleId="WW8Num208z3">
    <w:name w:val="WW8Num208z3"/>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3z0">
    <w:name w:val="WW8Num213z0"/>
    <w:qFormat/>
    <w:rPr>
      <w:rFonts w:ascii="Symbol" w:hAnsi="Symbol" w:cs="Symbol"/>
    </w:rPr>
  </w:style>
  <w:style w:type="character" w:styleId="WW8Num215z0">
    <w:name w:val="WW8Num215z0"/>
    <w:qFormat/>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4z0">
    <w:name w:val="WW8Num224z0"/>
    <w:qFormat/>
    <w:rPr>
      <w:rFonts w:ascii="Symbol" w:hAnsi="Symbol" w:cs="Symbol"/>
      <w:sz w:val="16"/>
    </w:rPr>
  </w:style>
  <w:style w:type="character" w:styleId="WW8Num225z0">
    <w:name w:val="WW8Num225z0"/>
    <w:qFormat/>
    <w:rPr>
      <w:rFonts w:ascii="Symbol" w:hAnsi="Symbol" w:cs="Symbol"/>
    </w:rPr>
  </w:style>
  <w:style w:type="character" w:styleId="WW8Num226z0">
    <w:name w:val="WW8Num226z0"/>
    <w:qFormat/>
    <w:rPr>
      <w:b/>
      <w:i w:val="false"/>
      <w:color w:val="FFFFFF"/>
      <w:sz w:val="32"/>
    </w:rPr>
  </w:style>
  <w:style w:type="character" w:styleId="WW8Num227z0">
    <w:name w:val="WW8Num227z0"/>
    <w:qFormat/>
    <w:rPr>
      <w:rFonts w:ascii="Symbol" w:hAnsi="Symbol" w:cs="Symbol"/>
    </w:rPr>
  </w:style>
  <w:style w:type="character" w:styleId="WW8Num228z0">
    <w:name w:val="WW8Num228z0"/>
    <w:qFormat/>
    <w:rPr>
      <w:rFonts w:ascii="Symbol" w:hAnsi="Symbol" w:cs="Symbol"/>
      <w:sz w:val="16"/>
    </w:rPr>
  </w:style>
  <w:style w:type="character" w:styleId="WW8Num229z0">
    <w:name w:val="WW8Num229z0"/>
    <w:qFormat/>
    <w:rPr>
      <w:rFonts w:ascii="Symbol" w:hAnsi="Symbol" w:cs="Symbol"/>
    </w:rPr>
  </w:style>
  <w:style w:type="character" w:styleId="WW8Num230z0">
    <w:name w:val="WW8Num230z0"/>
    <w:qFormat/>
    <w:rPr>
      <w:rFonts w:ascii="Symbol" w:hAnsi="Symbol" w:cs="Symbol"/>
      <w:color w:val="auto"/>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6z0">
    <w:name w:val="WW8Num236z0"/>
    <w:qFormat/>
    <w:rPr>
      <w:rFonts w:ascii="Symbol" w:hAnsi="Symbol" w:cs="Symbol"/>
      <w:sz w:val="16"/>
    </w:rPr>
  </w:style>
  <w:style w:type="character" w:styleId="WW8Num238z0">
    <w:name w:val="WW8Num238z0"/>
    <w:qFormat/>
    <w:rPr>
      <w:rFonts w:ascii="Symbol" w:hAnsi="Symbol" w:cs="Symbol"/>
      <w:color w:val="auto"/>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style>
  <w:style w:type="character" w:styleId="WW8Num247z0">
    <w:name w:val="WW8Num247z0"/>
    <w:qFormat/>
    <w:rPr>
      <w:rFonts w:ascii="Times New Roman" w:hAnsi="Times New Roman" w:cs="Times New Roman"/>
    </w:rPr>
  </w:style>
  <w:style w:type="character" w:styleId="WW8Num248z0">
    <w:name w:val="WW8Num248z0"/>
    <w:qFormat/>
    <w:rPr>
      <w:rFonts w:ascii="Symbol" w:hAnsi="Symbol" w:cs="Symbol"/>
    </w:rPr>
  </w:style>
  <w:style w:type="character" w:styleId="WW8Num249z0">
    <w:name w:val="WW8Num249z0"/>
    <w:qFormat/>
    <w:rPr>
      <w:rFonts w:ascii="Wingdings" w:hAnsi="Wingdings" w:cs="Wingdings"/>
      <w:sz w:val="22"/>
    </w:rPr>
  </w:style>
  <w:style w:type="character" w:styleId="WW8Num250z0">
    <w:name w:val="WW8Num250z0"/>
    <w:qFormat/>
    <w:rPr>
      <w:rFonts w:ascii="Symbol" w:hAnsi="Symbol" w:cs="Symbol"/>
      <w:color w:val="auto"/>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sz w:val="16"/>
    </w:rPr>
  </w:style>
  <w:style w:type="character" w:styleId="WW8Num255z0">
    <w:name w:val="WW8Num255z0"/>
    <w:qFormat/>
    <w:rPr/>
  </w:style>
  <w:style w:type="character" w:styleId="WW8Num256z0">
    <w:name w:val="WW8Num256z0"/>
    <w:qFormat/>
    <w:rPr>
      <w:b/>
      <w:i w:val="false"/>
    </w:rPr>
  </w:style>
  <w:style w:type="character" w:styleId="WW8NumSt57z0">
    <w:name w:val="WW8NumSt57z0"/>
    <w:qFormat/>
    <w:rPr>
      <w:rFonts w:ascii="Bookshelf Symbol 3" w:hAnsi="Bookshelf Symbol 3" w:cs="Bookshelf Symbol 3"/>
    </w:rPr>
  </w:style>
  <w:style w:type="character" w:styleId="WW8NumSt115z0">
    <w:name w:val="WW8NumSt115z0"/>
    <w:qFormat/>
    <w:rPr>
      <w:rFonts w:ascii="Symbol" w:hAnsi="Symbol" w:cs="Symbol"/>
    </w:rPr>
  </w:style>
  <w:style w:type="character" w:styleId="WW8NumSt204z0">
    <w:name w:val="WW8NumSt204z0"/>
    <w:qFormat/>
    <w:rPr>
      <w:rFonts w:ascii="Symbol" w:hAnsi="Symbol" w:cs="Symbol"/>
    </w:rPr>
  </w:style>
  <w:style w:type="character" w:styleId="WW8NumSt221z0">
    <w:name w:val="WW8NumSt221z0"/>
    <w:qFormat/>
    <w:rPr>
      <w:rFonts w:ascii="Symbol" w:hAnsi="Symbol" w:cs="Symbol"/>
    </w:rPr>
  </w:style>
  <w:style w:type="character" w:styleId="DefaultParagraphFont">
    <w:name w:val="Default Paragraph Font"/>
    <w:qFormat/>
    <w:rPr/>
  </w:style>
  <w:style w:type="character" w:styleId="Head4">
    <w:name w:val="Head4"/>
    <w:basedOn w:val="DefaultParagraphFont"/>
    <w:qFormat/>
    <w:rPr>
      <w:rFonts w:ascii="Arial" w:hAnsi="Arial" w:cs="Arial"/>
      <w:b/>
      <w:sz w:val="20"/>
      <w:lang w:val="en-US"/>
    </w:rPr>
  </w:style>
  <w:style w:type="character" w:styleId="Location">
    <w:name w:val="Location"/>
    <w:qFormat/>
    <w:rPr>
      <w:sz w:val="16"/>
      <w:lang w:val="en-US"/>
    </w:rPr>
  </w:style>
  <w:style w:type="character" w:styleId="Marker">
    <w:name w:val="Marker"/>
    <w:basedOn w:val="DefaultParagraphFont"/>
    <w:qFormat/>
    <w:rPr>
      <w:rFonts w:ascii="Arial" w:hAnsi="Arial" w:cs="Arial"/>
      <w:b/>
      <w:caps/>
      <w:vanish/>
      <w:color w:val="FF0000"/>
      <w:sz w:val="16"/>
      <w:lang w:val="en-US"/>
    </w:rPr>
  </w:style>
  <w:style w:type="character" w:styleId="PageNumber">
    <w:name w:val="page number"/>
    <w:basedOn w:val="DefaultParagraphFont"/>
    <w:rPr/>
  </w:style>
  <w:style w:type="character" w:styleId="DataBoxDate">
    <w:name w:val="DataBoxDate"/>
    <w:basedOn w:val="DefaultParagraphFont"/>
    <w:qFormat/>
    <w:rPr>
      <w:rFonts w:ascii="Arial Narrow" w:hAnsi="Arial Narrow" w:cs="Arial Narrow"/>
      <w:b/>
      <w:sz w:val="18"/>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Arrow">
    <w:name w:val="Arrow"/>
    <w:basedOn w:val="DefaultParagraphFont"/>
    <w:qFormat/>
    <w:rPr>
      <w:rFonts w:ascii="Arial" w:hAnsi="Arial" w:cs="Arial"/>
      <w:b/>
      <w:sz w:val="28"/>
      <w:lang w:val="en-US"/>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0" w:after="0"/>
      <w:jc w:val="center"/>
    </w:pPr>
    <w:rPr>
      <w:b/>
      <w:sz w:val="24"/>
    </w:rPr>
  </w:style>
  <w:style w:type="paragraph" w:styleId="BodyText">
    <w:name w:val="Body Text"/>
    <w:basedOn w:val="Normal"/>
    <w:pPr>
      <w:jc w:val="start"/>
    </w:pPr>
    <w:rPr>
      <w:rFonts w:ascii="Arial Narrow" w:hAnsi="Arial Narrow" w:cs="Arial Narrow"/>
      <w:color w:val="000000"/>
      <w:sz w:val="22"/>
    </w:rPr>
  </w:style>
  <w:style w:type="paragraph" w:styleId="List">
    <w:name w:val="List"/>
    <w:basedOn w:val="Normal"/>
    <w:pPr>
      <w:spacing w:before="0" w:after="0"/>
      <w:ind w:hanging="360" w:start="360" w:end="0"/>
      <w:jc w:val="start"/>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lHead">
    <w:name w:val="TableColHead"/>
    <w:basedOn w:val="Normal"/>
    <w:qFormat/>
    <w:pPr>
      <w:keepNext w:val="true"/>
      <w:keepLines/>
      <w:spacing w:before="0" w:after="0"/>
      <w:jc w:val="start"/>
    </w:pPr>
    <w:rPr>
      <w:rFonts w:ascii="Arial Narrow" w:hAnsi="Arial Narrow" w:cs="Arial Narrow"/>
      <w:b/>
      <w:sz w:val="16"/>
    </w:rPr>
  </w:style>
  <w:style w:type="paragraph" w:styleId="Address">
    <w:name w:val="Address"/>
    <w:basedOn w:val="Normal"/>
    <w:next w:val="Normal"/>
    <w:qFormat/>
    <w:pPr>
      <w:spacing w:before="0" w:after="24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7655" w:leader="none"/>
      </w:tabs>
      <w:spacing w:before="0" w:after="0"/>
      <w:ind w:hanging="0" w:start="-2376" w:end="0"/>
      <w:jc w:val="start"/>
    </w:pPr>
    <w:rPr/>
  </w:style>
  <w:style w:type="paragraph" w:styleId="Disclaimer">
    <w:name w:val="Disclaimer"/>
    <w:basedOn w:val="Normal"/>
    <w:qFormat/>
    <w:pPr>
      <w:pBdr>
        <w:top w:val="single" w:sz="6" w:space="4" w:color="000000"/>
      </w:pBdr>
      <w:spacing w:before="0" w:after="60"/>
    </w:pPr>
    <w:rPr>
      <w:rFonts w:ascii="Arial Narrow" w:hAnsi="Arial Narrow" w:cs="Arial Narrow"/>
      <w:sz w:val="16"/>
    </w:rPr>
  </w:style>
  <w:style w:type="paragraph" w:styleId="FooterRegular">
    <w:name w:val="Footer Regular"/>
    <w:basedOn w:val="Footer"/>
    <w:qFormat/>
    <w:pPr>
      <w:pBdr>
        <w:top w:val="single" w:sz="6" w:space="1" w:color="000000"/>
      </w:pBdr>
      <w:tabs>
        <w:tab w:val="clear" w:pos="7655"/>
      </w:tabs>
      <w:jc w:val="center"/>
    </w:pPr>
    <w:rPr/>
  </w:style>
  <w:style w:type="paragraph" w:styleId="HeaderLogoEvenPg">
    <w:name w:val="Header Logo Even Pg"/>
    <w:basedOn w:val="Normal"/>
    <w:qFormat/>
    <w:pPr>
      <w:keepNext w:val="true"/>
      <w:pBdr>
        <w:bottom w:val="single" w:sz="6" w:space="6" w:color="000000"/>
      </w:pBdr>
      <w:tabs>
        <w:tab w:val="clear" w:pos="720"/>
        <w:tab w:val="left" w:pos="4680" w:leader="none"/>
      </w:tabs>
      <w:spacing w:before="60" w:after="0"/>
      <w:ind w:hanging="0" w:start="-2390" w:end="-43"/>
      <w:jc w:val="start"/>
    </w:pPr>
    <w:rPr>
      <w:sz w:val="24"/>
    </w:rPr>
  </w:style>
  <w:style w:type="paragraph" w:styleId="Logo">
    <w:name w:val="Logo"/>
    <w:qFormat/>
    <w:pPr>
      <w:widowControl/>
      <w:tabs>
        <w:tab w:val="clear" w:pos="720"/>
        <w:tab w:val="right" w:pos="7430" w:leader="none"/>
      </w:tabs>
      <w:bidi w:val="0"/>
      <w:ind w:hanging="0" w:start="-2477" w:end="0"/>
    </w:pPr>
    <w:rPr>
      <w:rFonts w:ascii="Arial Narrow" w:hAnsi="Arial Narrow" w:eastAsia="Times New Roman" w:cs="Arial Narrow"/>
      <w:caps/>
      <w:color w:val="auto"/>
      <w:sz w:val="20"/>
      <w:szCs w:val="20"/>
      <w:vertAlign w:val="superscript"/>
      <w:lang w:val="en-US" w:eastAsia="zh-CN" w:bidi="hi-IN"/>
    </w:rPr>
  </w:style>
  <w:style w:type="paragraph" w:styleId="OfficeBar">
    <w:name w:val="OfficeBar"/>
    <w:qFormat/>
    <w:pPr>
      <w:widowControl/>
      <w:tabs>
        <w:tab w:val="clear" w:pos="720"/>
        <w:tab w:val="right" w:pos="9957" w:leader="none"/>
      </w:tabs>
      <w:bidi w:val="0"/>
      <w:spacing w:lineRule="exact" w:line="310" w:before="40" w:after="120"/>
      <w:ind w:hanging="0" w:start="2477" w:end="0"/>
      <w:jc w:val="both"/>
    </w:pPr>
    <w:rPr>
      <w:rFonts w:ascii="Arial" w:hAnsi="Arial" w:eastAsia="Times New Roman" w:cs="Arial"/>
      <w:b/>
      <w:color w:val="FFFFFF"/>
      <w:sz w:val="22"/>
      <w:szCs w:val="20"/>
      <w:lang w:val="en-US" w:eastAsia="zh-CN" w:bidi="hi-IN"/>
    </w:rPr>
  </w:style>
  <w:style w:type="paragraph" w:styleId="Head1">
    <w:name w:val="Head1"/>
    <w:next w:val="Text"/>
    <w:qFormat/>
    <w:pPr>
      <w:keepNext w:val="true"/>
      <w:pageBreakBefore/>
      <w:widowControl/>
      <w:pBdr>
        <w:bottom w:val="single" w:sz="4" w:space="1" w:color="000000"/>
      </w:pBdr>
      <w:bidi w:val="0"/>
      <w:spacing w:before="0" w:after="240"/>
    </w:pPr>
    <w:rPr>
      <w:rFonts w:ascii="Arial" w:hAnsi="Arial" w:eastAsia="Times New Roman" w:cs="Arial"/>
      <w:b/>
      <w:color w:val="auto"/>
      <w:sz w:val="24"/>
      <w:szCs w:val="20"/>
      <w:lang w:val="en-US" w:eastAsia="zh-CN" w:bidi="hi-IN"/>
    </w:rPr>
  </w:style>
  <w:style w:type="paragraph" w:styleId="Text">
    <w:name w:val="Text"/>
    <w:qFormat/>
    <w:pPr>
      <w:widowControl/>
      <w:bidi w:val="0"/>
      <w:spacing w:before="0" w:after="120"/>
    </w:pPr>
    <w:rPr>
      <w:rFonts w:ascii="Arial" w:hAnsi="Arial" w:eastAsia="Times New Roman" w:cs="Arial"/>
      <w:color w:val="auto"/>
      <w:sz w:val="20"/>
      <w:szCs w:val="20"/>
      <w:lang w:val="en-US" w:eastAsia="zh-CN" w:bidi="hi-IN"/>
    </w:rPr>
  </w:style>
  <w:style w:type="paragraph" w:styleId="LogoHead">
    <w:name w:val="LogoHead"/>
    <w:basedOn w:val="Normal"/>
    <w:qFormat/>
    <w:pPr>
      <w:tabs>
        <w:tab w:val="clear" w:pos="720"/>
        <w:tab w:val="right" w:pos="4422" w:leader="none"/>
        <w:tab w:val="left" w:pos="5216" w:leader="none"/>
        <w:tab w:val="right" w:pos="8050" w:leader="none"/>
      </w:tabs>
      <w:spacing w:before="1" w:after="120"/>
      <w:jc w:val="start"/>
    </w:pPr>
    <w:rPr>
      <w:rFonts w:ascii="Arial Narrow" w:hAnsi="Arial Narrow" w:cs="Arial Narrow"/>
      <w:caps/>
    </w:rPr>
  </w:style>
  <w:style w:type="paragraph" w:styleId="Office">
    <w:name w:val="Office"/>
    <w:basedOn w:val="Normal"/>
    <w:qFormat/>
    <w:pPr>
      <w:tabs>
        <w:tab w:val="clear" w:pos="720"/>
        <w:tab w:val="right" w:pos="4320" w:leader="none"/>
        <w:tab w:val="left" w:pos="5760" w:leader="none"/>
        <w:tab w:val="right" w:pos="9450" w:leader="none"/>
      </w:tabs>
      <w:spacing w:before="0" w:after="0"/>
      <w:jc w:val="start"/>
    </w:pPr>
    <w:rPr/>
  </w:style>
  <w:style w:type="paragraph" w:styleId="Region2">
    <w:name w:val="Region2"/>
    <w:basedOn w:val="Normal"/>
    <w:next w:val="Address"/>
    <w:qFormat/>
    <w:pPr>
      <w:spacing w:before="240" w:after="120"/>
      <w:jc w:val="start"/>
    </w:pPr>
    <w:rPr>
      <w:b/>
      <w:color w:val="00FFFF"/>
      <w:sz w:val="28"/>
    </w:rPr>
  </w:style>
  <w:style w:type="paragraph" w:styleId="HeaderMain">
    <w:name w:val="HeaderMain"/>
    <w:basedOn w:val="Normal"/>
    <w:qFormat/>
    <w:pPr>
      <w:keepNext w:val="true"/>
      <w:pBdr>
        <w:bottom w:val="single" w:sz="6" w:space="6" w:color="000000"/>
      </w:pBdr>
      <w:tabs>
        <w:tab w:val="clear" w:pos="720"/>
        <w:tab w:val="right" w:pos="7200" w:leader="none"/>
      </w:tabs>
      <w:spacing w:before="60" w:after="0"/>
      <w:ind w:hanging="0" w:start="-2390" w:end="-43"/>
      <w:jc w:val="start"/>
    </w:pPr>
    <w:rPr>
      <w:sz w:val="24"/>
    </w:rPr>
  </w:style>
  <w:style w:type="paragraph" w:styleId="TableTitle">
    <w:name w:val="TableTitle"/>
    <w:basedOn w:val="Normal"/>
    <w:qFormat/>
    <w:pPr>
      <w:keepNext w:val="true"/>
      <w:pBdr>
        <w:top w:val="single" w:sz="6" w:space="1" w:color="000000"/>
      </w:pBdr>
      <w:spacing w:before="0" w:after="0"/>
      <w:jc w:val="start"/>
    </w:pPr>
    <w:rPr>
      <w:b/>
    </w:rPr>
  </w:style>
  <w:style w:type="paragraph" w:styleId="CameraReadyTableTitle">
    <w:name w:val="CameraReadyTableTitle"/>
    <w:basedOn w:val="TableTitle"/>
    <w:qFormat/>
    <w:pPr>
      <w:pBdr>
        <w:top w:val="nil"/>
        <w:bottom w:val="single" w:sz="6" w:space="1" w:color="000000"/>
      </w:pBdr>
    </w:pPr>
    <w:rPr/>
  </w:style>
  <w:style w:type="paragraph" w:styleId="TableSubTitle">
    <w:name w:val="TableSubTitle"/>
    <w:basedOn w:val="TableTitle"/>
    <w:next w:val="TableBody"/>
    <w:qFormat/>
    <w:pPr>
      <w:keepNext w:val="false"/>
      <w:keepLines/>
    </w:pPr>
    <w:rPr>
      <w:b w:val="false"/>
      <w:sz w:val="16"/>
    </w:rPr>
  </w:style>
  <w:style w:type="paragraph" w:styleId="CameraReadyTableSubtitle">
    <w:name w:val="CameraReadyTableSubtitle"/>
    <w:basedOn w:val="TableSubTitle"/>
    <w:qFormat/>
    <w:pPr>
      <w:keepNext w:val="true"/>
      <w:pBdr>
        <w:top w:val="nil"/>
        <w:bottom w:val="single" w:sz="6" w:space="1" w:color="000000"/>
      </w:pBdr>
    </w:pPr>
    <w:rPr/>
  </w:style>
  <w:style w:type="paragraph" w:styleId="TableBody">
    <w:name w:val="TableBody"/>
    <w:basedOn w:val="Normal"/>
    <w:qFormat/>
    <w:pPr>
      <w:keepNext w:val="true"/>
      <w:keepLines/>
      <w:spacing w:before="0" w:after="0"/>
      <w:jc w:val="start"/>
    </w:pPr>
    <w:rPr>
      <w:rFonts w:ascii="Arial Narrow" w:hAnsi="Arial Narrow" w:cs="Arial Narrow"/>
      <w:sz w:val="18"/>
    </w:rPr>
  </w:style>
  <w:style w:type="paragraph" w:styleId="Header">
    <w:name w:val="header"/>
    <w:basedOn w:val="Normal"/>
    <w:pPr>
      <w:tabs>
        <w:tab w:val="clear" w:pos="720"/>
        <w:tab w:val="center" w:pos="4320" w:leader="none"/>
        <w:tab w:val="right" w:pos="8640" w:leader="none"/>
      </w:tabs>
    </w:pPr>
    <w:rPr/>
  </w:style>
  <w:style w:type="paragraph" w:styleId="Tick">
    <w:name w:val="Tick"/>
    <w:qFormat/>
    <w:pPr>
      <w:widowControl/>
      <w:bidi w:val="0"/>
      <w:spacing w:before="156" w:after="0"/>
      <w:ind w:hanging="0" w:start="-115" w:end="14"/>
      <w:jc w:val="end"/>
    </w:pPr>
    <w:rPr>
      <w:rFonts w:ascii="Arial Narrow" w:hAnsi="Arial Narrow" w:eastAsia="Times New Roman" w:cs="Arial Narrow"/>
      <w:b/>
      <w:caps/>
      <w:color w:val="auto"/>
      <w:sz w:val="22"/>
      <w:szCs w:val="20"/>
      <w:lang w:val="en-US" w:eastAsia="zh-CN" w:bidi="hi-IN"/>
    </w:rPr>
  </w:style>
  <w:style w:type="paragraph" w:styleId="DataBox">
    <w:name w:val="DataBox"/>
    <w:basedOn w:val="Normal"/>
    <w:qFormat/>
    <w:pPr>
      <w:tabs>
        <w:tab w:val="clear" w:pos="720"/>
        <w:tab w:val="decimal" w:pos="360" w:leader="none"/>
      </w:tabs>
      <w:spacing w:lineRule="exact" w:line="240" w:before="0" w:after="0"/>
      <w:jc w:val="start"/>
    </w:pPr>
    <w:rPr>
      <w:rFonts w:ascii="Arial Narrow" w:hAnsi="Arial Narrow" w:cs="Arial Narrow"/>
    </w:rPr>
  </w:style>
  <w:style w:type="paragraph" w:styleId="DataBoxTitle">
    <w:name w:val="DataBoxTitle"/>
    <w:basedOn w:val="DataBox"/>
    <w:qFormat/>
    <w:pPr>
      <w:tabs>
        <w:tab w:val="clear" w:pos="360"/>
        <w:tab w:val="right" w:pos="1080" w:leader="none"/>
      </w:tabs>
      <w:spacing w:lineRule="exact" w:line="180"/>
      <w:jc w:val="end"/>
    </w:pPr>
    <w:rPr>
      <w:b/>
      <w:sz w:val="18"/>
    </w:rPr>
  </w:style>
  <w:style w:type="paragraph" w:styleId="Summary">
    <w:name w:val="Summary"/>
    <w:qFormat/>
    <w:pPr>
      <w:widowControl/>
      <w:numPr>
        <w:ilvl w:val="0"/>
        <w:numId w:val="4"/>
      </w:numPr>
      <w:bidi w:val="0"/>
      <w:spacing w:before="60" w:after="60"/>
      <w:ind w:hanging="360" w:start="461" w:end="-14"/>
    </w:pPr>
    <w:rPr>
      <w:rFonts w:ascii="Arial" w:hAnsi="Arial" w:eastAsia="Times New Roman" w:cs="Arial"/>
      <w:color w:val="auto"/>
      <w:sz w:val="22"/>
      <w:szCs w:val="20"/>
      <w:lang w:val="en-US" w:eastAsia="zh-CN" w:bidi="hi-IN"/>
    </w:rPr>
  </w:style>
  <w:style w:type="paragraph" w:styleId="TableFooter">
    <w:name w:val="TableFooter"/>
    <w:basedOn w:val="Normal"/>
    <w:qFormat/>
    <w:pPr>
      <w:spacing w:lineRule="atLeast" w:line="220" w:before="0" w:after="0"/>
      <w:jc w:val="start"/>
    </w:pPr>
    <w:rPr>
      <w:rFonts w:ascii="Arial Narrow" w:hAnsi="Arial Narrow" w:cs="Arial Narrow"/>
      <w:sz w:val="16"/>
    </w:rPr>
  </w:style>
  <w:style w:type="paragraph" w:styleId="Head2">
    <w:name w:val="Head2"/>
    <w:basedOn w:val="Normal"/>
    <w:next w:val="Text"/>
    <w:qFormat/>
    <w:pPr>
      <w:keepNext w:val="true"/>
      <w:jc w:val="start"/>
    </w:pPr>
    <w:rPr>
      <w:b/>
      <w:sz w:val="22"/>
    </w:rPr>
  </w:style>
  <w:style w:type="paragraph" w:styleId="Industry">
    <w:name w:val="Industry"/>
    <w:basedOn w:val="Normal"/>
    <w:qFormat/>
    <w:pPr>
      <w:tabs>
        <w:tab w:val="clear" w:pos="720"/>
        <w:tab w:val="right" w:pos="9720" w:leader="none"/>
      </w:tabs>
      <w:spacing w:before="120" w:after="0"/>
      <w:ind w:hanging="0" w:start="144" w:end="0"/>
    </w:pPr>
    <w:rPr>
      <w:rFonts w:ascii="Arial Narrow" w:hAnsi="Arial Narrow" w:cs="Arial Narrow"/>
      <w:b/>
      <w:sz w:val="18"/>
    </w:rPr>
  </w:style>
  <w:style w:type="paragraph" w:styleId="Opinion">
    <w:name w:val="Opinion"/>
    <w:next w:val="Stamp1"/>
    <w:qFormat/>
    <w:pPr>
      <w:widowControl/>
      <w:shd w:fill="auto" w:val="clear"/>
      <w:bidi w:val="0"/>
      <w:spacing w:before="156" w:after="0"/>
      <w:ind w:hanging="0" w:start="72" w:end="-115"/>
    </w:pPr>
    <w:rPr>
      <w:rFonts w:ascii="Arial Narrow" w:hAnsi="Arial Narrow" w:eastAsia="Times New Roman" w:cs="Arial Narrow"/>
      <w:b/>
      <w:caps/>
      <w:color w:val="auto"/>
      <w:sz w:val="22"/>
      <w:szCs w:val="20"/>
      <w:lang w:val="en-US" w:eastAsia="zh-CN" w:bidi="hi-IN"/>
    </w:rPr>
  </w:style>
  <w:style w:type="paragraph" w:styleId="Stamp1">
    <w:name w:val="Stamp1"/>
    <w:basedOn w:val="Opinion"/>
    <w:next w:val="Stamp2"/>
    <w:qFormat/>
    <w:pPr/>
    <w:rPr/>
  </w:style>
  <w:style w:type="paragraph" w:styleId="Stamp2">
    <w:name w:val="Stamp2"/>
    <w:basedOn w:val="Opinion"/>
    <w:next w:val="Stamp3"/>
    <w:qFormat/>
    <w:pPr/>
    <w:rPr/>
  </w:style>
  <w:style w:type="paragraph" w:styleId="Stamp3">
    <w:name w:val="Stamp3"/>
    <w:basedOn w:val="Opinion"/>
    <w:qFormat/>
    <w:pPr/>
    <w:rPr/>
  </w:style>
  <w:style w:type="paragraph" w:styleId="NB">
    <w:name w:val="NB"/>
    <w:qFormat/>
    <w:pPr>
      <w:widowControl/>
      <w:pBdr>
        <w:top w:val="single" w:sz="6" w:space="1" w:color="000000"/>
      </w:pBdr>
      <w:bidi w:val="0"/>
      <w:spacing w:before="0" w:after="120"/>
    </w:pPr>
    <w:rPr>
      <w:rFonts w:ascii="Arial Narrow" w:hAnsi="Arial Narrow" w:eastAsia="Times New Roman" w:cs="Arial Narrow"/>
      <w:color w:val="auto"/>
      <w:sz w:val="16"/>
      <w:szCs w:val="20"/>
      <w:lang w:val="en-US" w:eastAsia="zh-CN" w:bidi="hi-IN"/>
    </w:rPr>
  </w:style>
  <w:style w:type="paragraph" w:styleId="FootnoteText">
    <w:name w:val="footnote text"/>
    <w:basedOn w:val="NB"/>
    <w:pPr/>
    <w:rPr/>
  </w:style>
  <w:style w:type="paragraph" w:styleId="HeadTitle">
    <w:name w:val="HeadTitle"/>
    <w:qFormat/>
    <w:pPr>
      <w:widowControl/>
      <w:bidi w:val="0"/>
      <w:spacing w:before="0" w:after="120"/>
      <w:ind w:hanging="0" w:start="86" w:end="-115"/>
    </w:pPr>
    <w:rPr>
      <w:rFonts w:ascii="Arial" w:hAnsi="Arial" w:eastAsia="Times New Roman" w:cs="Arial"/>
      <w:b/>
      <w:color w:val="auto"/>
      <w:sz w:val="40"/>
      <w:szCs w:val="20"/>
      <w:lang w:val="en-US" w:eastAsia="zh-CN" w:bidi="hi-IN"/>
    </w:rPr>
  </w:style>
  <w:style w:type="paragraph" w:styleId="NewCompany">
    <w:name w:val="NewCompany"/>
    <w:basedOn w:val="HeadTitle"/>
    <w:qFormat/>
    <w:pPr/>
    <w:rPr/>
  </w:style>
  <w:style w:type="paragraph" w:styleId="NewTick">
    <w:name w:val="NewTick"/>
    <w:basedOn w:val="Normal"/>
    <w:qFormat/>
    <w:pPr>
      <w:keepNext w:val="true"/>
      <w:keepLines/>
      <w:ind w:hanging="0" w:start="0" w:end="58"/>
      <w:jc w:val="end"/>
    </w:pPr>
    <w:rPr>
      <w:rFonts w:ascii="Arial Narrow" w:hAnsi="Arial Narrow" w:cs="Arial Narrow"/>
      <w:b/>
      <w:smallCaps/>
      <w:sz w:val="32"/>
    </w:rPr>
  </w:style>
  <w:style w:type="paragraph" w:styleId="NewAnalystName">
    <w:name w:val="NewAnalystName"/>
    <w:basedOn w:val="Normal"/>
    <w:qFormat/>
    <w:pPr>
      <w:keepNext w:val="true"/>
      <w:keepLines/>
      <w:spacing w:before="0" w:after="0"/>
      <w:jc w:val="start"/>
    </w:pPr>
    <w:rPr>
      <w:sz w:val="28"/>
    </w:rPr>
  </w:style>
  <w:style w:type="paragraph" w:styleId="NewIndustry">
    <w:name w:val="NewIndustry"/>
    <w:basedOn w:val="NewAnalystName"/>
    <w:qFormat/>
    <w:pPr>
      <w:jc w:val="end"/>
    </w:pPr>
    <w:rPr>
      <w:b/>
    </w:rPr>
  </w:style>
  <w:style w:type="paragraph" w:styleId="Phone">
    <w:name w:val="Phone"/>
    <w:qFormat/>
    <w:pPr>
      <w:widowControl/>
      <w:bidi w:val="0"/>
      <w:ind w:hanging="0" w:start="86" w:end="0"/>
    </w:pPr>
    <w:rPr>
      <w:rFonts w:ascii="Arial" w:hAnsi="Arial" w:eastAsia="Times New Roman" w:cs="Arial"/>
      <w:color w:val="auto"/>
      <w:sz w:val="16"/>
      <w:szCs w:val="20"/>
      <w:lang w:val="en-US" w:eastAsia="zh-CN" w:bidi="hi-IN"/>
    </w:rPr>
  </w:style>
  <w:style w:type="paragraph" w:styleId="HangingText">
    <w:name w:val="HangingText"/>
    <w:basedOn w:val="Normal"/>
    <w:qFormat/>
    <w:pPr>
      <w:keepNext w:val="true"/>
      <w:spacing w:before="10" w:after="120"/>
      <w:jc w:val="start"/>
    </w:pPr>
    <w:rPr>
      <w:rFonts w:ascii="Arial Narrow" w:hAnsi="Arial Narrow" w:cs="Arial Narrow"/>
      <w:b/>
    </w:rPr>
  </w:style>
  <w:style w:type="paragraph" w:styleId="Subtitle">
    <w:name w:val="Subtitle"/>
    <w:next w:val="BodyText"/>
    <w:qFormat/>
    <w:pPr>
      <w:widowControl/>
      <w:bidi w:val="0"/>
      <w:spacing w:before="0" w:after="480"/>
      <w:ind w:hanging="0" w:start="130" w:end="-115"/>
    </w:pPr>
    <w:rPr>
      <w:rFonts w:ascii="Arial" w:hAnsi="Arial" w:eastAsia="Times New Roman" w:cs="Arial"/>
      <w:color w:val="auto"/>
      <w:sz w:val="24"/>
      <w:szCs w:val="20"/>
      <w:lang w:val="en-US" w:eastAsia="zh-CN" w:bidi="hi-IN"/>
    </w:rPr>
  </w:style>
  <w:style w:type="paragraph" w:styleId="IndustryDate">
    <w:name w:val="IndustryDate"/>
    <w:basedOn w:val="Industry"/>
    <w:qFormat/>
    <w:pPr>
      <w:tabs>
        <w:tab w:val="left" w:pos="2367" w:leader="none"/>
        <w:tab w:val="right" w:pos="9720" w:leader="none"/>
      </w:tabs>
      <w:ind w:hanging="0" w:start="0" w:end="0"/>
      <w:jc w:val="end"/>
    </w:pPr>
    <w:rPr/>
  </w:style>
  <w:style w:type="paragraph" w:styleId="CompanyDesc">
    <w:name w:val="CompanyDesc"/>
    <w:qFormat/>
    <w:pPr>
      <w:keepLines/>
      <w:widowControl/>
      <w:bidi w:val="0"/>
      <w:spacing w:lineRule="exact" w:line="240" w:before="60" w:after="60"/>
      <w:ind w:hanging="0" w:start="29" w:end="0"/>
    </w:pPr>
    <w:rPr>
      <w:rFonts w:ascii="Arial Narrow" w:hAnsi="Arial Narrow" w:eastAsia="Times New Roman" w:cs="Arial Narrow"/>
      <w:b/>
      <w:color w:val="auto"/>
      <w:sz w:val="22"/>
      <w:szCs w:val="20"/>
      <w:lang w:val="en-US" w:eastAsia="zh-CN" w:bidi="hi-IN"/>
    </w:rPr>
  </w:style>
  <w:style w:type="paragraph" w:styleId="Email">
    <w:name w:val="Email"/>
    <w:qFormat/>
    <w:pPr>
      <w:widowControl/>
      <w:bidi w:val="0"/>
      <w:spacing w:before="0" w:after="120"/>
      <w:ind w:hanging="0" w:start="86" w:end="0"/>
    </w:pPr>
    <w:rPr>
      <w:rFonts w:ascii="Arial" w:hAnsi="Arial" w:eastAsia="Times New Roman" w:cs="Arial"/>
      <w:color w:val="auto"/>
      <w:sz w:val="16"/>
      <w:szCs w:val="20"/>
      <w:lang w:val="en-US" w:eastAsia="zh-CN" w:bidi="hi-IN"/>
    </w:rPr>
  </w:style>
  <w:style w:type="paragraph" w:styleId="Name">
    <w:name w:val="Name"/>
    <w:qFormat/>
    <w:pPr>
      <w:keepNext w:val="true"/>
      <w:widowControl/>
      <w:bidi w:val="0"/>
      <w:spacing w:before="60" w:after="0"/>
      <w:ind w:hanging="0" w:start="86" w:end="0"/>
    </w:pPr>
    <w:rPr>
      <w:rFonts w:ascii="Arial" w:hAnsi="Arial" w:eastAsia="Times New Roman" w:cs="Arial"/>
      <w:b/>
      <w:color w:val="auto"/>
      <w:sz w:val="16"/>
      <w:szCs w:val="20"/>
      <w:lang w:val="en-US" w:eastAsia="zh-CN" w:bidi="hi-IN"/>
    </w:rPr>
  </w:style>
  <w:style w:type="paragraph" w:styleId="DeskNoteBar">
    <w:name w:val="DeskNoteBar"/>
    <w:qFormat/>
    <w:pPr>
      <w:widowControl/>
      <w:shd w:fill="FF0000" w:val="clear"/>
      <w:tabs>
        <w:tab w:val="clear" w:pos="720"/>
        <w:tab w:val="center" w:pos="4320" w:leader="none"/>
        <w:tab w:val="right" w:pos="8640" w:leader="none"/>
      </w:tabs>
      <w:bidi w:val="0"/>
      <w:spacing w:before="0" w:after="120"/>
      <w:ind w:hanging="0" w:start="720" w:end="3240"/>
      <w:jc w:val="center"/>
    </w:pPr>
    <w:rPr>
      <w:rFonts w:ascii="Arial" w:hAnsi="Arial" w:eastAsia="Times New Roman" w:cs="Arial"/>
      <w:b/>
      <w:caps/>
      <w:color w:val="FFFFFF"/>
      <w:sz w:val="32"/>
      <w:szCs w:val="20"/>
      <w:lang w:val="en-US" w:eastAsia="zh-CN" w:bidi="hi-IN"/>
    </w:rPr>
  </w:style>
  <w:style w:type="paragraph" w:styleId="Reut">
    <w:name w:val="Reut"/>
    <w:basedOn w:val="Tick"/>
    <w:qFormat/>
    <w:pPr/>
    <w:rPr/>
  </w:style>
  <w:style w:type="paragraph" w:styleId="Other">
    <w:name w:val="Other"/>
    <w:basedOn w:val="Tick"/>
    <w:qFormat/>
    <w:pPr/>
    <w:rPr/>
  </w:style>
  <w:style w:type="paragraph" w:styleId="headerfield">
    <w:name w:val="headerfield"/>
    <w:qFormat/>
    <w:pPr>
      <w:keepNext w:val="true"/>
      <w:widowControl/>
      <w:pBdr>
        <w:bottom w:val="single" w:sz="6" w:space="6" w:color="000000"/>
      </w:pBdr>
      <w:tabs>
        <w:tab w:val="clear" w:pos="720"/>
        <w:tab w:val="left" w:pos="4680" w:leader="none"/>
      </w:tabs>
      <w:bidi w:val="0"/>
      <w:spacing w:before="60" w:after="0"/>
      <w:ind w:hanging="0" w:start="-2390" w:end="-43"/>
    </w:pPr>
    <w:rPr>
      <w:rFonts w:ascii="Arial" w:hAnsi="Arial" w:eastAsia="Times New Roman" w:cs="Arial"/>
      <w:color w:val="auto"/>
      <w:sz w:val="24"/>
      <w:szCs w:val="20"/>
      <w:lang w:val="en-US" w:eastAsia="zh-CN" w:bidi="hi-IN"/>
    </w:rPr>
  </w:style>
  <w:style w:type="paragraph" w:styleId="Head3">
    <w:name w:val="Head3"/>
    <w:basedOn w:val="Head2"/>
    <w:next w:val="Text"/>
    <w:qFormat/>
    <w:pPr>
      <w:spacing w:before="0" w:after="0"/>
    </w:pPr>
    <w:rPr/>
  </w:style>
  <w:style w:type="paragraph" w:styleId="NewIndustryName">
    <w:name w:val="NewIndustryName"/>
    <w:basedOn w:val="NewIndustry"/>
    <w:qFormat/>
    <w:pPr>
      <w:keepLines w:val="false"/>
      <w:spacing w:before="0" w:after="120"/>
      <w:ind w:hanging="0" w:start="43" w:end="0"/>
      <w:jc w:val="start"/>
    </w:pPr>
    <w:rPr>
      <w:b w:val="false"/>
      <w:sz w:val="16"/>
    </w:rPr>
  </w:style>
  <w:style w:type="paragraph" w:styleId="PlaceHolder">
    <w:name w:val="PlaceHolder"/>
    <w:qFormat/>
    <w:pPr>
      <w:widowControl/>
      <w:bidi w:val="0"/>
      <w:jc w:val="center"/>
    </w:pPr>
    <w:rPr>
      <w:rFonts w:ascii="Arial" w:hAnsi="Arial" w:eastAsia="Times New Roman" w:cs="Arial"/>
      <w:b/>
      <w:caps/>
      <w:vanish/>
      <w:color w:val="FF0000"/>
      <w:sz w:val="16"/>
      <w:szCs w:val="20"/>
      <w:lang w:val="en-US" w:eastAsia="zh-CN" w:bidi="hi-IN"/>
    </w:rPr>
  </w:style>
  <w:style w:type="paragraph" w:styleId="TOC1">
    <w:name w:val="TOC1"/>
    <w:basedOn w:val="Normal"/>
    <w:next w:val="TOC2"/>
    <w:qFormat/>
    <w:pPr>
      <w:keepNext w:val="true"/>
      <w:pBdr>
        <w:bottom w:val="single" w:sz="4" w:space="1" w:color="000000"/>
      </w:pBdr>
      <w:tabs>
        <w:tab w:val="clear" w:pos="720"/>
        <w:tab w:val="right" w:pos="7200" w:leader="none"/>
      </w:tabs>
      <w:suppressAutoHyphens w:val="true"/>
      <w:spacing w:lineRule="exact" w:line="280" w:before="0" w:after="0"/>
      <w:jc w:val="start"/>
    </w:pPr>
    <w:rPr>
      <w:b/>
      <w:sz w:val="22"/>
    </w:rPr>
  </w:style>
  <w:style w:type="paragraph" w:styleId="TOC2">
    <w:name w:val="TOC2"/>
    <w:basedOn w:val="TOC1"/>
    <w:qFormat/>
    <w:pPr>
      <w:keepNext w:val="false"/>
      <w:keepLines/>
      <w:pBdr>
        <w:bottom w:val="single" w:sz="6" w:space="3" w:color="000000"/>
      </w:pBdr>
      <w:ind w:firstLine="202" w:start="0" w:end="0"/>
    </w:pPr>
    <w:rPr>
      <w:b w:val="false"/>
    </w:rPr>
  </w:style>
  <w:style w:type="paragraph" w:styleId="SPC">
    <w:name w:val="SPC"/>
    <w:basedOn w:val="Normal"/>
    <w:qFormat/>
    <w:pPr>
      <w:pBdr>
        <w:bottom w:val="single" w:sz="6" w:space="1" w:color="000000"/>
      </w:pBdr>
      <w:tabs>
        <w:tab w:val="clear" w:pos="720"/>
        <w:tab w:val="right" w:pos="1080" w:leader="none"/>
      </w:tabs>
      <w:spacing w:before="300" w:after="360"/>
      <w:ind w:hanging="72" w:start="72" w:end="-144"/>
      <w:jc w:val="start"/>
    </w:pPr>
    <w:rPr>
      <w:rFonts w:ascii="Arial Narrow" w:hAnsi="Arial Narrow" w:cs="Arial Narrow"/>
      <w:b/>
      <w:sz w:val="22"/>
    </w:rPr>
  </w:style>
  <w:style w:type="paragraph" w:styleId="GraphicTitle">
    <w:name w:val="GraphicTitle"/>
    <w:qFormat/>
    <w:pPr>
      <w:widowControl/>
      <w:bidi w:val="0"/>
      <w:spacing w:before="60" w:after="60"/>
      <w:ind w:hanging="0" w:start="-115" w:end="-115"/>
      <w:jc w:val="center"/>
    </w:pPr>
    <w:rPr>
      <w:rFonts w:ascii="Arial" w:hAnsi="Arial" w:eastAsia="Times New Roman" w:cs="Arial"/>
      <w:b/>
      <w:i/>
      <w:color w:val="auto"/>
      <w:sz w:val="16"/>
      <w:szCs w:val="20"/>
      <w:lang w:val="en-US" w:eastAsia="zh-CN" w:bidi="hi-IN"/>
    </w:rPr>
  </w:style>
  <w:style w:type="paragraph" w:styleId="TableOfContents">
    <w:name w:val="TableOfContents"/>
    <w:basedOn w:val="Normal"/>
    <w:qFormat/>
    <w:pPr>
      <w:keepNext w:val="true"/>
      <w:pageBreakBefore/>
      <w:pBdr>
        <w:bottom w:val="single" w:sz="4" w:space="1" w:color="000000"/>
      </w:pBdr>
      <w:spacing w:before="0" w:after="240"/>
      <w:jc w:val="start"/>
    </w:pPr>
    <w:rPr>
      <w:b/>
      <w:sz w:val="24"/>
    </w:rPr>
  </w:style>
  <w:style w:type="paragraph" w:styleId="Picture">
    <w:name w:val="Picture"/>
    <w:qFormat/>
    <w:pPr>
      <w:widowControl/>
      <w:bidi w:val="0"/>
      <w:spacing w:before="60" w:after="120"/>
    </w:pPr>
    <w:rPr>
      <w:rFonts w:ascii="Arial" w:hAnsi="Arial" w:eastAsia="Times New Roman" w:cs="Arial"/>
      <w:color w:val="auto"/>
      <w:sz w:val="20"/>
      <w:szCs w:val="20"/>
      <w:lang w:val="en-US" w:eastAsia="zh-CN" w:bidi="hi-IN"/>
    </w:rPr>
  </w:style>
  <w:style w:type="paragraph" w:styleId="Price">
    <w:name w:val="Price"/>
    <w:basedOn w:val="Opinion"/>
    <w:qFormat/>
    <w:pPr>
      <w:spacing w:before="0" w:after="0"/>
      <w:ind w:hanging="0" w:start="43" w:end="-115"/>
    </w:pPr>
    <w:rPr/>
  </w:style>
  <w:style w:type="paragraph" w:styleId="InsertTOC">
    <w:name w:val="InsertTOC"/>
    <w:qFormat/>
    <w:pPr>
      <w:widowControl/>
      <w:bidi w:val="0"/>
    </w:pPr>
    <w:rPr>
      <w:rFonts w:ascii="Arial" w:hAnsi="Arial" w:eastAsia="Times New Roman" w:cs="Arial"/>
      <w:b/>
      <w:caps/>
      <w:vanish/>
      <w:color w:val="FF0000"/>
      <w:sz w:val="18"/>
      <w:szCs w:val="20"/>
      <w:lang w:val="en-US" w:eastAsia="zh-CN" w:bidi="hi-IN"/>
    </w:rPr>
  </w:style>
  <w:style w:type="paragraph" w:styleId="GraphicSource">
    <w:name w:val="GraphicSource"/>
    <w:basedOn w:val="GraphicTitle"/>
    <w:qFormat/>
    <w:pPr>
      <w:spacing w:before="60" w:after="0"/>
      <w:ind w:hanging="0" w:start="0" w:end="-115"/>
      <w:jc w:val="start"/>
    </w:pPr>
    <w:rPr>
      <w:b w:val="false"/>
      <w:i w:val="false"/>
    </w:rPr>
  </w:style>
  <w:style w:type="paragraph" w:styleId="HeaderPortrait">
    <w:name w:val="HeaderPortrait"/>
    <w:basedOn w:val="HeaderMain"/>
    <w:qFormat/>
    <w:pPr>
      <w:tabs>
        <w:tab w:val="clear" w:pos="7200"/>
        <w:tab w:val="right" w:pos="9446" w:leader="none"/>
      </w:tabs>
      <w:ind w:hanging="0" w:start="0" w:end="-43"/>
    </w:pPr>
    <w:rPr/>
  </w:style>
  <w:style w:type="paragraph" w:styleId="HeaderTitleEvenPg">
    <w:name w:val="Header Title Even Pg"/>
    <w:basedOn w:val="HeaderMain"/>
    <w:qFormat/>
    <w:pPr>
      <w:spacing w:before="60" w:after="120"/>
      <w:jc w:val="end"/>
    </w:pPr>
    <w:rPr/>
  </w:style>
  <w:style w:type="paragraph" w:styleId="HeaderTitleOddPg">
    <w:name w:val="Header Title OddPg"/>
    <w:basedOn w:val="HeaderTitleEvenPg"/>
    <w:qFormat/>
    <w:pPr>
      <w:jc w:val="start"/>
    </w:pPr>
    <w:rPr/>
  </w:style>
  <w:style w:type="paragraph" w:styleId="Top">
    <w:name w:val="Top"/>
    <w:basedOn w:val="Normal"/>
    <w:qFormat/>
    <w:pPr>
      <w:pBdr>
        <w:top w:val="single" w:sz="6" w:space="1" w:color="000000"/>
      </w:pBdr>
      <w:spacing w:before="0" w:after="0"/>
      <w:jc w:val="start"/>
    </w:pPr>
    <w:rPr>
      <w:caps/>
      <w:sz w:val="16"/>
    </w:rPr>
  </w:style>
  <w:style w:type="paragraph" w:styleId="Region">
    <w:name w:val="Region"/>
    <w:qFormat/>
    <w:pPr>
      <w:widowControl/>
      <w:tabs>
        <w:tab w:val="clear" w:pos="720"/>
        <w:tab w:val="left" w:pos="2367" w:leader="none"/>
      </w:tabs>
      <w:bidi w:val="0"/>
      <w:spacing w:before="120" w:after="0"/>
      <w:ind w:hanging="0" w:start="86" w:end="0"/>
    </w:pPr>
    <w:rPr>
      <w:rFonts w:ascii="Arial Narrow" w:hAnsi="Arial Narrow" w:eastAsia="Times New Roman" w:cs="Arial Narrow"/>
      <w:b/>
      <w:color w:val="auto"/>
      <w:sz w:val="18"/>
      <w:szCs w:val="20"/>
      <w:lang w:val="en-US" w:eastAsia="zh-CN" w:bidi="hi-IN"/>
    </w:rPr>
  </w:style>
  <w:style w:type="paragraph" w:styleId="BranchList">
    <w:name w:val="BranchList"/>
    <w:basedOn w:val="Text"/>
    <w:qFormat/>
    <w:pPr/>
    <w:rPr/>
  </w:style>
  <w:style w:type="paragraph" w:styleId="BlankPage">
    <w:name w:val="BlankPage"/>
    <w:basedOn w:val="Text"/>
    <w:qFormat/>
    <w:pPr/>
    <w:rPr>
      <w:rFonts w:ascii="Palatino" w:hAnsi="Palatino" w:cs="Palatino"/>
      <w:b/>
      <w:vanish/>
      <w:color w:val="FF0000"/>
      <w:sz w:val="28"/>
    </w:rPr>
  </w:style>
  <w:style w:type="paragraph" w:styleId="FooterMain">
    <w:name w:val="FooterMain"/>
    <w:qFormat/>
    <w:pPr>
      <w:widowControl/>
      <w:pBdr>
        <w:top w:val="single" w:sz="4" w:space="1" w:color="000000"/>
      </w:pBdr>
      <w:bidi w:val="0"/>
      <w:ind w:hanging="0" w:start="-2390" w:end="0"/>
      <w:jc w:val="center"/>
    </w:pPr>
    <w:rPr>
      <w:rFonts w:ascii="Arial" w:hAnsi="Arial" w:eastAsia="Times New Roman" w:cs="Arial"/>
      <w:color w:val="auto"/>
      <w:sz w:val="20"/>
      <w:szCs w:val="20"/>
      <w:lang w:val="en-US" w:eastAsia="zh-CN" w:bidi="hi-IN"/>
    </w:rPr>
  </w:style>
  <w:style w:type="paragraph" w:styleId="officename">
    <w:name w:val="officename"/>
    <w:basedOn w:val="Office"/>
    <w:qFormat/>
    <w:pPr>
      <w:pBdr>
        <w:right w:val="single" w:sz="12" w:space="4" w:color="000000"/>
      </w:pBdr>
      <w:tabs>
        <w:tab w:val="clear" w:pos="4320"/>
        <w:tab w:val="right" w:pos="2700" w:leader="dot"/>
        <w:tab w:val="left" w:pos="5760" w:leader="none"/>
        <w:tab w:val="right" w:pos="9450" w:leader="none"/>
      </w:tabs>
      <w:spacing w:before="0" w:after="60"/>
    </w:pPr>
    <w:rPr>
      <w:rFonts w:ascii="Arial Narrow" w:hAnsi="Arial Narrow" w:cs="Arial Narrow"/>
      <w:b/>
    </w:rPr>
  </w:style>
  <w:style w:type="paragraph" w:styleId="FooterPortrait">
    <w:name w:val="FooterPortrait"/>
    <w:basedOn w:val="FooterMain"/>
    <w:qFormat/>
    <w:pPr>
      <w:ind w:hanging="0" w:start="0" w:end="0"/>
    </w:pPr>
    <w:rPr/>
  </w:style>
  <w:style w:type="paragraph" w:styleId="HeaderLandscape">
    <w:name w:val="HeaderLandscape"/>
    <w:basedOn w:val="HeaderPortrait"/>
    <w:qFormat/>
    <w:pPr>
      <w:tabs>
        <w:tab w:val="clear" w:pos="9446"/>
        <w:tab w:val="right" w:pos="13234" w:leader="none"/>
      </w:tabs>
    </w:pPr>
    <w:rPr/>
  </w:style>
  <w:style w:type="paragraph" w:styleId="MarkTable">
    <w:name w:val="MarkTable"/>
    <w:basedOn w:val="TableColHead"/>
    <w:qFormat/>
    <w:pPr/>
    <w:rPr/>
  </w:style>
  <w:style w:type="paragraph" w:styleId="TOC11">
    <w:name w:val="toc 1"/>
    <w:basedOn w:val="Normal"/>
    <w:next w:val="Normal"/>
    <w:pPr>
      <w:spacing w:lineRule="exact" w:line="280" w:before="0" w:after="0"/>
      <w:jc w:val="start"/>
    </w:pPr>
    <w:rPr>
      <w:b/>
      <w:lang w:val="en-GB"/>
    </w:rPr>
  </w:style>
  <w:style w:type="paragraph" w:styleId="AAABulletsSC">
    <w:name w:val="AAA_Bullets_SC"/>
    <w:basedOn w:val="Normal"/>
    <w:qFormat/>
    <w:pPr>
      <w:numPr>
        <w:ilvl w:val="0"/>
        <w:numId w:val="8"/>
      </w:numPr>
      <w:tabs>
        <w:tab w:val="clear" w:pos="720"/>
        <w:tab w:val="left" w:pos="0" w:leader="none"/>
      </w:tabs>
      <w:spacing w:before="60" w:after="60"/>
      <w:ind w:hanging="0" w:start="0" w:end="-14"/>
      <w:jc w:val="start"/>
    </w:pPr>
    <w:rPr>
      <w:sz w:val="22"/>
      <w:lang w:val="en-CA"/>
    </w:rPr>
  </w:style>
  <w:style w:type="paragraph" w:styleId="FootnoteText1">
    <w:name w:val="Footnote Text1"/>
    <w:basedOn w:val="Normal"/>
    <w:qFormat/>
    <w:pPr/>
    <w:rPr/>
  </w:style>
  <w:style w:type="paragraph" w:styleId="BodyTextIndent">
    <w:name w:val="Body Text Indent"/>
    <w:basedOn w:val="Normal"/>
    <w:pPr>
      <w:spacing w:lineRule="auto" w:line="360" w:before="0" w:after="0"/>
      <w:ind w:firstLine="720" w:start="0" w:end="0"/>
      <w:jc w:val="start"/>
    </w:pPr>
    <w:rPr>
      <w:rFonts w:ascii="Times New Roman" w:hAnsi="Times New Roman" w:cs="Times New Roman"/>
    </w:rPr>
  </w:style>
  <w:style w:type="paragraph" w:styleId="BodyText2">
    <w:name w:val="Body Text 2"/>
    <w:basedOn w:val="Normal"/>
    <w:qFormat/>
    <w:pPr>
      <w:spacing w:before="0" w:after="0"/>
      <w:jc w:val="start"/>
    </w:pPr>
    <w:rPr>
      <w:rFonts w:ascii="Times New Roman" w:hAnsi="Times New Roman" w:cs="Times New Roman"/>
      <w:b/>
      <w:sz w:val="24"/>
    </w:rPr>
  </w:style>
  <w:style w:type="paragraph" w:styleId="BodyText3">
    <w:name w:val="Body Text 3"/>
    <w:basedOn w:val="Normal"/>
    <w:qFormat/>
    <w:pPr>
      <w:spacing w:before="0" w:after="0"/>
      <w:jc w:val="start"/>
    </w:pPr>
    <w:rPr>
      <w:rFonts w:ascii="Times New Roman" w:hAnsi="Times New Roman" w:cs="Times New Roman"/>
      <w:i/>
      <w:sz w:val="24"/>
    </w:rPr>
  </w:style>
  <w:style w:type="paragraph" w:styleId="ListBullet">
    <w:name w:val="List Bullet"/>
    <w:basedOn w:val="Normal"/>
    <w:qFormat/>
    <w:pPr>
      <w:numPr>
        <w:ilvl w:val="0"/>
        <w:numId w:val="2"/>
      </w:numPr>
      <w:spacing w:before="0" w:after="0"/>
      <w:jc w:val="start"/>
    </w:pPr>
    <w:rPr/>
  </w:style>
  <w:style w:type="paragraph" w:styleId="BottomBar">
    <w:name w:val="Bottom Bar"/>
    <w:basedOn w:val="Normal"/>
    <w:qFormat/>
    <w:pPr>
      <w:pBdr>
        <w:bottom w:val="single" w:sz="36" w:space="0" w:color="00FFFF"/>
      </w:pBdr>
      <w:spacing w:before="0" w:after="0"/>
      <w:jc w:val="center"/>
    </w:pPr>
    <w:rPr/>
  </w:style>
  <w:style w:type="paragraph" w:styleId="SymbolBox">
    <w:name w:val="SymbolBox"/>
    <w:basedOn w:val="Normal"/>
    <w:qFormat/>
    <w:pPr>
      <w:spacing w:before="0" w:after="0"/>
      <w:jc w:val="center"/>
    </w:pPr>
    <w:rPr>
      <w:sz w:val="8"/>
    </w:rPr>
  </w:style>
  <w:style w:type="paragraph" w:styleId="CompanyInfo">
    <w:name w:val="CompanyInfo"/>
    <w:basedOn w:val="DataBoxTitle"/>
    <w:qFormat/>
    <w:pPr>
      <w:pBdr>
        <w:bottom w:val="single" w:sz="12" w:space="6" w:color="000000"/>
      </w:pBdr>
      <w:spacing w:lineRule="auto" w:line="240" w:before="60" w:after="360"/>
      <w:ind w:hanging="72" w:start="72" w:end="-151"/>
      <w:jc w:val="start"/>
    </w:pPr>
    <w:rPr>
      <w:sz w:val="22"/>
    </w:rPr>
  </w:style>
  <w:style w:type="paragraph" w:styleId="CompanyReport">
    <w:name w:val="Company Report"/>
    <w:basedOn w:val="Head1"/>
    <w:qFormat/>
    <w:pPr/>
    <w:rPr>
      <w:sz w:val="22"/>
    </w:rPr>
  </w:style>
  <w:style w:type="paragraph" w:styleId="Body">
    <w:name w:val="Body"/>
    <w:basedOn w:val="Normal"/>
    <w:qFormat/>
    <w:pPr>
      <w:spacing w:before="0" w:after="0"/>
    </w:pPr>
    <w:rPr>
      <w:kern w:val="2"/>
      <w:sz w:val="14"/>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3492" w:leader="none"/>
        <w:tab w:val="right" w:pos="698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image" Target="media/image7.wmf"/><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image" Target="media/image8.png"/><Relationship Id="rId23" Type="http://schemas.openxmlformats.org/officeDocument/2006/relationships/image" Target="media/image9.wmf"/><Relationship Id="rId24" Type="http://schemas.openxmlformats.org/officeDocument/2006/relationships/header" Target="header8.xml"/><Relationship Id="rId25" Type="http://schemas.openxmlformats.org/officeDocument/2006/relationships/header" Target="header9.xml"/><Relationship Id="rId26" Type="http://schemas.openxmlformats.org/officeDocument/2006/relationships/footer" Target="footer8.xml"/><Relationship Id="rId27" Type="http://schemas.openxmlformats.org/officeDocument/2006/relationships/footer" Target="footer9.xml"/><Relationship Id="rId28" Type="http://schemas.openxmlformats.org/officeDocument/2006/relationships/image" Target="media/image10.wmf"/><Relationship Id="rId29" Type="http://schemas.openxmlformats.org/officeDocument/2006/relationships/image" Target="media/image11.wmf"/><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image" Target="media/image12.wmf"/><Relationship Id="rId35" Type="http://schemas.openxmlformats.org/officeDocument/2006/relationships/image" Target="media/image13.wmf"/><Relationship Id="rId36" Type="http://schemas.openxmlformats.org/officeDocument/2006/relationships/header" Target="header12.xml"/><Relationship Id="rId37" Type="http://schemas.openxmlformats.org/officeDocument/2006/relationships/header" Target="header13.xml"/><Relationship Id="rId38" Type="http://schemas.openxmlformats.org/officeDocument/2006/relationships/footer" Target="footer12.xml"/><Relationship Id="rId39" Type="http://schemas.openxmlformats.org/officeDocument/2006/relationships/footer" Target="footer13.xml"/><Relationship Id="rId40" Type="http://schemas.openxmlformats.org/officeDocument/2006/relationships/image" Target="media/image14.wmf"/><Relationship Id="rId41" Type="http://schemas.openxmlformats.org/officeDocument/2006/relationships/header" Target="header14.xml"/><Relationship Id="rId42" Type="http://schemas.openxmlformats.org/officeDocument/2006/relationships/header" Target="header15.xml"/><Relationship Id="rId43" Type="http://schemas.openxmlformats.org/officeDocument/2006/relationships/footer" Target="footer14.xml"/><Relationship Id="rId44" Type="http://schemas.openxmlformats.org/officeDocument/2006/relationships/footer" Target="footer15.xml"/><Relationship Id="rId45" Type="http://schemas.openxmlformats.org/officeDocument/2006/relationships/header" Target="header16.xml"/><Relationship Id="rId46" Type="http://schemas.openxmlformats.org/officeDocument/2006/relationships/header" Target="header17.xml"/><Relationship Id="rId47" Type="http://schemas.openxmlformats.org/officeDocument/2006/relationships/footer" Target="footer16.xml"/><Relationship Id="rId48" Type="http://schemas.openxmlformats.org/officeDocument/2006/relationships/footer" Target="footer17.xml"/><Relationship Id="rId49" Type="http://schemas.openxmlformats.org/officeDocument/2006/relationships/numbering" Target="numbering.xm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_rels/header16.xml.rels><?xml version="1.0" encoding="UTF-8"?>
<Relationships xmlns="http://schemas.openxmlformats.org/package/2006/relationships"><Relationship Id="rId1" Type="http://schemas.openxmlformats.org/officeDocument/2006/relationships/image" Target="media/image15.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Self99.dot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2001-05-20T15:31:00Z</dcterms:created>
  <dc:creator>Bryan Sifert</dc:creator>
  <dc:description/>
  <dc:language>en-CA</dc:language>
  <cp:lastModifiedBy>Bryan Sifert</cp:lastModifiedBy>
  <cp:lastPrinted>2001-05-20T18:54:00Z</cp:lastPrinted>
  <dcterms:modified xsi:type="dcterms:W3CDTF">2001-05-20T20:35:00Z</dcterms:modified>
  <cp:revision>9</cp:revision>
  <dc:subject>Research Report</dc:subject>
  <dc:title>Self 1997 Template</dc:title>
</cp:coreProperties>
</file>