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16.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2.wmf" ContentType="image/x-wmf"/>
  <Override PartName="/word/media/image3.wmf" ContentType="image/x-wmf"/>
  <Override PartName="/word/media/image1.png" ContentType="image/png"/>
  <Override PartName="/word/media/image14.wmf" ContentType="image/x-wmf"/>
  <Override PartName="/word/media/image5.wmf" ContentType="image/x-wmf"/>
  <Override PartName="/word/media/image15.wmf" ContentType="image/x-wmf"/>
  <Override PartName="/word/media/image6.wmf" ContentType="image/x-wmf"/>
  <Override PartName="/word/media/image10.wmf" ContentType="image/x-wmf"/>
  <Override PartName="/word/media/image7.wmf" ContentType="image/x-wmf"/>
  <Override PartName="/word/media/image8.png" ContentType="image/png"/>
  <Override PartName="/word/media/image11.wmf" ContentType="image/x-wmf"/>
  <Override PartName="/word/media/image2.wmf" ContentType="image/x-wmf"/>
  <Override PartName="/word/media/image9.wmf" ContentType="image/x-wmf"/>
  <Override PartName="/word/media/image13.wmf" ContentType="image/x-wmf"/>
  <Override PartName="/word/media/image4.wmf" ContentType="image/x-wmf"/>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go"/>
        <w:jc w:val="center"/>
        <w:rPr/>
      </w:pPr>
      <w:r>
        <w:rPr>
          <w:b/>
          <w:caps w:val="false"/>
          <w:smallCaps w:val="false"/>
          <w:color w:val="000000"/>
          <w:sz w:val="28"/>
        </w:rPr>
        <w:drawing>
          <wp:inline distT="0" distB="0" distL="0" distR="0">
            <wp:extent cx="1410970" cy="39751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26" t="-90" r="-26" b="-90"/>
                    <a:stretch>
                      <a:fillRect/>
                    </a:stretch>
                  </pic:blipFill>
                  <pic:spPr bwMode="auto">
                    <a:xfrm>
                      <a:off x="0" y="0"/>
                      <a:ext cx="1410970" cy="397510"/>
                    </a:xfrm>
                    <a:prstGeom prst="rect">
                      <a:avLst/>
                    </a:prstGeom>
                    <a:noFill/>
                  </pic:spPr>
                </pic:pic>
              </a:graphicData>
            </a:graphic>
          </wp:inline>
        </w:drawing>
      </w:r>
      <w:r>
        <w:rPr>
          <w:b/>
          <w:color w:val="000000"/>
          <w:sz w:val="28"/>
        </w:rPr>
        <w:tab/>
      </w:r>
      <w:r>
        <w:rPr/>
        <w:t>may 7, 2001</w:t>
      </w:r>
    </w:p>
    <w:p>
      <w:pPr>
        <w:sectPr>
          <w:headerReference w:type="default" r:id="rId3"/>
          <w:headerReference w:type="first" r:id="rId4"/>
          <w:footerReference w:type="default" r:id="rId5"/>
          <w:footerReference w:type="first" r:id="rId6"/>
          <w:type w:val="nextPage"/>
          <w:pgSz w:w="12240" w:h="15840"/>
          <w:pgMar w:left="3816" w:right="1440" w:gutter="0" w:header="720" w:top="994" w:footer="360" w:bottom="1080"/>
          <w:pgNumType w:fmt="decimal"/>
          <w:formProt w:val="false"/>
          <w:titlePg/>
          <w:textDirection w:val="lrTb"/>
          <w:docGrid w:type="default" w:linePitch="360" w:charSpace="0"/>
        </w:sectPr>
      </w:pPr>
    </w:p>
    <w:tbl>
      <w:tblPr>
        <w:tblW w:w="10170" w:type="dxa"/>
        <w:jc w:val="start"/>
        <w:tblInd w:w="-2070" w:type="dxa"/>
        <w:tblLayout w:type="fixed"/>
        <w:tblCellMar>
          <w:top w:w="0" w:type="dxa"/>
          <w:start w:w="0" w:type="dxa"/>
          <w:bottom w:w="0" w:type="dxa"/>
          <w:end w:w="0" w:type="dxa"/>
        </w:tblCellMar>
      </w:tblPr>
      <w:tblGrid>
        <w:gridCol w:w="10170"/>
      </w:tblGrid>
      <w:tr>
        <w:trPr>
          <w:trHeight w:val="1110" w:hRule="exact"/>
        </w:trPr>
        <w:tc>
          <w:tcPr>
            <w:tcW w:w="10170" w:type="dxa"/>
            <w:tcBorders>
              <w:top w:val="single" w:sz="4" w:space="0" w:color="000000"/>
              <w:bottom w:val="single" w:sz="4" w:space="0" w:color="000000"/>
            </w:tcBorders>
          </w:tcPr>
          <w:p>
            <w:pPr>
              <w:pStyle w:val="HeadTitle"/>
              <w:spacing w:before="60" w:after="0"/>
              <w:ind w:start="0" w:end="0"/>
              <w:jc w:val="center"/>
              <w:rPr>
                <w:rFonts w:ascii="Arial Black" w:hAnsi="Arial Black" w:cs="Arial Black"/>
                <w:i/>
                <w:i/>
                <w:caps/>
                <w:color w:val="0000FF"/>
                <w:sz w:val="52"/>
              </w:rPr>
            </w:pPr>
            <w:r>
              <w:rPr>
                <w:rFonts w:cs="Arial Black" w:ascii="Arial Black" w:hAnsi="Arial Black"/>
                <w:i/>
                <w:caps/>
                <w:color w:val="0000FF"/>
                <w:sz w:val="52"/>
              </w:rPr>
              <w:t>Independent Power Weekly</w:t>
            </w:r>
          </w:p>
          <w:p>
            <w:pPr>
              <w:pStyle w:val="HeadTitle"/>
              <w:spacing w:before="0" w:after="0"/>
              <w:ind w:start="0" w:end="0"/>
              <w:jc w:val="center"/>
              <w:rPr>
                <w:rFonts w:ascii="Arial Black" w:hAnsi="Arial Black" w:cs="Arial Black"/>
                <w:b w:val="false"/>
                <w:caps/>
                <w:color w:val="FF0000"/>
                <w:sz w:val="20"/>
              </w:rPr>
            </w:pPr>
            <w:r>
              <w:rPr>
                <w:rFonts w:cs="Arial Black" w:ascii="Arial Black" w:hAnsi="Arial Black"/>
                <w:b w:val="false"/>
                <w:caps/>
                <w:color w:val="FF0000"/>
                <w:sz w:val="20"/>
              </w:rPr>
              <w:t>ISSUE TWENTY-six</w:t>
            </w:r>
          </w:p>
          <w:p>
            <w:pPr>
              <w:pStyle w:val="HeadTitle"/>
              <w:spacing w:before="60" w:after="0"/>
              <w:ind w:start="0" w:end="0"/>
              <w:jc w:val="end"/>
              <w:rPr>
                <w:rFonts w:ascii="Arial Black" w:hAnsi="Arial Black" w:cs="Arial Black"/>
                <w:b w:val="false"/>
                <w:caps/>
                <w:color w:val="FF0000"/>
                <w:sz w:val="20"/>
              </w:rPr>
            </w:pPr>
            <w:r>
              <w:rPr>
                <w:rFonts w:cs="Arial Black" w:ascii="Arial Black" w:hAnsi="Arial Black"/>
                <w:b w:val="false"/>
                <w:caps/>
                <w:color w:val="FF0000"/>
                <w:sz w:val="20"/>
              </w:rPr>
            </w:r>
          </w:p>
        </w:tc>
      </w:tr>
    </w:tbl>
    <w:p>
      <w:pPr>
        <w:pStyle w:val="CameraReadyTableTitle"/>
        <w:spacing w:before="240" w:after="0"/>
        <w:rPr/>
      </w:pPr>
      <w:r>
        <w:rPr>
          <w:i/>
        </w:rPr>
        <w:t>Exhibit 1:</w:t>
      </w:r>
      <w:r>
        <w:rPr/>
        <w:t xml:space="preserve">   CSFB IPP Composite</w:t>
      </w:r>
      <w:r>
        <mc:AlternateContent>
          <mc:Choice Requires="wps">
            <w:drawing>
              <wp:anchor behindDoc="0" distT="0" distB="0" distL="0" distR="0" simplePos="0" locked="0" layoutInCell="0" allowOverlap="1" relativeHeight="3">
                <wp:simplePos x="0" y="0"/>
                <wp:positionH relativeFrom="page">
                  <wp:posOffset>732155</wp:posOffset>
                </wp:positionH>
                <wp:positionV relativeFrom="paragraph">
                  <wp:posOffset>196215</wp:posOffset>
                </wp:positionV>
                <wp:extent cx="1187450" cy="1463675"/>
                <wp:effectExtent l="0" t="0" r="0" b="0"/>
                <wp:wrapSquare wrapText="bothSides"/>
                <wp:docPr id="3" name="Frame1"/>
                <a:graphic xmlns:a="http://schemas.openxmlformats.org/drawingml/2006/main">
                  <a:graphicData uri="http://schemas.microsoft.com/office/word/2010/wordprocessingShape">
                    <wps:wsp>
                      <wps:cNvSpPr txBox="1"/>
                      <wps:spPr>
                        <a:xfrm>
                          <a:off x="0" y="0"/>
                          <a:ext cx="1187450" cy="1463675"/>
                        </a:xfrm>
                        <a:prstGeom prst="rect"/>
                        <a:solidFill>
                          <a:srgbClr val="FFFFFF">
                            <a:alpha val="0"/>
                          </a:srgbClr>
                        </a:solidFill>
                      </wps:spPr>
                      <wps:txbx>
                        <w:txbxContent>
                          <w:p>
                            <w:pPr>
                              <w:pStyle w:val="HangingText"/>
                              <w:keepNext w:val="true"/>
                              <w:spacing w:before="10" w:after="120"/>
                              <w:jc w:val="start"/>
                              <w:rPr/>
                            </w:pPr>
                            <w:r>
                              <w:rPr>
                                <w:sz w:val="18"/>
                              </w:rPr>
                              <w:t>Neil Stein</w:t>
                              <w:br/>
                            </w:r>
                            <w:r>
                              <w:rPr>
                                <w:b w:val="false"/>
                                <w:sz w:val="18"/>
                              </w:rPr>
                              <w:t>1 212 325 4217</w:t>
                              <w:br/>
                              <w:t>neil.stein@csfb.com</w:t>
                            </w:r>
                          </w:p>
                          <w:p>
                            <w:pPr>
                              <w:pStyle w:val="HangingText"/>
                              <w:rPr/>
                            </w:pPr>
                            <w:r>
                              <w:rPr>
                                <w:sz w:val="18"/>
                              </w:rPr>
                              <w:t>Paul Patterson</w:t>
                              <w:br/>
                            </w:r>
                            <w:r>
                              <w:rPr>
                                <w:b w:val="false"/>
                                <w:sz w:val="18"/>
                              </w:rPr>
                              <w:t>1 212 325 5876</w:t>
                              <w:br/>
                              <w:t>paul.patterson@csfb.com</w:t>
                            </w:r>
                          </w:p>
                          <w:p>
                            <w:pPr>
                              <w:pStyle w:val="HangingText"/>
                              <w:keepNext w:val="true"/>
                              <w:spacing w:before="10" w:after="120"/>
                              <w:jc w:val="start"/>
                              <w:rPr/>
                            </w:pPr>
                            <w:r>
                              <w:rPr>
                                <w:sz w:val="18"/>
                              </w:rPr>
                              <w:t xml:space="preserve">Bryan Sifert </w:t>
                              <w:br/>
                            </w:r>
                            <w:r>
                              <w:rPr>
                                <w:b w:val="false"/>
                                <w:sz w:val="18"/>
                              </w:rPr>
                              <w:t>1 212 325 3906</w:t>
                              <w:br/>
                              <w:t>bryan.sifert@csfb.com</w:t>
                            </w:r>
                          </w:p>
                        </w:txbxContent>
                      </wps:txbx>
                      <wps:bodyPr anchor="t" lIns="0" tIns="0" rIns="0" bIns="0">
                        <a:noAutofit/>
                      </wps:bodyPr>
                    </wps:wsp>
                  </a:graphicData>
                </a:graphic>
              </wp:anchor>
            </w:drawing>
          </mc:Choice>
          <mc:Fallback>
            <w:pict>
              <v:rect fillcolor="#FFFFFF" style="position:absolute;rotation:-0;width:93.5pt;height:115.25pt;mso-wrap-distance-left:0pt;mso-wrap-distance-right:0pt;mso-wrap-distance-top:0pt;mso-wrap-distance-bottom:0pt;margin-top:15.45pt;mso-position-vertical-relative:text;margin-left:57.65pt;mso-position-horizontal-relative:page">
                <v:fill opacity="0f"/>
                <v:textbox inset="0in,0in,0in,0in">
                  <w:txbxContent>
                    <w:p>
                      <w:pPr>
                        <w:pStyle w:val="HangingText"/>
                        <w:keepNext w:val="true"/>
                        <w:spacing w:before="10" w:after="120"/>
                        <w:jc w:val="start"/>
                        <w:rPr/>
                      </w:pPr>
                      <w:r>
                        <w:rPr>
                          <w:sz w:val="18"/>
                        </w:rPr>
                        <w:t>Neil Stein</w:t>
                        <w:br/>
                      </w:r>
                      <w:r>
                        <w:rPr>
                          <w:b w:val="false"/>
                          <w:sz w:val="18"/>
                        </w:rPr>
                        <w:t>1 212 325 4217</w:t>
                        <w:br/>
                        <w:t>neil.stein@csfb.com</w:t>
                      </w:r>
                    </w:p>
                    <w:p>
                      <w:pPr>
                        <w:pStyle w:val="HangingText"/>
                        <w:rPr/>
                      </w:pPr>
                      <w:r>
                        <w:rPr>
                          <w:sz w:val="18"/>
                        </w:rPr>
                        <w:t>Paul Patterson</w:t>
                        <w:br/>
                      </w:r>
                      <w:r>
                        <w:rPr>
                          <w:b w:val="false"/>
                          <w:sz w:val="18"/>
                        </w:rPr>
                        <w:t>1 212 325 5876</w:t>
                        <w:br/>
                        <w:t>paul.patterson@csfb.com</w:t>
                      </w:r>
                    </w:p>
                    <w:p>
                      <w:pPr>
                        <w:pStyle w:val="HangingText"/>
                        <w:keepNext w:val="true"/>
                        <w:spacing w:before="10" w:after="120"/>
                        <w:jc w:val="start"/>
                        <w:rPr/>
                      </w:pPr>
                      <w:r>
                        <w:rPr>
                          <w:sz w:val="18"/>
                        </w:rPr>
                        <w:t xml:space="preserve">Bryan Sifert </w:t>
                        <w:br/>
                      </w:r>
                      <w:r>
                        <w:rPr>
                          <w:b w:val="false"/>
                          <w:sz w:val="18"/>
                        </w:rPr>
                        <w:t>1 212 325 3906</w:t>
                        <w:br/>
                        <w:t>bryan.sifert@csfb.com</w:t>
                      </w:r>
                    </w:p>
                  </w:txbxContent>
                </v:textbox>
                <w10:wrap type="square"/>
              </v:rect>
            </w:pict>
          </mc:Fallback>
        </mc:AlternateContent>
      </w:r>
    </w:p>
    <w:p>
      <w:pPr>
        <w:pStyle w:val="Text"/>
        <w:spacing w:before="0" w:after="0"/>
        <w:jc w:val="center"/>
        <w:rPr>
          <w:sz w:val="16"/>
        </w:rPr>
      </w:pPr>
      <w:r>
        <w:rPr>
          <w:sz w:val="16"/>
        </w:rPr>
      </w:r>
    </w:p>
    <w:p>
      <w:pPr>
        <w:pStyle w:val="Text"/>
        <w:spacing w:before="0" w:after="0"/>
        <w:jc w:val="center"/>
        <w:rPr>
          <w:sz w:val="16"/>
        </w:rPr>
      </w:pPr>
      <w:r>
        <w:rPr>
          <w:sz w:val="16"/>
        </w:rPr>
        <w:drawing>
          <wp:inline distT="0" distB="0" distL="0" distR="0">
            <wp:extent cx="3534410" cy="228663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7"/>
                    <a:srcRect l="-5" t="-8" r="-5" b="-8"/>
                    <a:stretch>
                      <a:fillRect/>
                    </a:stretch>
                  </pic:blipFill>
                  <pic:spPr bwMode="auto">
                    <a:xfrm>
                      <a:off x="0" y="0"/>
                      <a:ext cx="3534410" cy="2286635"/>
                    </a:xfrm>
                    <a:prstGeom prst="rect">
                      <a:avLst/>
                    </a:prstGeom>
                    <a:noFill/>
                  </pic:spPr>
                </pic:pic>
              </a:graphicData>
            </a:graphic>
          </wp:inline>
        </w:drawing>
      </w:r>
    </w:p>
    <w:p>
      <w:pPr>
        <w:pStyle w:val="Text"/>
        <w:spacing w:before="120" w:after="0"/>
        <w:rPr>
          <w:sz w:val="16"/>
        </w:rPr>
      </w:pPr>
      <w:r>
        <w:rPr>
          <w:sz w:val="16"/>
        </w:rPr>
        <w:t>Note:  IPP Composite includes:  AES, CPN, IPR, MIR, NRG, ORN and SGR.</w:t>
      </w:r>
    </w:p>
    <w:p>
      <w:pPr>
        <w:pStyle w:val="Text"/>
        <w:pBdr>
          <w:bottom w:val="single" w:sz="4" w:space="1" w:color="000000"/>
        </w:pBdr>
        <w:spacing w:before="0" w:after="0"/>
        <w:rPr>
          <w:sz w:val="16"/>
        </w:rPr>
      </w:pPr>
      <w:r>
        <w:rPr>
          <w:sz w:val="16"/>
        </w:rPr>
        <w:t>Source:  FactSet and CSFB Estimates</w:t>
      </w:r>
      <w:r>
        <mc:AlternateContent>
          <mc:Choice Requires="wps">
            <w:drawing>
              <wp:anchor behindDoc="0" distT="0" distB="0" distL="114935" distR="114935" simplePos="0" locked="0" layoutInCell="1" allowOverlap="1" relativeHeight="18">
                <wp:simplePos x="0" y="0"/>
                <wp:positionH relativeFrom="column">
                  <wp:posOffset>-1929765</wp:posOffset>
                </wp:positionH>
                <wp:positionV relativeFrom="paragraph">
                  <wp:posOffset>12065</wp:posOffset>
                </wp:positionV>
                <wp:extent cx="1756410" cy="2396490"/>
                <wp:effectExtent l="0" t="0" r="0" b="0"/>
                <wp:wrapNone/>
                <wp:docPr id="5" name="Frame2"/>
                <a:graphic xmlns:a="http://schemas.openxmlformats.org/drawingml/2006/main">
                  <a:graphicData uri="http://schemas.microsoft.com/office/word/2010/wordprocessingShape">
                    <wps:wsp>
                      <wps:cNvSpPr txBox="1"/>
                      <wps:spPr>
                        <a:xfrm>
                          <a:off x="0" y="0"/>
                          <a:ext cx="1756410" cy="2396490"/>
                        </a:xfrm>
                        <a:prstGeom prst="rect"/>
                        <a:solidFill>
                          <a:srgbClr val="FFFFFF"/>
                        </a:solidFill>
                        <a:ln w="19050">
                          <a:solidFill>
                            <a:srgbClr val="000000"/>
                          </a:solidFill>
                        </a:ln>
                      </wps:spPr>
                      <wps:txbx>
                        <w:txbxContent>
                          <w:p>
                            <w:pPr>
                              <w:pStyle w:val="Heading9"/>
                              <w:ind w:hanging="270" w:start="270" w:end="0"/>
                              <w:jc w:val="start"/>
                              <w:rPr>
                                <w:rFonts w:ascii="Arial Narrow" w:hAnsi="Arial Narrow" w:cs="Arial Narrow"/>
                                <w:color w:val="0000FF"/>
                              </w:rPr>
                            </w:pPr>
                            <w:r>
                              <w:rPr>
                                <w:rFonts w:cs="Arial Narrow" w:ascii="Arial Narrow" w:hAnsi="Arial Narrow"/>
                                <w:color w:val="0000FF"/>
                              </w:rPr>
                              <w:t>INSIDE THIS ISSUE (Page #)</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Weekly Commentary (2)</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Daily California Chronology (3)</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Looking Ahead (4)</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Upcoming Events (5)</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Debt Market Update (5)</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CSFB Monthly Merchant Call (5)</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Recent Headlines (8)</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 Table (10)</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Power Prices (11)</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Bond Spreads (14)</w:t>
                            </w:r>
                          </w:p>
                        </w:txbxContent>
                      </wps:txbx>
                      <wps:bodyPr anchor="t" lIns="91440" tIns="45720" rIns="91440" bIns="45720">
                        <a:noAutofit/>
                      </wps:bodyPr>
                    </wps:wsp>
                  </a:graphicData>
                </a:graphic>
              </wp:anchor>
            </w:drawing>
          </mc:Choice>
          <mc:Fallback>
            <w:pict>
              <v:rect fillcolor="#FFFFFF" strokecolor="#000000" strokeweight="1pt" style="position:absolute;rotation:-0;width:138.3pt;height:188.7pt;mso-wrap-distance-left:9.05pt;mso-wrap-distance-right:9.05pt;mso-wrap-distance-top:0pt;mso-wrap-distance-bottom:0pt;margin-top:0.95pt;mso-position-vertical-relative:text;margin-left:-151.95pt;mso-position-horizontal-relative:text">
                <v:textbox>
                  <w:txbxContent>
                    <w:p>
                      <w:pPr>
                        <w:pStyle w:val="Heading9"/>
                        <w:ind w:hanging="270" w:start="270" w:end="0"/>
                        <w:jc w:val="start"/>
                        <w:rPr>
                          <w:rFonts w:ascii="Arial Narrow" w:hAnsi="Arial Narrow" w:cs="Arial Narrow"/>
                          <w:color w:val="0000FF"/>
                        </w:rPr>
                      </w:pPr>
                      <w:r>
                        <w:rPr>
                          <w:rFonts w:cs="Arial Narrow" w:ascii="Arial Narrow" w:hAnsi="Arial Narrow"/>
                          <w:color w:val="0000FF"/>
                        </w:rPr>
                        <w:t>INSIDE THIS ISSUE (Page #)</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Weekly Commentary (2)</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Daily California Chronology (3)</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Looking Ahead (4)</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Upcoming Events (5)</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Debt Market Update (5)</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CSFB Monthly Merchant Call (5)</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Recent Headlines (8)</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 Table (10)</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Power Prices (11)</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Bond Spreads (14)</w:t>
                      </w:r>
                    </w:p>
                  </w:txbxContent>
                </v:textbox>
                <w10:wrap type="none"/>
              </v:rect>
            </w:pict>
          </mc:Fallback>
        </mc:AlternateContent>
      </w:r>
    </w:p>
    <w:p>
      <w:pPr>
        <w:pStyle w:val="Head2"/>
        <w:spacing w:before="120" w:after="0"/>
        <w:rPr/>
      </w:pPr>
      <w:r>
        <w:rPr/>
        <w:t>WEEKLY PERFORMANCE</w:t>
      </w:r>
    </w:p>
    <w:p>
      <w:pPr>
        <w:pStyle w:val="CameraReadyTableTitle"/>
        <w:spacing w:before="180" w:after="0"/>
        <w:rPr/>
      </w:pPr>
      <w:r>
        <w:rPr>
          <w:i/>
        </w:rPr>
        <w:t>Exhibit 2:</w:t>
      </w:r>
      <w:r>
        <w:rPr/>
        <w:t xml:space="preserve">   Independent Power Producer Performance</w:t>
      </w:r>
    </w:p>
    <w:p>
      <w:pPr>
        <w:pStyle w:val="Text"/>
        <w:spacing w:before="60" w:after="0"/>
        <w:jc w:val="center"/>
        <w:rPr/>
      </w:pPr>
      <w:r>
        <w:rPr/>
        <w:drawing>
          <wp:inline distT="0" distB="0" distL="0" distR="0">
            <wp:extent cx="4907915" cy="1506855"/>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8"/>
                    <a:srcRect l="-5" t="-17" r="-5" b="-17"/>
                    <a:stretch>
                      <a:fillRect/>
                    </a:stretch>
                  </pic:blipFill>
                  <pic:spPr bwMode="auto">
                    <a:xfrm>
                      <a:off x="0" y="0"/>
                      <a:ext cx="4907915" cy="1506855"/>
                    </a:xfrm>
                    <a:prstGeom prst="rect">
                      <a:avLst/>
                    </a:prstGeom>
                    <a:noFill/>
                  </pic:spPr>
                </pic:pic>
              </a:graphicData>
            </a:graphic>
          </wp:inline>
        </w:drawing>
      </w:r>
    </w:p>
    <w:p>
      <w:pPr>
        <w:pStyle w:val="CameraReadyTableTitle"/>
        <w:spacing w:before="120" w:after="60"/>
        <w:rPr/>
      </w:pPr>
      <w:r>
        <w:rPr>
          <w:i/>
        </w:rPr>
        <w:t xml:space="preserve">Exhibit 3:   </w:t>
      </w:r>
      <w:r>
        <w:rPr/>
        <w:t>Utilities with Significant Unregulated Generation Assets</w:t>
      </w:r>
    </w:p>
    <w:p>
      <w:pPr>
        <w:pStyle w:val="Text"/>
        <w:spacing w:before="0" w:after="0"/>
        <w:jc w:val="center"/>
        <w:rPr/>
      </w:pPr>
      <w:r>
        <w:rPr/>
        <w:drawing>
          <wp:inline distT="0" distB="0" distL="0" distR="0">
            <wp:extent cx="4907915" cy="1931035"/>
            <wp:effectExtent l="0" t="0" r="0" b="0"/>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9"/>
                    <a:srcRect l="-5" t="-13" r="-5" b="-13"/>
                    <a:stretch>
                      <a:fillRect/>
                    </a:stretch>
                  </pic:blipFill>
                  <pic:spPr bwMode="auto">
                    <a:xfrm>
                      <a:off x="0" y="0"/>
                      <a:ext cx="4907915" cy="1931035"/>
                    </a:xfrm>
                    <a:prstGeom prst="rect">
                      <a:avLst/>
                    </a:prstGeom>
                    <a:noFill/>
                  </pic:spPr>
                </pic:pic>
              </a:graphicData>
            </a:graphic>
          </wp:inline>
        </w:drawing>
      </w:r>
    </w:p>
    <w:p>
      <w:pPr>
        <w:pStyle w:val="Text"/>
        <w:spacing w:before="120" w:after="0"/>
        <w:rPr>
          <w:sz w:val="16"/>
        </w:rPr>
      </w:pPr>
      <w:r>
        <w:rPr>
          <w:sz w:val="16"/>
        </w:rPr>
        <w:t>Source: CSFB estimates, FactSet</w:t>
      </w:r>
    </w:p>
    <w:p>
      <w:pPr>
        <w:sectPr>
          <w:type w:val="continuous"/>
          <w:pgSz w:w="12240" w:h="15840"/>
          <w:pgMar w:left="3312" w:right="1195" w:gutter="0" w:header="720" w:top="994" w:footer="360" w:bottom="1080"/>
          <w:formProt w:val="false"/>
          <w:titlePg/>
          <w:textDirection w:val="lrTb"/>
          <w:docGrid w:type="default" w:linePitch="360" w:charSpace="0"/>
        </w:sectPr>
      </w:pPr>
    </w:p>
    <w:p>
      <w:pPr>
        <w:pStyle w:val="Head1"/>
        <w:rPr/>
      </w:pPr>
      <w:r>
        <w:rPr/>
        <w:t>Weekly Commentary</w:t>
      </w:r>
    </w:p>
    <w:p>
      <w:pPr>
        <w:pStyle w:val="Text"/>
        <w:rPr/>
      </w:pPr>
      <w:r>
        <w:rPr/>
        <w:t>Last week our IPP composite traded off 1.7%, underperforming both the NASDAQ (+5.6%) and the S&amp;P 500 (+1.1%).  AES and International Power were the strongest performers, rising 2.2%.  Orion Power was the weakest performer, falling 7.1%.</w:t>
      </w:r>
    </w:p>
    <w:p>
      <w:pPr>
        <w:pStyle w:val="CameraReadyTableTitle"/>
        <w:spacing w:before="120" w:after="60"/>
        <w:ind w:start="-1170" w:end="0"/>
        <w:rPr>
          <w:i/>
          <w:i/>
        </w:rPr>
      </w:pPr>
      <w:r>
        <w:rPr>
          <w:i/>
        </w:rPr>
        <w:t>Exhibit 4: Daily Performance For Week Ended 5/4/01</w:t>
      </w:r>
    </w:p>
    <w:p>
      <w:pPr>
        <w:pStyle w:val="Head2"/>
        <w:ind w:start="-1170" w:end="0"/>
        <w:rPr>
          <w:b w:val="false"/>
        </w:rPr>
      </w:pPr>
      <w:r>
        <w:rPr/>
        <w:drawing>
          <wp:inline distT="0" distB="0" distL="0" distR="0">
            <wp:extent cx="5963920" cy="827405"/>
            <wp:effectExtent l="0" t="0" r="0" b="0"/>
            <wp:docPr id="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title=""/>
                    <pic:cNvPicPr>
                      <a:picLocks noChangeAspect="1" noChangeArrowheads="1"/>
                    </pic:cNvPicPr>
                  </pic:nvPicPr>
                  <pic:blipFill>
                    <a:blip r:embed="rId10"/>
                    <a:srcRect l="-4" t="-32" r="-4" b="-32"/>
                    <a:stretch>
                      <a:fillRect/>
                    </a:stretch>
                  </pic:blipFill>
                  <pic:spPr bwMode="auto">
                    <a:xfrm>
                      <a:off x="0" y="0"/>
                      <a:ext cx="5963920" cy="827405"/>
                    </a:xfrm>
                    <a:prstGeom prst="rect">
                      <a:avLst/>
                    </a:prstGeom>
                    <a:noFill/>
                  </pic:spPr>
                </pic:pic>
              </a:graphicData>
            </a:graphic>
          </wp:inline>
        </w:drawing>
      </w:r>
    </w:p>
    <w:p>
      <w:pPr>
        <w:pStyle w:val="Text"/>
        <w:pBdr>
          <w:bottom w:val="single" w:sz="4" w:space="1" w:color="000000"/>
        </w:pBdr>
        <w:spacing w:before="0" w:after="60"/>
        <w:ind w:start="-1166" w:end="0"/>
        <w:rPr>
          <w:sz w:val="16"/>
        </w:rPr>
      </w:pPr>
      <w:r>
        <w:rPr>
          <w:sz w:val="16"/>
        </w:rPr>
        <w:t>Source: CSFB, Factset</w:t>
      </w:r>
    </w:p>
    <w:p>
      <w:pPr>
        <w:pStyle w:val="Head2"/>
        <w:rPr>
          <w:sz w:val="16"/>
        </w:rPr>
      </w:pPr>
      <w:r>
        <w:rPr>
          <w:sz w:val="16"/>
        </w:rPr>
      </w:r>
    </w:p>
    <w:p>
      <w:pPr>
        <w:pStyle w:val="Head2"/>
        <w:rPr/>
      </w:pPr>
      <w:r>
        <w:rPr/>
        <w:t>Week in Detail: California Concerns Capture Center Stage</w:t>
      </w:r>
    </w:p>
    <w:p>
      <w:pPr>
        <w:pStyle w:val="Text"/>
        <w:rPr/>
      </w:pPr>
      <w:r>
        <w:rPr/>
        <w:t xml:space="preserve">The IPPs took a breather last week, following investor enthusiasm surrounding strong first quarter earnings results.  Dampening stock price performance, a number of concerns related to the California power crisis captured center stage and dominated investor attention.  </w:t>
      </w:r>
    </w:p>
    <w:p>
      <w:pPr>
        <w:pStyle w:val="Text"/>
        <w:rPr/>
      </w:pPr>
      <w:r>
        <w:rPr/>
        <w:t>In particular, on Tuesday (5/2) three significant news stories broke, which we believe were responsible for a 1.5% and 2.9% decline in our composite on Tuesday and Wednesday, respectively:</w:t>
      </w:r>
    </w:p>
    <w:p>
      <w:pPr>
        <w:pStyle w:val="Text"/>
        <w:rPr/>
      </w:pPr>
      <w:r>
        <w:rPr>
          <w:b/>
        </w:rPr>
        <w:t>1. Windfall Profits Tax</w:t>
      </w:r>
      <w:r>
        <w:rPr/>
        <w:t xml:space="preserve">   On Tuesday evening (5/1) legislation calling for the imposition of a windfall profits tax on generators passed the California Senate Appropriations Committee.  In its present form, SB 1X would impose a 100% tax on power sales exceeding $80 per Mwh.  The bill now moves to the Senate floor and will be heard sometime this week.  The bill does allow generators to appeal...   Further, there is some speculation that the $80 per Mwh baseline price could be amended.  The legislation does require generators to send their excess profits to California’s Franchise Tax Board, which would transfer the money into a fund or trust for California.</w:t>
      </w:r>
    </w:p>
    <w:p>
      <w:pPr>
        <w:pStyle w:val="Text"/>
        <w:rPr/>
      </w:pPr>
      <w:r>
        <w:rPr/>
        <w:t xml:space="preserve">While the bill has been gaining support among Democrats, Governor Davis has not yet expressed support for the measure.  </w:t>
      </w:r>
      <w:r>
        <w:rPr>
          <w:i/>
        </w:rPr>
        <w:t>While it is important to monitor this proposal, we believe SB 1X may be little more than a negotiating tactic by members of the legislature.</w:t>
      </w:r>
    </w:p>
    <w:p>
      <w:pPr>
        <w:pStyle w:val="Text"/>
        <w:rPr/>
      </w:pPr>
      <w:r>
        <w:rPr>
          <w:b/>
        </w:rPr>
        <w:t>2. Duke Energy Confirms Settlement Proposal</w:t>
      </w:r>
      <w:r>
        <w:rPr/>
        <w:t xml:space="preserve">   Also causing investor concern on Tuesday, following a New York Times news article, Duke Energy confirmed that it had proposed a preliminary settlement with California.  In March, the company sent a confidential document to Governor Davis that outlined a framework for a global settlement.  The company has posted the documents on its web site: Duke-Energy.com/California. </w:t>
      </w:r>
    </w:p>
    <w:p>
      <w:pPr>
        <w:pStyle w:val="Text"/>
        <w:rPr/>
      </w:pPr>
      <w:r>
        <w:rPr/>
        <w:t xml:space="preserve">Governor Davis commented that the state would continue to seek restitution, noting: “We’re not about to call off the dogs.”  </w:t>
      </w:r>
    </w:p>
    <w:p>
      <w:pPr>
        <w:pStyle w:val="Text"/>
        <w:rPr/>
      </w:pPr>
      <w:r>
        <w:rPr/>
        <w:t>Terms of the proposal included:</w:t>
      </w:r>
    </w:p>
    <w:p>
      <w:pPr>
        <w:pStyle w:val="Text"/>
        <w:numPr>
          <w:ilvl w:val="0"/>
          <w:numId w:val="7"/>
        </w:numPr>
        <w:rPr/>
      </w:pPr>
      <w:r>
        <w:rPr/>
        <w:t>A willingness to share in the financial pain, on a fair basis with other market participants, without admitting wrongdoing on Duke’s part;</w:t>
      </w:r>
    </w:p>
    <w:p>
      <w:pPr>
        <w:pStyle w:val="Text"/>
        <w:numPr>
          <w:ilvl w:val="0"/>
          <w:numId w:val="7"/>
        </w:numPr>
        <w:rPr/>
      </w:pPr>
      <w:r>
        <w:rPr/>
        <w:t>Resolution of all pending lawsuits and investigations into DUK’s pricing activities;</w:t>
      </w:r>
    </w:p>
    <w:p>
      <w:pPr>
        <w:pStyle w:val="Text"/>
        <w:numPr>
          <w:ilvl w:val="0"/>
          <w:numId w:val="7"/>
        </w:numPr>
        <w:rPr/>
      </w:pPr>
      <w:r>
        <w:rPr/>
        <w:t xml:space="preserve">Offers to: a) build new supply in California; b) help the state obtain additional capacity and reasonably priced electricity; and, c) enter into reasonable long-term contracts on flexible credit terms; and, </w:t>
      </w:r>
    </w:p>
    <w:p>
      <w:pPr>
        <w:pStyle w:val="Text"/>
        <w:numPr>
          <w:ilvl w:val="0"/>
          <w:numId w:val="7"/>
        </w:numPr>
        <w:rPr/>
      </w:pPr>
      <w:r>
        <w:rPr/>
        <w:t xml:space="preserve">An offer to help Gov. Davis promote the proposed solution both politically and publicly.  </w:t>
      </w:r>
    </w:p>
    <w:p>
      <w:pPr>
        <w:pStyle w:val="Text"/>
        <w:rPr/>
      </w:pPr>
      <w:r>
        <w:rPr>
          <w:b/>
        </w:rPr>
        <w:t>3. California Lieutenant Governor Files Lawsuit</w:t>
      </w:r>
      <w:r>
        <w:rPr/>
        <w:t xml:space="preserve">   Also on Tuesday, California Governor Cruz Bustamante and Assemblywoman Barbara Mathews filed a lawsuit in the LA Superior Court against Duke, Mirant, Dynegy and Williams.  The suit seeks billions of dollars in damages, and claim that the companies systematically fixed wholesale electricity prices.  Furthermore, the lawsuit accuses the companies of violating antitrust laws, engaging in unlawful trading and exercising market power.  </w:t>
      </w:r>
    </w:p>
    <w:p>
      <w:pPr>
        <w:pStyle w:val="Text"/>
        <w:rPr/>
      </w:pPr>
      <w:r>
        <w:rPr>
          <w:b/>
        </w:rPr>
        <w:t>AES/Williams Settle Market Manipulation Charges</w:t>
      </w:r>
    </w:p>
    <w:p>
      <w:pPr>
        <w:pStyle w:val="Text"/>
        <w:rPr/>
      </w:pPr>
      <w:r>
        <w:rPr/>
        <w:t xml:space="preserve">In other California news, Williams agreed to refund $8 million to the California ISO to settle charges that it profited excessively as a result of an inappropriate plant shutdown.  On March 14 the FERC ordered AES and Williams to “show cause” why it did not intentionally manipulate power prices in California by shutting down 2 Reliability Must Run (RMR) plants during the Spring of 2000.  </w:t>
      </w:r>
    </w:p>
    <w:p>
      <w:pPr>
        <w:pStyle w:val="Text"/>
        <w:rPr/>
      </w:pPr>
      <w:r>
        <w:rPr/>
        <w:t xml:space="preserve">The plants are owned by AES, which sells the output from about 4,000 MW of capacity to Williams under a long-term fixed price contract.  Under this arrangement, it is WMB that receives the benefit of any upside in power market conditions.  Importantly, the settlement appears to acknowledge this fact to the extent AES will not be required to refund any money.  In addition to the $8 million refund, for 1 year Williams, not the CalISO, will bear the market risk related to forced outages at the RMR units.   </w:t>
      </w:r>
    </w:p>
    <w:p>
      <w:pPr>
        <w:pStyle w:val="Text"/>
        <w:rPr/>
      </w:pPr>
      <w:r>
        <w:rPr>
          <w:b/>
        </w:rPr>
        <w:t>Beyond California: Orion Power Announces Q1 Earnings + Equity offering</w:t>
      </w:r>
      <w:r>
        <w:rPr/>
        <w:t xml:space="preserve">   </w:t>
      </w:r>
    </w:p>
    <w:p>
      <w:pPr>
        <w:pStyle w:val="Text"/>
        <w:rPr/>
      </w:pPr>
      <w:r>
        <w:rPr/>
        <w:t xml:space="preserve">Last week Orion Power traded off 7.1% after announcing its intent to sell equity before the end of the second quarter.  ORN plans to issue $200 million of convertible securities and $300 million of primary common stock.  </w:t>
      </w:r>
    </w:p>
    <w:p>
      <w:pPr>
        <w:pStyle w:val="Text"/>
        <w:rPr/>
      </w:pPr>
      <w:r>
        <w:rPr/>
        <w:t xml:space="preserve">The financing announcement followed strong first quarter earnings results.  ORN reported diluted EPS of $0.15 for Q1 01, which was 7% above our $0.14 estimate.  Net income for Q1 01 was $15.1 million, up 82% from the $8.3 million earned last year.  </w:t>
      </w:r>
    </w:p>
    <w:p>
      <w:pPr>
        <w:pStyle w:val="Text"/>
        <w:rPr/>
      </w:pPr>
      <w:r>
        <w:rPr>
          <w:b/>
        </w:rPr>
        <w:t>Estimates and Target Price Raised</w:t>
      </w:r>
      <w:r>
        <w:rPr/>
        <w:t xml:space="preserve">   Following the earnings release, we raised our 2001-2003 estimate to $1.20, $1.60 and $1.85 from $1.15, $1.50 and $1.75.  For 2001 the improved earnings outlook reflects strong New York power prices.  For 2002 it reflects a favorable revised power sales contract.  Importantly, we continue to believe our forecast is conservative, specifically with regard to New York City power pricing.  Reflecting the higher earnings outlook and our growing comfort with ORN’s ability to meet or exceed our estimates, we also took up our target price to $38 from $28.</w:t>
      </w:r>
    </w:p>
    <w:p>
      <w:pPr>
        <w:pStyle w:val="CameraReadyTableTitle"/>
        <w:rPr/>
      </w:pPr>
      <w:r>
        <w:rPr/>
        <w:t>Exhibit 5: Daily California Chronology</w:t>
      </w:r>
    </w:p>
    <w:tbl>
      <w:tblPr>
        <w:tblW w:w="8010" w:type="dxa"/>
        <w:jc w:val="start"/>
        <w:tblInd w:w="30" w:type="dxa"/>
        <w:tblLayout w:type="fixed"/>
        <w:tblCellMar>
          <w:top w:w="0" w:type="dxa"/>
          <w:start w:w="30" w:type="dxa"/>
          <w:bottom w:w="0" w:type="dxa"/>
          <w:end w:w="30" w:type="dxa"/>
        </w:tblCellMar>
      </w:tblPr>
      <w:tblGrid>
        <w:gridCol w:w="1350"/>
        <w:gridCol w:w="6660"/>
      </w:tblGrid>
      <w:tr>
        <w:trPr>
          <w:trHeight w:val="288" w:hRule="atLeast"/>
        </w:trPr>
        <w:tc>
          <w:tcPr>
            <w:tcW w:w="1350" w:type="dxa"/>
            <w:tcBorders>
              <w:bottom w:val="single" w:sz="4" w:space="0" w:color="000000"/>
            </w:tcBorders>
          </w:tcPr>
          <w:p>
            <w:pPr>
              <w:pStyle w:val="Normal"/>
              <w:spacing w:before="120" w:after="0"/>
              <w:rPr>
                <w:rFonts w:ascii="Arial Narrow" w:hAnsi="Arial Narrow" w:cs="Arial Narrow"/>
                <w:b/>
                <w:color w:val="000000"/>
              </w:rPr>
            </w:pPr>
            <w:r>
              <w:rPr>
                <w:rFonts w:cs="Arial Narrow" w:ascii="Arial Narrow" w:hAnsi="Arial Narrow"/>
                <w:b/>
                <w:color w:val="000000"/>
              </w:rPr>
              <w:t>Date</w:t>
            </w:r>
          </w:p>
        </w:tc>
        <w:tc>
          <w:tcPr>
            <w:tcW w:w="6660" w:type="dxa"/>
            <w:tcBorders>
              <w:bottom w:val="single" w:sz="4" w:space="0" w:color="000000"/>
            </w:tcBorders>
          </w:tcPr>
          <w:p>
            <w:pPr>
              <w:pStyle w:val="Normal"/>
              <w:spacing w:before="120" w:after="0"/>
              <w:rPr>
                <w:rFonts w:ascii="Arial Narrow" w:hAnsi="Arial Narrow" w:cs="Arial Narrow"/>
                <w:b/>
                <w:color w:val="000000"/>
              </w:rPr>
            </w:pPr>
            <w:r>
              <w:rPr>
                <w:rFonts w:cs="Arial Narrow" w:ascii="Arial Narrow" w:hAnsi="Arial Narrow"/>
                <w:b/>
                <w:color w:val="000000"/>
              </w:rPr>
              <w:t>Event</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Monday  4/30</w:t>
            </w:r>
          </w:p>
        </w:tc>
        <w:tc>
          <w:tcPr>
            <w:tcW w:w="6660" w:type="dxa"/>
            <w:tcBorders/>
          </w:tcPr>
          <w:p>
            <w:pPr>
              <w:pStyle w:val="Normal"/>
              <w:numPr>
                <w:ilvl w:val="0"/>
                <w:numId w:val="5"/>
              </w:numPr>
              <w:spacing w:before="40" w:after="40"/>
              <w:jc w:val="start"/>
              <w:rPr>
                <w:rFonts w:ascii="Arial Narrow" w:hAnsi="Arial Narrow" w:cs="Arial Narrow"/>
                <w:color w:val="000000"/>
                <w:sz w:val="18"/>
              </w:rPr>
            </w:pPr>
            <w:r>
              <w:rPr>
                <w:rFonts w:cs="Arial Narrow" w:ascii="Arial Narrow" w:hAnsi="Arial Narrow"/>
                <w:b/>
                <w:color w:val="000000"/>
                <w:sz w:val="18"/>
              </w:rPr>
              <w:t>Four bills were introduced</w:t>
            </w:r>
            <w:r>
              <w:rPr>
                <w:rFonts w:cs="Arial Narrow" w:ascii="Arial Narrow" w:hAnsi="Arial Narrow"/>
                <w:color w:val="000000"/>
                <w:sz w:val="18"/>
              </w:rPr>
              <w:t xml:space="preserve"> into the legislature to increase gas supply into California.</w:t>
            </w:r>
          </w:p>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 xml:space="preserve">33 Democratic U.S. lawmakers from CA and WA </w:t>
            </w:r>
            <w:r>
              <w:rPr>
                <w:rFonts w:cs="Arial Narrow" w:ascii="Arial Narrow" w:hAnsi="Arial Narrow"/>
                <w:color w:val="000000"/>
                <w:sz w:val="18"/>
              </w:rPr>
              <w:t>wrote to Energy Secretary Spencer Abraham demanding stronger federal action to help with the western energy crisis.</w:t>
            </w:r>
          </w:p>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WMB agreed to refund $8 million</w:t>
            </w:r>
            <w:r>
              <w:rPr>
                <w:rFonts w:cs="Arial Narrow" w:ascii="Arial Narrow" w:hAnsi="Arial Narrow"/>
                <w:color w:val="000000"/>
                <w:sz w:val="18"/>
              </w:rPr>
              <w:t xml:space="preserve"> to the CalISO.   </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Tuesday  5/1</w:t>
            </w:r>
          </w:p>
        </w:tc>
        <w:tc>
          <w:tcPr>
            <w:tcW w:w="6660" w:type="dxa"/>
            <w:tcBorders/>
          </w:tcPr>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 xml:space="preserve">Energy Secretary Spencer Abraham said the DOE </w:t>
            </w:r>
            <w:r>
              <w:rPr>
                <w:rFonts w:cs="Arial Narrow" w:ascii="Arial Narrow" w:hAnsi="Arial Narrow"/>
                <w:color w:val="000000"/>
                <w:sz w:val="18"/>
              </w:rPr>
              <w:t xml:space="preserve">created an Energy Emergency Task Force to coordinate federal responses to anticipated electricity blackouts in California. </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Wednesday  5/2</w:t>
            </w:r>
          </w:p>
        </w:tc>
        <w:tc>
          <w:tcPr>
            <w:tcW w:w="6660" w:type="dxa"/>
            <w:tcBorders/>
          </w:tcPr>
          <w:p>
            <w:pPr>
              <w:pStyle w:val="Normal"/>
              <w:numPr>
                <w:ilvl w:val="0"/>
                <w:numId w:val="5"/>
              </w:numPr>
              <w:spacing w:before="40" w:after="40"/>
              <w:jc w:val="start"/>
              <w:rPr>
                <w:rFonts w:ascii="Arial Narrow" w:hAnsi="Arial Narrow" w:cs="Arial Narrow"/>
                <w:sz w:val="18"/>
                <w:lang w:eastAsia="en-US"/>
              </w:rPr>
            </w:pPr>
            <w:r>
              <w:rPr>
                <w:rFonts w:cs="Arial Narrow" w:ascii="Arial Narrow" w:hAnsi="Arial Narrow"/>
                <w:b/>
                <w:sz w:val="18"/>
                <w:lang w:eastAsia="en-US"/>
              </w:rPr>
              <w:t>A windfall profits tax bill was passed out</w:t>
            </w:r>
            <w:r>
              <w:rPr>
                <w:rFonts w:cs="Arial Narrow" w:ascii="Arial Narrow" w:hAnsi="Arial Narrow"/>
                <w:sz w:val="18"/>
                <w:lang w:eastAsia="en-US"/>
              </w:rPr>
              <w:t xml:space="preserve"> of the state Senate Appropriations Committee. The Senate is consider the matter during the week of 5/7.</w:t>
              <w:br/>
            </w:r>
          </w:p>
          <w:p>
            <w:pPr>
              <w:pStyle w:val="Normal"/>
              <w:numPr>
                <w:ilvl w:val="0"/>
                <w:numId w:val="5"/>
              </w:numPr>
              <w:spacing w:before="40" w:after="40"/>
              <w:jc w:val="start"/>
              <w:rPr>
                <w:rFonts w:ascii="Courier New" w:hAnsi="Courier New" w:cs="Courier New"/>
                <w:lang w:eastAsia="en-US"/>
              </w:rPr>
            </w:pPr>
            <w:r>
              <w:rPr>
                <w:rFonts w:cs="Arial Narrow" w:ascii="Arial Narrow" w:hAnsi="Arial Narrow"/>
                <w:b/>
                <w:sz w:val="18"/>
                <w:lang w:eastAsia="en-US"/>
              </w:rPr>
              <w:t>Duke Energy confirmed that it had confidentially proposed</w:t>
            </w:r>
            <w:r>
              <w:rPr>
                <w:rFonts w:cs="Arial Narrow" w:ascii="Arial Narrow" w:hAnsi="Arial Narrow"/>
                <w:sz w:val="18"/>
                <w:lang w:eastAsia="en-US"/>
              </w:rPr>
              <w:t xml:space="preserve"> a global settlement to Governor Davis, including an offer to help procure long-term contracts and the dismissal of lawsuits against Duke. </w:t>
            </w:r>
          </w:p>
          <w:p>
            <w:pPr>
              <w:pStyle w:val="Normal"/>
              <w:numPr>
                <w:ilvl w:val="0"/>
                <w:numId w:val="5"/>
              </w:numPr>
              <w:spacing w:before="40" w:after="40"/>
              <w:jc w:val="start"/>
              <w:rPr>
                <w:rFonts w:ascii="Arial Narrow" w:hAnsi="Arial Narrow" w:cs="Arial Narrow"/>
                <w:sz w:val="18"/>
                <w:lang w:eastAsia="en-US"/>
              </w:rPr>
            </w:pPr>
            <w:r>
              <w:rPr>
                <w:rFonts w:cs="Arial Narrow" w:ascii="Arial Narrow" w:hAnsi="Arial Narrow"/>
                <w:b/>
                <w:sz w:val="18"/>
                <w:lang w:eastAsia="en-US"/>
              </w:rPr>
              <w:t>PG&amp;E released its first quarter earnings results.</w:t>
            </w:r>
            <w:r>
              <w:rPr>
                <w:rFonts w:cs="Arial Narrow" w:ascii="Arial Narrow" w:hAnsi="Arial Narrow"/>
                <w:sz w:val="18"/>
                <w:lang w:eastAsia="en-US"/>
              </w:rPr>
              <w:t xml:space="preserve"> Net operating income, before losses stemming from uncollected wholesale costs and other non-recurring items was $0.67 per share vs. $0.78 a share last year.  Including an after-tax charge of $1.1 billion stemming from uncollected wholesale costs, PG&amp;E Corp. reported a net loss of $2.62 per share. </w:t>
            </w:r>
          </w:p>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sz w:val="18"/>
                <w:lang w:eastAsia="en-US"/>
              </w:rPr>
              <w:t>US District Court Judge Lew dismissed PG&amp;E’s</w:t>
            </w:r>
            <w:r>
              <w:rPr>
                <w:rFonts w:cs="Arial Narrow" w:ascii="Arial Narrow" w:hAnsi="Arial Narrow"/>
                <w:sz w:val="18"/>
                <w:lang w:eastAsia="en-US"/>
              </w:rPr>
              <w:t xml:space="preserve"> lawsuit to force the PUC to raise rates, reasoning that the PUC has not yet made a final decision in this case. The Judge did find, however, that PG&amp;E could re-file its suit after a final PUC decision. </w:t>
            </w:r>
          </w:p>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sz w:val="18"/>
                <w:lang w:eastAsia="en-US"/>
              </w:rPr>
              <w:t>CA Lieutenant Governor and an Assemblywoman filed a lawsuit</w:t>
            </w:r>
            <w:r>
              <w:rPr>
                <w:rFonts w:cs="Arial Narrow" w:ascii="Arial Narrow" w:hAnsi="Arial Narrow"/>
                <w:sz w:val="18"/>
                <w:lang w:eastAsia="en-US"/>
              </w:rPr>
              <w:t xml:space="preserve"> against Duke, Mirant, Dynegy and Williams.</w:t>
            </w:r>
            <w:r>
              <w:rPr>
                <w:rFonts w:cs="Arial Narrow" w:ascii="Arial Narrow" w:hAnsi="Arial Narrow"/>
                <w:b/>
                <w:sz w:val="18"/>
                <w:lang w:eastAsia="en-US"/>
              </w:rPr>
              <w:t xml:space="preserve"> </w:t>
            </w:r>
          </w:p>
        </w:tc>
      </w:tr>
      <w:tr>
        <w:trPr>
          <w:trHeight w:val="540"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Thursday  5/3</w:t>
            </w:r>
          </w:p>
        </w:tc>
        <w:tc>
          <w:tcPr>
            <w:tcW w:w="6660" w:type="dxa"/>
            <w:tcBorders/>
          </w:tcPr>
          <w:p>
            <w:pPr>
              <w:pStyle w:val="Normal"/>
              <w:numPr>
                <w:ilvl w:val="0"/>
                <w:numId w:val="5"/>
              </w:numPr>
              <w:spacing w:before="40" w:after="40"/>
              <w:jc w:val="start"/>
              <w:rPr>
                <w:rFonts w:ascii="Arial Narrow" w:hAnsi="Arial Narrow" w:cs="Arial Narrow"/>
                <w:color w:val="000000"/>
                <w:sz w:val="18"/>
              </w:rPr>
            </w:pPr>
            <w:r>
              <w:rPr>
                <w:rFonts w:cs="Arial Narrow" w:ascii="Arial Narrow" w:hAnsi="Arial Narrow"/>
                <w:b/>
                <w:color w:val="000000"/>
                <w:sz w:val="18"/>
              </w:rPr>
              <w:t>A vote for Governor Davis’ plan to raise $12.5 billion</w:t>
            </w:r>
            <w:r>
              <w:rPr>
                <w:rFonts w:cs="Arial Narrow" w:ascii="Arial Narrow" w:hAnsi="Arial Narrow"/>
                <w:color w:val="000000"/>
                <w:sz w:val="18"/>
              </w:rPr>
              <w:t xml:space="preserve"> through a revenue bond issuance was delayed until Monday (5/7) at the earliest.</w:t>
            </w:r>
          </w:p>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California Senate passed a bill</w:t>
            </w:r>
            <w:r>
              <w:rPr>
                <w:rFonts w:cs="Arial Narrow" w:ascii="Arial Narrow" w:hAnsi="Arial Narrow"/>
                <w:color w:val="000000"/>
                <w:sz w:val="18"/>
              </w:rPr>
              <w:t xml:space="preserve"> that would create a public power authority that could build power plants using up to $5 billion in bonds.</w:t>
            </w:r>
          </w:p>
        </w:tc>
      </w:tr>
      <w:tr>
        <w:trPr>
          <w:trHeight w:val="247" w:hRule="atLeast"/>
        </w:trPr>
        <w:tc>
          <w:tcPr>
            <w:tcW w:w="1350" w:type="dxa"/>
            <w:tcBorders>
              <w:bottom w:val="single" w:sz="4" w:space="0" w:color="000000"/>
            </w:tcBorders>
          </w:tcPr>
          <w:p>
            <w:pPr>
              <w:pStyle w:val="Normal"/>
              <w:spacing w:before="0" w:after="120"/>
              <w:jc w:val="start"/>
              <w:rPr>
                <w:rFonts w:ascii="Arial Narrow" w:hAnsi="Arial Narrow" w:cs="Arial Narrow"/>
                <w:color w:val="000000"/>
              </w:rPr>
            </w:pPr>
            <w:r>
              <w:rPr>
                <w:rFonts w:cs="Arial Narrow" w:ascii="Arial Narrow" w:hAnsi="Arial Narrow"/>
                <w:color w:val="000000"/>
              </w:rPr>
              <w:t>Friday  5/4</w:t>
            </w:r>
          </w:p>
        </w:tc>
        <w:tc>
          <w:tcPr>
            <w:tcW w:w="6660" w:type="dxa"/>
            <w:tcBorders>
              <w:bottom w:val="single" w:sz="4" w:space="0" w:color="000000"/>
            </w:tcBorders>
          </w:tcPr>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Energy Secretary Spencer Abraham was in California</w:t>
            </w:r>
            <w:r>
              <w:rPr>
                <w:rFonts w:cs="Arial Narrow" w:ascii="Arial Narrow" w:hAnsi="Arial Narrow"/>
                <w:color w:val="000000"/>
                <w:sz w:val="18"/>
              </w:rPr>
              <w:t xml:space="preserve"> to discuss the Bush administration energy policy. </w:t>
            </w:r>
          </w:p>
        </w:tc>
      </w:tr>
    </w:tbl>
    <w:p>
      <w:pPr>
        <w:pStyle w:val="Head2"/>
        <w:rPr/>
      </w:pPr>
      <w:r>
        <w:rPr/>
      </w:r>
    </w:p>
    <w:p>
      <w:pPr>
        <w:pStyle w:val="Head2"/>
        <w:rPr/>
      </w:pPr>
      <w:r>
        <w:rPr/>
        <w:t>Looking Ahead: Focus on California</w:t>
      </w:r>
    </w:p>
    <w:p>
      <w:pPr>
        <w:pStyle w:val="Text"/>
        <w:rPr/>
      </w:pPr>
      <w:r>
        <w:rPr/>
        <w:t xml:space="preserve">For the week ahead, while we are not expecting any major company specific events, we could continue to see a heavy news-flow out of California  </w:t>
      </w:r>
    </w:p>
    <w:p>
      <w:pPr>
        <w:pStyle w:val="Text"/>
        <w:rPr/>
      </w:pPr>
      <w:r>
        <w:rPr/>
        <w:t xml:space="preserve">In particular, we’ll be looking for additional news regarding SB 1X—the windfall profits tax bill.  This week it will be considered on the floor of the California Senate. </w:t>
      </w:r>
    </w:p>
    <w:p>
      <w:pPr>
        <w:pStyle w:val="Text"/>
        <w:rPr>
          <w:b/>
        </w:rPr>
      </w:pPr>
      <w:r>
        <w:rPr/>
        <w:t>Also, on Wednesday (5/9), Governor Davis will meet with a number of generators to discuss the ongoing power crisis.  While 12 generators have been invited to attend the meeting, it is unclear if all will accept the invitation.  Those invited include: AES, Calpine, Duke Energy, Dynegy, Edison Mission, El Paso, Enron, Mirant, National Energy Group, Reliant, Sempra, and Williams.</w:t>
      </w:r>
    </w:p>
    <w:p>
      <w:pPr>
        <w:pStyle w:val="Text"/>
        <w:rPr/>
      </w:pPr>
      <w:r>
        <w:rPr>
          <w:b/>
        </w:rPr>
        <w:t>Mirant Hosting Analyst Meeting on 5/14 and 5/15</w:t>
      </w:r>
      <w:r>
        <w:rPr/>
        <w:t xml:space="preserve">   MIR will host its first major analyst seminar on May 14 and 15 in Atlanta.  We believe MIR represents one of the best values in the group.  The stock is currently trading at 20.6 times our 2001 EPS estimate, representing a 24% discount to the group average.  Since the beginning of the year, earnings expectations for Mirant have increased by 58%.  We believe MIR’s relative valuation discount reflects investor confusion surrounding the drivers of the recent upside as well as skepticism surrounding the sustainability of earnings growth over the next few years.  </w:t>
      </w:r>
      <w:r>
        <w:rPr>
          <w:i/>
        </w:rPr>
        <w:t xml:space="preserve">We believe management will address these issues at the analyst meeting, which should help close some of the valuation gap between MIR and its peers. </w:t>
      </w:r>
    </w:p>
    <w:p>
      <w:pPr>
        <w:pStyle w:val="Text"/>
        <w:rPr/>
      </w:pPr>
      <w:r>
        <w:rPr>
          <w:b/>
        </w:rPr>
        <w:t>President’s Energy Task Force Releases Report on 5/16</w:t>
      </w:r>
      <w:r>
        <w:rPr/>
        <w:t xml:space="preserve">   On May 16 President Bush’s energy task force, headed by Vice President Dick Cheney will release its long-await report proposing solutions to the country’s ongoing energy shortages.  While the content of the report has been kept highly confidential, the expectation is that it will offer an array of proposals to stimulate energy supply and resist calling for interventionist measures such as price caps.</w:t>
      </w:r>
    </w:p>
    <w:p>
      <w:pPr>
        <w:pStyle w:val="Text"/>
        <w:rPr/>
      </w:pPr>
      <w:r>
        <w:rPr/>
      </w:r>
    </w:p>
    <w:p>
      <w:pPr>
        <w:pStyle w:val="CameraReadyTableTitle"/>
        <w:rPr/>
      </w:pPr>
      <w:r>
        <w:rPr>
          <w:i/>
        </w:rPr>
        <w:t xml:space="preserve">Exhibit 6: </w:t>
      </w:r>
      <w:r>
        <w:rPr/>
        <w:t>Upcoming Conference Calls and Events</w:t>
      </w:r>
    </w:p>
    <w:tbl>
      <w:tblPr>
        <w:tblW w:w="7920" w:type="dxa"/>
        <w:jc w:val="start"/>
        <w:tblInd w:w="30" w:type="dxa"/>
        <w:tblLayout w:type="fixed"/>
        <w:tblCellMar>
          <w:top w:w="0" w:type="dxa"/>
          <w:start w:w="30" w:type="dxa"/>
          <w:bottom w:w="0" w:type="dxa"/>
          <w:end w:w="30" w:type="dxa"/>
        </w:tblCellMar>
      </w:tblPr>
      <w:tblGrid>
        <w:gridCol w:w="900"/>
        <w:gridCol w:w="4140"/>
        <w:gridCol w:w="1350"/>
        <w:gridCol w:w="1530"/>
      </w:tblGrid>
      <w:tr>
        <w:trPr>
          <w:trHeight w:val="247" w:hRule="atLeast"/>
        </w:trPr>
        <w:tc>
          <w:tcPr>
            <w:tcW w:w="900" w:type="dxa"/>
            <w:tcBorders/>
          </w:tcPr>
          <w:p>
            <w:pPr>
              <w:pStyle w:val="Normal"/>
              <w:spacing w:before="320" w:after="0"/>
              <w:rPr>
                <w:rFonts w:ascii="Arial Narrow" w:hAnsi="Arial Narrow" w:cs="Arial Narrow"/>
                <w:b/>
                <w:color w:val="000000"/>
              </w:rPr>
            </w:pPr>
            <w:r>
              <w:rPr>
                <w:rFonts w:cs="Arial Narrow" w:ascii="Arial Narrow" w:hAnsi="Arial Narrow"/>
                <w:b/>
                <w:color w:val="000000"/>
              </w:rPr>
              <w:t>Date</w:t>
            </w:r>
          </w:p>
        </w:tc>
        <w:tc>
          <w:tcPr>
            <w:tcW w:w="4140" w:type="dxa"/>
            <w:tcBorders/>
          </w:tcPr>
          <w:p>
            <w:pPr>
              <w:pStyle w:val="Normal"/>
              <w:spacing w:before="320" w:after="0"/>
              <w:rPr>
                <w:rFonts w:ascii="Arial Narrow" w:hAnsi="Arial Narrow" w:cs="Arial Narrow"/>
                <w:b/>
                <w:color w:val="000000"/>
              </w:rPr>
            </w:pPr>
            <w:r>
              <w:rPr>
                <w:rFonts w:cs="Arial Narrow" w:ascii="Arial Narrow" w:hAnsi="Arial Narrow"/>
                <w:b/>
                <w:color w:val="000000"/>
              </w:rPr>
              <w:t>Description</w:t>
            </w:r>
          </w:p>
        </w:tc>
        <w:tc>
          <w:tcPr>
            <w:tcW w:w="1350" w:type="dxa"/>
            <w:tcBorders/>
          </w:tcPr>
          <w:p>
            <w:pPr>
              <w:pStyle w:val="Normal"/>
              <w:spacing w:before="120" w:after="0"/>
              <w:jc w:val="center"/>
              <w:rPr>
                <w:rFonts w:ascii="Arial Narrow" w:hAnsi="Arial Narrow" w:cs="Arial Narrow"/>
                <w:b/>
                <w:color w:val="000000"/>
              </w:rPr>
            </w:pPr>
            <w:r>
              <w:rPr>
                <w:rFonts w:cs="Arial Narrow" w:ascii="Arial Narrow" w:hAnsi="Arial Narrow"/>
                <w:b/>
                <w:color w:val="000000"/>
              </w:rPr>
              <w:br/>
              <w:t>Time</w:t>
            </w:r>
          </w:p>
        </w:tc>
        <w:tc>
          <w:tcPr>
            <w:tcW w:w="1530" w:type="dxa"/>
            <w:tcBorders/>
          </w:tcPr>
          <w:p>
            <w:pPr>
              <w:pStyle w:val="Normal"/>
              <w:spacing w:before="120" w:after="0"/>
              <w:jc w:val="center"/>
              <w:rPr/>
            </w:pPr>
            <w:r>
              <w:rPr>
                <w:rFonts w:cs="Arial Narrow" w:ascii="Arial Narrow" w:hAnsi="Arial Narrow"/>
                <w:b/>
                <w:color w:val="000000"/>
              </w:rPr>
              <w:t xml:space="preserve">Location </w:t>
              <w:br/>
              <w:t xml:space="preserve"> or Dial-in</w:t>
            </w:r>
          </w:p>
        </w:tc>
      </w:tr>
      <w:tr>
        <w:trPr>
          <w:trHeight w:val="247" w:hRule="atLeast"/>
        </w:trPr>
        <w:tc>
          <w:tcPr>
            <w:tcW w:w="900" w:type="dxa"/>
            <w:tcBorders>
              <w:top w:val="single" w:sz="4" w:space="0" w:color="000000"/>
              <w:bottom w:val="single" w:sz="4" w:space="0" w:color="000000"/>
            </w:tcBorders>
          </w:tcPr>
          <w:p>
            <w:pPr>
              <w:pStyle w:val="TableBody"/>
              <w:rPr/>
            </w:pPr>
            <w:r>
              <w:rPr/>
              <w:t>5/14 &amp; 5/15</w:t>
            </w:r>
          </w:p>
        </w:tc>
        <w:tc>
          <w:tcPr>
            <w:tcW w:w="4140" w:type="dxa"/>
            <w:tcBorders>
              <w:top w:val="single" w:sz="4" w:space="0" w:color="000000"/>
              <w:bottom w:val="single" w:sz="4" w:space="0" w:color="000000"/>
            </w:tcBorders>
          </w:tcPr>
          <w:p>
            <w:pPr>
              <w:pStyle w:val="TableBody"/>
              <w:rPr>
                <w:b/>
              </w:rPr>
            </w:pPr>
            <w:r>
              <w:rPr>
                <w:b/>
              </w:rPr>
              <w:t>Mirant Corp. Analyst Meeting</w:t>
            </w:r>
          </w:p>
        </w:tc>
        <w:tc>
          <w:tcPr>
            <w:tcW w:w="1350" w:type="dxa"/>
            <w:tcBorders>
              <w:top w:val="single" w:sz="4" w:space="0" w:color="000000"/>
              <w:bottom w:val="single" w:sz="4" w:space="0" w:color="000000"/>
            </w:tcBorders>
          </w:tcPr>
          <w:p>
            <w:pPr>
              <w:pStyle w:val="TableBody"/>
              <w:jc w:val="center"/>
              <w:rPr/>
            </w:pPr>
            <w:r>
              <w:rPr/>
              <w:t>All Day</w:t>
            </w:r>
          </w:p>
        </w:tc>
        <w:tc>
          <w:tcPr>
            <w:tcW w:w="1530" w:type="dxa"/>
            <w:tcBorders>
              <w:top w:val="single" w:sz="4" w:space="0" w:color="000000"/>
              <w:bottom w:val="single" w:sz="4" w:space="0" w:color="000000"/>
            </w:tcBorders>
          </w:tcPr>
          <w:p>
            <w:pPr>
              <w:pStyle w:val="TableBody"/>
              <w:jc w:val="center"/>
              <w:rPr/>
            </w:pPr>
            <w:r>
              <w:rPr/>
              <w:t>Atlanta, GA</w:t>
            </w:r>
          </w:p>
        </w:tc>
      </w:tr>
      <w:tr>
        <w:trPr>
          <w:trHeight w:val="247" w:hRule="atLeast"/>
        </w:trPr>
        <w:tc>
          <w:tcPr>
            <w:tcW w:w="900" w:type="dxa"/>
            <w:tcBorders>
              <w:top w:val="single" w:sz="4" w:space="0" w:color="000000"/>
              <w:bottom w:val="single" w:sz="4" w:space="0" w:color="000000"/>
            </w:tcBorders>
          </w:tcPr>
          <w:p>
            <w:pPr>
              <w:pStyle w:val="TableBody"/>
              <w:rPr/>
            </w:pPr>
            <w:r>
              <w:rPr/>
              <w:t>6/12</w:t>
            </w:r>
          </w:p>
        </w:tc>
        <w:tc>
          <w:tcPr>
            <w:tcW w:w="4140" w:type="dxa"/>
            <w:tcBorders>
              <w:top w:val="single" w:sz="4" w:space="0" w:color="000000"/>
              <w:bottom w:val="single" w:sz="4" w:space="0" w:color="000000"/>
            </w:tcBorders>
          </w:tcPr>
          <w:p>
            <w:pPr>
              <w:pStyle w:val="TableBody"/>
              <w:rPr>
                <w:b/>
              </w:rPr>
            </w:pPr>
            <w:r>
              <w:rPr>
                <w:b/>
              </w:rPr>
              <w:t>Orion Power Analyst Meeting</w:t>
            </w:r>
          </w:p>
        </w:tc>
        <w:tc>
          <w:tcPr>
            <w:tcW w:w="1350" w:type="dxa"/>
            <w:tcBorders>
              <w:top w:val="single" w:sz="4" w:space="0" w:color="000000"/>
              <w:bottom w:val="single" w:sz="4" w:space="0" w:color="000000"/>
            </w:tcBorders>
          </w:tcPr>
          <w:p>
            <w:pPr>
              <w:pStyle w:val="TableBody"/>
              <w:jc w:val="center"/>
              <w:rPr/>
            </w:pPr>
            <w:r>
              <w:rPr/>
              <w:t>All Day</w:t>
            </w:r>
          </w:p>
        </w:tc>
        <w:tc>
          <w:tcPr>
            <w:tcW w:w="1530" w:type="dxa"/>
            <w:tcBorders>
              <w:top w:val="single" w:sz="4" w:space="0" w:color="000000"/>
              <w:bottom w:val="single" w:sz="4" w:space="0" w:color="000000"/>
            </w:tcBorders>
          </w:tcPr>
          <w:p>
            <w:pPr>
              <w:pStyle w:val="TableBody"/>
              <w:jc w:val="center"/>
              <w:rPr/>
            </w:pPr>
            <w:r>
              <w:rPr/>
              <w:t>Baltimore, MD</w:t>
            </w:r>
          </w:p>
        </w:tc>
      </w:tr>
    </w:tbl>
    <w:p>
      <w:pPr>
        <w:pStyle w:val="Head2"/>
        <w:rPr/>
      </w:pPr>
      <w:r>
        <w:rPr/>
      </w:r>
    </w:p>
    <w:p>
      <w:pPr>
        <w:pStyle w:val="Head2"/>
        <w:rPr/>
      </w:pPr>
      <w:r>
        <w:rPr/>
        <w:t>Debt Market Update</w:t>
      </w:r>
    </w:p>
    <w:p>
      <w:pPr>
        <w:pStyle w:val="Text"/>
        <w:rPr>
          <w:i/>
          <w:i/>
        </w:rPr>
      </w:pPr>
      <w:r>
        <w:rPr>
          <w:i/>
        </w:rPr>
        <w:t xml:space="preserve">For this section we asked Andy Brooks, our fixed income analyst, to provide an IPP debt market update.  We have found Andy to be an excellent resource and we encourage you to call him with any questions (212/325-3014).  </w:t>
      </w:r>
    </w:p>
    <w:p>
      <w:pPr>
        <w:pStyle w:val="Text"/>
        <w:rPr>
          <w:i/>
          <w:i/>
        </w:rPr>
      </w:pPr>
      <w:r>
        <w:rPr>
          <w:i/>
        </w:rPr>
        <w:t>From an equity perspective, we believe it is useful to monitor the trading activity of these companies’ fixed income securities.  On the whole, the long-term sustainability of these growth stories depends on an IPP’s ability to identify new investment opportunities as well as its ability to attract funding (both debt and equity) on reasonable terms.</w:t>
      </w:r>
    </w:p>
    <w:p>
      <w:pPr>
        <w:pStyle w:val="Text"/>
        <w:rPr/>
      </w:pPr>
      <w:r>
        <w:rPr>
          <w:b/>
        </w:rPr>
        <w:t xml:space="preserve">From the Desk of Andy Brooks    </w:t>
      </w:r>
      <w:r>
        <w:rPr/>
        <w:t xml:space="preserve">The IPP sector experienced a major rally over the course of last week with spreads gapping in some 30-50 bps before stalling out on last Wednesday’s news that California Lieutenant Governor Bustamante and Assemblywoman Barbara Matthews had filed suit against five merchant generators alleging power market price manipulation.   </w:t>
      </w:r>
    </w:p>
    <w:p>
      <w:pPr>
        <w:pStyle w:val="Text"/>
        <w:numPr>
          <w:ilvl w:val="0"/>
          <w:numId w:val="3"/>
        </w:numPr>
        <w:rPr/>
      </w:pPr>
      <w:r>
        <w:rPr/>
        <w:t xml:space="preserve">Fueling this rally were a number of factors:  </w:t>
      </w:r>
      <w:r>
        <w:rPr>
          <w:b/>
        </w:rPr>
        <w:t>1)</w:t>
      </w:r>
      <w:r>
        <w:rPr/>
        <w:t xml:space="preserve">  the market’s increasing focus on opportunities afforded by power and energy shortages;  </w:t>
      </w:r>
      <w:r>
        <w:rPr>
          <w:b/>
        </w:rPr>
        <w:t>2)</w:t>
      </w:r>
      <w:r>
        <w:rPr/>
        <w:t xml:space="preserve"> increasingly narrow industrial spreads; </w:t>
      </w:r>
      <w:r>
        <w:rPr>
          <w:b/>
        </w:rPr>
        <w:t>3)</w:t>
      </w:r>
      <w:r>
        <w:rPr/>
        <w:t xml:space="preserve"> a paucity of “yieldy” longer term assets; </w:t>
      </w:r>
      <w:r>
        <w:rPr>
          <w:b/>
        </w:rPr>
        <w:t>3)</w:t>
      </w:r>
      <w:r>
        <w:rPr/>
        <w:t xml:space="preserve"> the more than 10 times over-subscription of Exelon Corp’s recent 10-year debt issue; and, </w:t>
      </w:r>
      <w:r>
        <w:rPr>
          <w:b/>
        </w:rPr>
        <w:t>4)</w:t>
      </w:r>
      <w:r>
        <w:rPr/>
        <w:t xml:space="preserve"> the heavy demand for and dramatic spread tightening at the break for Mirant Corp’s U.S. generating subsidiary – Mirant Americas Generation (otherwise known as MAGI). </w:t>
      </w:r>
    </w:p>
    <w:p>
      <w:pPr>
        <w:pStyle w:val="Text"/>
        <w:numPr>
          <w:ilvl w:val="0"/>
          <w:numId w:val="3"/>
        </w:numPr>
        <w:rPr/>
      </w:pPr>
      <w:r>
        <w:rPr/>
        <w:t xml:space="preserve">With respect to MAGI, not only was its deal upsized by $550 million to $1.75 billion, but when bonds broke for trading on April 26 spreads were bid in immediately by some 35-40 bps. </w:t>
      </w:r>
    </w:p>
    <w:p>
      <w:pPr>
        <w:pStyle w:val="Text"/>
        <w:numPr>
          <w:ilvl w:val="0"/>
          <w:numId w:val="3"/>
        </w:numPr>
        <w:rPr/>
      </w:pPr>
      <w:r>
        <w:rPr/>
        <w:t xml:space="preserve">In active trading throughout the sector, the </w:t>
      </w:r>
      <w:r>
        <w:rPr>
          <w:b/>
        </w:rPr>
        <w:t>NRG Energy</w:t>
      </w:r>
      <w:r>
        <w:rPr/>
        <w:t xml:space="preserve"> 7.75%10-year, which was issued April 2 at +282 bps, tightened in again by week end to +235 bps bid (NRG’s 8.625% 30-year issued at +305 bps has moved in to a bid level of +255 bps). </w:t>
      </w:r>
    </w:p>
    <w:p>
      <w:pPr>
        <w:pStyle w:val="Text"/>
        <w:numPr>
          <w:ilvl w:val="0"/>
          <w:numId w:val="3"/>
        </w:numPr>
        <w:rPr/>
      </w:pPr>
      <w:r>
        <w:rPr>
          <w:b/>
        </w:rPr>
        <w:t>Calpine</w:t>
      </w:r>
      <w:r>
        <w:rPr/>
        <w:t xml:space="preserve"> also participated in the rally with its 8.50% 10-year trading as tight as +296 bps before retreating somewhat to close the week at +315 bps bid.  This new issue came to market February 8 at +345 bps. </w:t>
      </w:r>
    </w:p>
    <w:p>
      <w:pPr>
        <w:pStyle w:val="Text"/>
        <w:numPr>
          <w:ilvl w:val="0"/>
          <w:numId w:val="3"/>
        </w:numPr>
        <w:rPr/>
      </w:pPr>
      <w:r>
        <w:rPr>
          <w:b/>
        </w:rPr>
        <w:t>AES</w:t>
      </w:r>
      <w:r>
        <w:rPr/>
        <w:t xml:space="preserve"> lagged the market somewhat, however, closing the week without much movement at +350 bps bid for its new 8.875% 10-year as investors expressed renewed concern over its Brazilian and Argentine exposure. </w:t>
      </w:r>
    </w:p>
    <w:p>
      <w:pPr>
        <w:pStyle w:val="Text"/>
        <w:rPr/>
      </w:pPr>
      <w:r>
        <w:rPr/>
      </w:r>
    </w:p>
    <w:p>
      <w:pPr>
        <w:pStyle w:val="Head2"/>
        <w:rPr/>
      </w:pPr>
      <w:r>
        <w:rPr/>
        <w:t>CSFB Monthly Merchant Conference Call: The Future of Generation</w:t>
      </w:r>
    </w:p>
    <w:p>
      <w:pPr>
        <w:pStyle w:val="Text"/>
        <w:rPr/>
      </w:pPr>
      <w:r>
        <w:rPr>
          <w:lang w:eastAsia="en-US"/>
        </w:rPr>
        <w:t xml:space="preserve">On Wednesday (5/3), CSFB hosted its monthly merchant power conference call.  The topic of the call was the “Future of Generation: Coal and Nuclear.”  Guest speakers included Vance Mullis, the Director of Market Analysis for Mirant Corp. and John Redding, an expert on nuclear generation from GE Nuclear.  </w:t>
      </w:r>
    </w:p>
    <w:p>
      <w:pPr>
        <w:pStyle w:val="Text"/>
        <w:rPr/>
      </w:pPr>
      <w:r>
        <w:rPr>
          <w:lang w:eastAsia="en-US"/>
        </w:rPr>
        <w:t xml:space="preserve">In particular, the call focused on the prospects for the construction of new coal and nuclear fired capacity.  This topic is particularly timely given recent comments by the Bush administration that these fuels are integral in combating domestic power supply shortages.  </w:t>
      </w:r>
    </w:p>
    <w:p>
      <w:pPr>
        <w:pStyle w:val="Text"/>
        <w:rPr>
          <w:lang w:eastAsia="en-US"/>
        </w:rPr>
      </w:pPr>
      <w:r>
        <w:rPr>
          <w:lang w:eastAsia="en-US"/>
        </w:rPr>
        <w:t>Overall, the speakers concluded that the current environment is ripe for the development of new coal and nuclear fired power plants given: 1. Growing political support; 2. recent advances in coal and nuclear generation technology; and, 3. the rise in natural gas prices over the last 12 months.</w:t>
      </w:r>
    </w:p>
    <w:p>
      <w:pPr>
        <w:pStyle w:val="Text"/>
        <w:rPr>
          <w:lang w:eastAsia="en-US"/>
        </w:rPr>
      </w:pPr>
      <w:r>
        <w:rPr>
          <w:b/>
          <w:lang w:eastAsia="en-US"/>
        </w:rPr>
        <w:t>CSFB Analysis</w:t>
      </w:r>
      <w:r>
        <w:rPr>
          <w:lang w:eastAsia="en-US"/>
        </w:rPr>
        <w:t xml:space="preserve">   </w:t>
      </w:r>
      <w:r>
        <w:rPr>
          <w:i/>
          <w:lang w:eastAsia="en-US"/>
        </w:rPr>
        <w:t xml:space="preserve">Our analysis indicates that it is economically attractive for developers to begin pursuing coal and nuclear-fired power projects.  </w:t>
      </w:r>
      <w:r>
        <w:rPr>
          <w:b/>
          <w:i/>
          <w:lang w:eastAsia="en-US"/>
        </w:rPr>
        <w:t>Having said that, given physical construction and permitting constraints, it could be some time before these fuels become a major factor on the new plant construction landscape.</w:t>
      </w:r>
      <w:r>
        <w:rPr>
          <w:b/>
          <w:lang w:eastAsia="en-US"/>
        </w:rPr>
        <w:t xml:space="preserve">  </w:t>
      </w:r>
    </w:p>
    <w:p>
      <w:pPr>
        <w:pStyle w:val="Text"/>
        <w:rPr>
          <w:i/>
          <w:i/>
          <w:lang w:eastAsia="en-US"/>
        </w:rPr>
      </w:pPr>
      <w:r>
        <w:rPr>
          <w:lang w:eastAsia="en-US"/>
        </w:rPr>
        <w:t xml:space="preserve">In exhibit 7, we include a spreadsheet highlighting the relative cost economics of natural gas, coal and nuclear power plants.  This analysis takes into account current construction costs and an assumed required return of 14%.  </w:t>
      </w:r>
      <w:r>
        <w:rPr/>
        <w:t>If you would like to receive the spreadsheet below in Excel format please contact us or your CSFB sales representative.</w:t>
      </w:r>
    </w:p>
    <w:p>
      <w:pPr>
        <w:pStyle w:val="Text"/>
        <w:rPr>
          <w:b/>
        </w:rPr>
      </w:pPr>
      <w:r>
        <w:rPr>
          <w:b/>
        </w:rPr>
        <w:t>The Case for Coal</w:t>
      </w:r>
    </w:p>
    <w:p>
      <w:pPr>
        <w:pStyle w:val="Text"/>
        <w:rPr/>
      </w:pPr>
      <w:r>
        <w:rPr>
          <w:lang w:eastAsia="en-US"/>
        </w:rPr>
        <w:t>Vance Mullis</w:t>
      </w:r>
      <w:r>
        <w:rPr/>
        <w:t xml:space="preserve"> discussed the economics of coal-fired generation and prospects for the construction of new coal-fired capacity.  </w:t>
      </w:r>
    </w:p>
    <w:p>
      <w:pPr>
        <w:pStyle w:val="Text"/>
        <w:rPr/>
      </w:pPr>
      <w:r>
        <w:rPr>
          <w:b/>
        </w:rPr>
        <w:t xml:space="preserve">Background </w:t>
      </w:r>
      <w:r>
        <w:rPr/>
        <w:t xml:space="preserve">  More than 50% of the US generation capacity base is coal-fired.  However, given the amount of gas-fired capacity under construction and development, this percentage will decline below 50% by 2012.  About one billion tons of coal is burnt per year with 90% used for electric generation.  Production of coal is divided 50/50 between the Eastern and Western US.  Western coal, however, differs from Eastern coal in that it has a lower sulfur content, a lower heat content, and costs less from the mine mouth ($10 vs. $30).  This $20 cost difference results from labor costs due to the relative ease of accessing Western coal.  Therefore, Western coal can compete with Eastern coal as far as transportation allows for it.  Mr. Mullis commented that this usually means coal from Montana can be competitive in Georgia or Pennsylvania.</w:t>
      </w:r>
    </w:p>
    <w:p>
      <w:pPr>
        <w:pStyle w:val="Text"/>
        <w:rPr>
          <w:b/>
        </w:rPr>
      </w:pPr>
      <w:r>
        <w:rPr>
          <w:b/>
        </w:rPr>
        <w:t>Coal Vs. Gas</w:t>
      </w:r>
    </w:p>
    <w:p>
      <w:pPr>
        <w:pStyle w:val="Text"/>
        <w:rPr/>
      </w:pPr>
      <w:r>
        <w:rPr/>
        <w:t xml:space="preserve">Besides the cost of gas and coal there are benefits to coal and to gas which could sway new plant development towards one or the other.  Several advantages for coal that were mentioned on the call include:  </w:t>
      </w:r>
      <w:r>
        <w:rPr>
          <w:b/>
        </w:rPr>
        <w:t>1)</w:t>
      </w:r>
      <w:r>
        <w:rPr/>
        <w:t xml:space="preserve">  Its ability to be easily stored and </w:t>
      </w:r>
      <w:r>
        <w:rPr>
          <w:b/>
        </w:rPr>
        <w:t>2)</w:t>
      </w:r>
      <w:r>
        <w:rPr/>
        <w:t xml:space="preserve"> Its ability to be delivered virtually anywhere (i.e. you don’t need a pipeline).  For gas, advantages include:  </w:t>
      </w:r>
      <w:r>
        <w:rPr>
          <w:b/>
        </w:rPr>
        <w:t>1)</w:t>
      </w:r>
      <w:r>
        <w:rPr/>
        <w:t xml:space="preserve"> New plant construction is faster and cheaper that coal; </w:t>
      </w:r>
      <w:r>
        <w:rPr>
          <w:b/>
        </w:rPr>
        <w:t>2)</w:t>
      </w:r>
      <w:r>
        <w:rPr/>
        <w:t xml:space="preserve"> Permitting is faster; and, </w:t>
      </w:r>
      <w:r>
        <w:rPr>
          <w:b/>
        </w:rPr>
        <w:t>3)</w:t>
      </w:r>
      <w:r>
        <w:rPr/>
        <w:t xml:space="preserve"> the environmental costs with gas is lower than coal.</w:t>
      </w:r>
    </w:p>
    <w:p>
      <w:pPr>
        <w:pStyle w:val="Text"/>
        <w:rPr>
          <w:b/>
        </w:rPr>
      </w:pPr>
      <w:r>
        <w:rPr>
          <w:b/>
        </w:rPr>
        <w:t>The Case for Nuclear</w:t>
      </w:r>
    </w:p>
    <w:p>
      <w:pPr>
        <w:pStyle w:val="Text"/>
        <w:rPr/>
      </w:pPr>
      <w:r>
        <w:rPr/>
        <w:t>John Redding’s discussion focused on the economics of nuclear generation and prospects for the construction of new nuclear capacity.</w:t>
      </w:r>
    </w:p>
    <w:p>
      <w:pPr>
        <w:pStyle w:val="Text"/>
        <w:rPr/>
      </w:pPr>
      <w:r>
        <w:rPr>
          <w:b/>
        </w:rPr>
        <w:t>Background</w:t>
      </w:r>
      <w:r>
        <w:rPr/>
        <w:t xml:space="preserve">    Over the past few years there has been more support for the nuclear power alternative.  In particular, plant safety and output improvements have driven the support.  Today, Nuclear power has a capacity factor of 90% versus 70% in the early 1990s.  In addition, nuclear power plant safety is today comparable to other generating options.  This acceptance of nuclear power has been evidenced by utilities extending the lives of about 40% of existing nuclear plants beyond the 30 year useful life.</w:t>
      </w:r>
    </w:p>
    <w:p>
      <w:pPr>
        <w:pStyle w:val="Text"/>
        <w:rPr/>
      </w:pPr>
      <w:r>
        <w:rPr/>
        <w:t xml:space="preserve">In the United States, several utilities are looking into the possibility of building new nuclear plants.  These facilities would most likely be built on current nuclear sites.  </w:t>
      </w:r>
    </w:p>
    <w:p>
      <w:pPr>
        <w:pStyle w:val="Text"/>
        <w:rPr/>
      </w:pPr>
      <w:r>
        <w:rPr>
          <w:b/>
        </w:rPr>
        <w:t xml:space="preserve">Technological Advancements    </w:t>
      </w:r>
      <w:r>
        <w:rPr/>
        <w:t xml:space="preserve">Nuclear’s argument is further bolstered by the advent of new nuclear technologies that are considered safer than the predecessor technologies.   </w:t>
      </w:r>
    </w:p>
    <w:p>
      <w:pPr>
        <w:pStyle w:val="Text"/>
        <w:rPr/>
      </w:pPr>
      <w:r>
        <w:rPr>
          <w:b/>
        </w:rPr>
        <w:t>Advanced Boiling Water Reactor</w:t>
      </w:r>
      <w:r>
        <w:rPr/>
        <w:t xml:space="preserve">   GE has developed the Advanced Boiling Water Reactor (ADWR), a nuclear reactor that uses uranium rods as the fuel and water as the both its coolant and moderator.  Two ADWRs are currently in operation in Japan for Tokyo Electric Power Company.  These plants have been in operation since 1997 and have met all design and technology goals.  Also, there are two more facilities being built for the Taiwan Power Company in Taiwan.  Finally, the Finnish government is reviewing an application for a new ADWR in Finland.</w:t>
      </w:r>
    </w:p>
    <w:p>
      <w:pPr>
        <w:pStyle w:val="Normal"/>
        <w:jc w:val="start"/>
        <w:rPr/>
      </w:pPr>
      <w:r>
        <w:rPr>
          <w:b/>
        </w:rPr>
        <w:t>Pebble Bed Technology</w:t>
      </w:r>
      <w:r>
        <w:rPr/>
        <w:t xml:space="preserve">   Currently, in South Africa a consortium is in the process of developing a Pebble Bed Modular Reactor  (PBMR).  The PBMR is fueled by using uranium pebbles encased in graphite to form a fuel sphere (about the size of a tennis ball). In addition, helium is used as the coolant and energy transfer medium to a closed-cycle-gas turbine and generator. </w:t>
      </w:r>
    </w:p>
    <w:p>
      <w:pPr>
        <w:pStyle w:val="Text"/>
        <w:rPr>
          <w:i/>
          <w:i/>
        </w:rPr>
      </w:pPr>
      <w:r>
        <w:rPr>
          <w:i/>
        </w:rPr>
      </w:r>
    </w:p>
    <w:p>
      <w:pPr>
        <w:pStyle w:val="CameraReadyTableTitle"/>
        <w:spacing w:before="120" w:after="0"/>
        <w:rPr/>
      </w:pPr>
      <w:r>
        <w:rPr/>
        <w:t>Exhibit 7: Relative Economics for Coal, Gas and Nuclear Baseload Power Plants</w:t>
      </w:r>
    </w:p>
    <w:tbl>
      <w:tblPr>
        <w:tblW w:w="6838" w:type="dxa"/>
        <w:jc w:val="start"/>
        <w:tblInd w:w="0" w:type="dxa"/>
        <w:tblLayout w:type="fixed"/>
        <w:tblCellMar>
          <w:top w:w="0" w:type="dxa"/>
          <w:start w:w="30" w:type="dxa"/>
          <w:bottom w:w="0" w:type="dxa"/>
          <w:end w:w="30" w:type="dxa"/>
        </w:tblCellMar>
      </w:tblPr>
      <w:tblGrid>
        <w:gridCol w:w="2950"/>
        <w:gridCol w:w="1296"/>
        <w:gridCol w:w="1296"/>
        <w:gridCol w:w="1296"/>
      </w:tblGrid>
      <w:tr>
        <w:trPr>
          <w:trHeight w:val="247" w:hRule="atLeast"/>
        </w:trPr>
        <w:tc>
          <w:tcPr>
            <w:tcW w:w="2950" w:type="dxa"/>
            <w:tcBorders/>
          </w:tcPr>
          <w:p>
            <w:pPr>
              <w:pStyle w:val="TableColHead"/>
              <w:snapToGrid w:val="false"/>
              <w:spacing w:before="120" w:after="0"/>
              <w:jc w:val="center"/>
              <w:rPr>
                <w:lang w:eastAsia="en-US"/>
              </w:rPr>
            </w:pPr>
            <w:r>
              <w:rPr>
                <w:lang w:eastAsia="en-US"/>
              </w:rPr>
            </w:r>
          </w:p>
        </w:tc>
        <w:tc>
          <w:tcPr>
            <w:tcW w:w="1296" w:type="dxa"/>
            <w:tcBorders/>
          </w:tcPr>
          <w:p>
            <w:pPr>
              <w:pStyle w:val="TableColHead"/>
              <w:spacing w:before="120" w:after="0"/>
              <w:jc w:val="center"/>
              <w:rPr>
                <w:lang w:eastAsia="en-US"/>
              </w:rPr>
            </w:pPr>
            <w:r>
              <w:rPr>
                <w:lang w:eastAsia="en-US"/>
              </w:rPr>
              <w:t>CCGT</w:t>
            </w:r>
          </w:p>
        </w:tc>
        <w:tc>
          <w:tcPr>
            <w:tcW w:w="1296" w:type="dxa"/>
            <w:tcBorders/>
          </w:tcPr>
          <w:p>
            <w:pPr>
              <w:pStyle w:val="TableColHead"/>
              <w:spacing w:before="120" w:after="0"/>
              <w:jc w:val="center"/>
              <w:rPr>
                <w:lang w:eastAsia="en-US"/>
              </w:rPr>
            </w:pPr>
            <w:r>
              <w:rPr>
                <w:lang w:eastAsia="en-US"/>
              </w:rPr>
              <w:t>Coal</w:t>
            </w:r>
          </w:p>
        </w:tc>
        <w:tc>
          <w:tcPr>
            <w:tcW w:w="1296" w:type="dxa"/>
            <w:tcBorders/>
          </w:tcPr>
          <w:p>
            <w:pPr>
              <w:pStyle w:val="TableColHead"/>
              <w:spacing w:before="120" w:after="0"/>
              <w:jc w:val="center"/>
              <w:rPr>
                <w:lang w:eastAsia="en-US"/>
              </w:rPr>
            </w:pPr>
            <w:r>
              <w:rPr>
                <w:lang w:eastAsia="en-US"/>
              </w:rPr>
              <w:t>Nuclear</w:t>
            </w:r>
          </w:p>
        </w:tc>
      </w:tr>
      <w:tr>
        <w:trPr>
          <w:trHeight w:val="247" w:hRule="atLeast"/>
        </w:trPr>
        <w:tc>
          <w:tcPr>
            <w:tcW w:w="2950" w:type="dxa"/>
            <w:tcBorders>
              <w:top w:val="single" w:sz="6" w:space="0" w:color="000000"/>
              <w:start w:val="single" w:sz="6" w:space="0" w:color="000000"/>
            </w:tcBorders>
          </w:tcPr>
          <w:p>
            <w:pPr>
              <w:pStyle w:val="TableBody"/>
              <w:spacing w:before="20" w:after="0"/>
              <w:rPr>
                <w:b/>
                <w:lang w:eastAsia="en-US"/>
              </w:rPr>
            </w:pPr>
            <w:r>
              <w:rPr>
                <w:b/>
                <w:lang w:eastAsia="en-US"/>
              </w:rPr>
              <w:t>Operating Assumptions</w:t>
            </w:r>
          </w:p>
        </w:tc>
        <w:tc>
          <w:tcPr>
            <w:tcW w:w="1296" w:type="dxa"/>
            <w:tcBorders>
              <w:top w:val="single" w:sz="6" w:space="0" w:color="000000"/>
            </w:tcBorders>
          </w:tcPr>
          <w:p>
            <w:pPr>
              <w:pStyle w:val="TableBody"/>
              <w:tabs>
                <w:tab w:val="clear" w:pos="720"/>
                <w:tab w:val="decimal" w:pos="740" w:leader="none"/>
              </w:tabs>
              <w:snapToGrid w:val="false"/>
              <w:spacing w:before="20" w:after="0"/>
              <w:rPr>
                <w:b/>
                <w:lang w:eastAsia="en-US"/>
              </w:rPr>
            </w:pPr>
            <w:r>
              <w:rPr>
                <w:b/>
                <w:lang w:eastAsia="en-US"/>
              </w:rPr>
            </w:r>
          </w:p>
        </w:tc>
        <w:tc>
          <w:tcPr>
            <w:tcW w:w="1296" w:type="dxa"/>
            <w:tcBorders>
              <w:top w:val="single" w:sz="6" w:space="0" w:color="000000"/>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top w:val="single" w:sz="6" w:space="0" w:color="000000"/>
              <w:end w:val="single" w:sz="6" w:space="0" w:color="000000"/>
            </w:tcBorders>
          </w:tcPr>
          <w:p>
            <w:pPr>
              <w:pStyle w:val="TableBody"/>
              <w:tabs>
                <w:tab w:val="clear" w:pos="720"/>
                <w:tab w:val="decimal" w:pos="740" w:leader="none"/>
              </w:tabs>
              <w:snapToGrid w:val="false"/>
              <w:spacing w:before="20" w:after="0"/>
              <w:rPr>
                <w:lang w:eastAsia="en-US"/>
              </w:rPr>
            </w:pPr>
            <w:r>
              <w:rPr>
                <w:lang w:eastAsia="en-US"/>
              </w:rPr>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Plant Capacity (MW)</w:t>
            </w:r>
          </w:p>
        </w:tc>
        <w:tc>
          <w:tcPr>
            <w:tcW w:w="1296" w:type="dxa"/>
            <w:tcBorders/>
          </w:tcPr>
          <w:p>
            <w:pPr>
              <w:pStyle w:val="TableBody"/>
              <w:tabs>
                <w:tab w:val="clear" w:pos="720"/>
                <w:tab w:val="decimal" w:pos="740" w:leader="none"/>
              </w:tabs>
              <w:spacing w:before="20" w:after="0"/>
              <w:rPr>
                <w:lang w:eastAsia="en-US"/>
              </w:rPr>
            </w:pPr>
            <w:r>
              <w:rPr>
                <w:lang w:eastAsia="en-US"/>
              </w:rPr>
              <w:t>1.0</w:t>
            </w:r>
          </w:p>
        </w:tc>
        <w:tc>
          <w:tcPr>
            <w:tcW w:w="1296" w:type="dxa"/>
            <w:tcBorders/>
          </w:tcPr>
          <w:p>
            <w:pPr>
              <w:pStyle w:val="TableBody"/>
              <w:tabs>
                <w:tab w:val="clear" w:pos="720"/>
                <w:tab w:val="decimal" w:pos="740" w:leader="none"/>
              </w:tabs>
              <w:spacing w:before="20" w:after="0"/>
              <w:rPr>
                <w:lang w:eastAsia="en-US"/>
              </w:rPr>
            </w:pPr>
            <w:r>
              <w:rPr>
                <w:lang w:eastAsia="en-US"/>
              </w:rPr>
              <w:t>1.0</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1.0</w:t>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Capacity Factor</w:t>
            </w:r>
          </w:p>
        </w:tc>
        <w:tc>
          <w:tcPr>
            <w:tcW w:w="1296" w:type="dxa"/>
            <w:tcBorders/>
          </w:tcPr>
          <w:p>
            <w:pPr>
              <w:pStyle w:val="TableBody"/>
              <w:tabs>
                <w:tab w:val="clear" w:pos="720"/>
                <w:tab w:val="decimal" w:pos="740" w:leader="none"/>
              </w:tabs>
              <w:spacing w:before="20" w:after="0"/>
              <w:rPr>
                <w:lang w:eastAsia="en-US"/>
              </w:rPr>
            </w:pPr>
            <w:r>
              <w:rPr>
                <w:lang w:eastAsia="en-US"/>
              </w:rPr>
              <w:t>90%</w:t>
            </w:r>
          </w:p>
        </w:tc>
        <w:tc>
          <w:tcPr>
            <w:tcW w:w="1296" w:type="dxa"/>
            <w:tcBorders/>
          </w:tcPr>
          <w:p>
            <w:pPr>
              <w:pStyle w:val="TableBody"/>
              <w:tabs>
                <w:tab w:val="clear" w:pos="720"/>
                <w:tab w:val="decimal" w:pos="740" w:leader="none"/>
              </w:tabs>
              <w:spacing w:before="20" w:after="0"/>
              <w:rPr>
                <w:lang w:eastAsia="en-US"/>
              </w:rPr>
            </w:pPr>
            <w:r>
              <w:rPr>
                <w:lang w:eastAsia="en-US"/>
              </w:rPr>
              <w:t>90%</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90%</w:t>
            </w:r>
          </w:p>
        </w:tc>
      </w:tr>
      <w:tr>
        <w:trPr>
          <w:trHeight w:val="247" w:hRule="atLeast"/>
        </w:trPr>
        <w:tc>
          <w:tcPr>
            <w:tcW w:w="2950" w:type="dxa"/>
            <w:tcBorders>
              <w:start w:val="single" w:sz="6" w:space="0" w:color="000000"/>
              <w:bottom w:val="single" w:sz="6" w:space="0" w:color="000000"/>
            </w:tcBorders>
          </w:tcPr>
          <w:p>
            <w:pPr>
              <w:pStyle w:val="TableBody"/>
              <w:spacing w:before="20" w:after="0"/>
              <w:rPr>
                <w:lang w:eastAsia="en-US"/>
              </w:rPr>
            </w:pPr>
            <w:r>
              <w:rPr>
                <w:lang w:eastAsia="en-US"/>
              </w:rPr>
              <w:t>Mwh Produced</w:t>
            </w:r>
          </w:p>
        </w:tc>
        <w:tc>
          <w:tcPr>
            <w:tcW w:w="1296" w:type="dxa"/>
            <w:tcBorders>
              <w:bottom w:val="single" w:sz="6" w:space="0" w:color="000000"/>
            </w:tcBorders>
          </w:tcPr>
          <w:p>
            <w:pPr>
              <w:pStyle w:val="TableBody"/>
              <w:tabs>
                <w:tab w:val="clear" w:pos="720"/>
                <w:tab w:val="decimal" w:pos="740" w:leader="none"/>
              </w:tabs>
              <w:spacing w:before="20" w:after="0"/>
              <w:rPr>
                <w:lang w:eastAsia="en-US"/>
              </w:rPr>
            </w:pPr>
            <w:r>
              <w:rPr>
                <w:lang w:eastAsia="en-US"/>
              </w:rPr>
              <w:t xml:space="preserve">7,884 </w:t>
            </w:r>
          </w:p>
        </w:tc>
        <w:tc>
          <w:tcPr>
            <w:tcW w:w="1296" w:type="dxa"/>
            <w:tcBorders>
              <w:bottom w:val="single" w:sz="6" w:space="0" w:color="000000"/>
            </w:tcBorders>
          </w:tcPr>
          <w:p>
            <w:pPr>
              <w:pStyle w:val="TableBody"/>
              <w:tabs>
                <w:tab w:val="clear" w:pos="720"/>
                <w:tab w:val="decimal" w:pos="740" w:leader="none"/>
              </w:tabs>
              <w:spacing w:before="20" w:after="0"/>
              <w:rPr>
                <w:lang w:eastAsia="en-US"/>
              </w:rPr>
            </w:pPr>
            <w:r>
              <w:rPr>
                <w:lang w:eastAsia="en-US"/>
              </w:rPr>
              <w:t xml:space="preserve">7,884 </w:t>
            </w:r>
          </w:p>
        </w:tc>
        <w:tc>
          <w:tcPr>
            <w:tcW w:w="1296" w:type="dxa"/>
            <w:tcBorders>
              <w:bottom w:val="single" w:sz="6" w:space="0" w:color="000000"/>
              <w:end w:val="single" w:sz="6" w:space="0" w:color="000000"/>
            </w:tcBorders>
          </w:tcPr>
          <w:p>
            <w:pPr>
              <w:pStyle w:val="TableBody"/>
              <w:tabs>
                <w:tab w:val="clear" w:pos="720"/>
                <w:tab w:val="decimal" w:pos="740" w:leader="none"/>
              </w:tabs>
              <w:spacing w:before="20" w:after="0"/>
              <w:rPr>
                <w:lang w:eastAsia="en-US"/>
              </w:rPr>
            </w:pPr>
            <w:r>
              <w:rPr>
                <w:lang w:eastAsia="en-US"/>
              </w:rPr>
              <w:t xml:space="preserve">7,884 </w:t>
            </w:r>
          </w:p>
        </w:tc>
      </w:tr>
      <w:tr>
        <w:trPr>
          <w:trHeight w:val="247" w:hRule="atLeast"/>
        </w:trPr>
        <w:tc>
          <w:tcPr>
            <w:tcW w:w="2950" w:type="dxa"/>
            <w:tcBorders>
              <w:top w:val="single" w:sz="6" w:space="0" w:color="000000"/>
              <w:start w:val="single" w:sz="6" w:space="0" w:color="000000"/>
            </w:tcBorders>
          </w:tcPr>
          <w:p>
            <w:pPr>
              <w:pStyle w:val="TableBody"/>
              <w:spacing w:before="120" w:after="0"/>
              <w:rPr>
                <w:b/>
                <w:lang w:eastAsia="en-US"/>
              </w:rPr>
            </w:pPr>
            <w:r>
              <w:rPr>
                <w:b/>
                <w:lang w:eastAsia="en-US"/>
              </w:rPr>
              <w:t>Fuel Cost</w:t>
            </w:r>
          </w:p>
        </w:tc>
        <w:tc>
          <w:tcPr>
            <w:tcW w:w="1296" w:type="dxa"/>
            <w:tcBorders>
              <w:top w:val="single" w:sz="6" w:space="0" w:color="000000"/>
            </w:tcBorders>
          </w:tcPr>
          <w:p>
            <w:pPr>
              <w:pStyle w:val="TableBody"/>
              <w:tabs>
                <w:tab w:val="clear" w:pos="720"/>
                <w:tab w:val="decimal" w:pos="740" w:leader="none"/>
              </w:tabs>
              <w:snapToGrid w:val="false"/>
              <w:spacing w:before="20" w:after="0"/>
              <w:rPr>
                <w:b/>
                <w:lang w:eastAsia="en-US"/>
              </w:rPr>
            </w:pPr>
            <w:r>
              <w:rPr>
                <w:b/>
                <w:lang w:eastAsia="en-US"/>
              </w:rPr>
            </w:r>
          </w:p>
        </w:tc>
        <w:tc>
          <w:tcPr>
            <w:tcW w:w="1296" w:type="dxa"/>
            <w:tcBorders>
              <w:top w:val="single" w:sz="6" w:space="0" w:color="000000"/>
            </w:tcBorders>
          </w:tcPr>
          <w:p>
            <w:pPr>
              <w:pStyle w:val="TableBody"/>
              <w:tabs>
                <w:tab w:val="clear" w:pos="720"/>
                <w:tab w:val="decimal" w:pos="740" w:leader="none"/>
              </w:tabs>
              <w:spacing w:before="20" w:after="0"/>
              <w:rPr>
                <w:rFonts w:eastAsia="Arial Narrow"/>
                <w:lang w:eastAsia="en-US"/>
              </w:rPr>
            </w:pPr>
            <w:r>
              <w:rPr>
                <w:rFonts w:eastAsia="Arial Narrow"/>
                <w:lang w:eastAsia="en-US"/>
              </w:rPr>
              <w:t xml:space="preserve"> </w:t>
            </w:r>
          </w:p>
        </w:tc>
        <w:tc>
          <w:tcPr>
            <w:tcW w:w="1296" w:type="dxa"/>
            <w:tcBorders>
              <w:top w:val="single" w:sz="6" w:space="0" w:color="000000"/>
              <w:end w:val="single" w:sz="6" w:space="0" w:color="000000"/>
            </w:tcBorders>
          </w:tcPr>
          <w:p>
            <w:pPr>
              <w:pStyle w:val="TableBody"/>
              <w:tabs>
                <w:tab w:val="clear" w:pos="720"/>
                <w:tab w:val="decimal" w:pos="740" w:leader="none"/>
              </w:tabs>
              <w:snapToGrid w:val="false"/>
              <w:spacing w:before="20" w:after="0"/>
              <w:rPr>
                <w:lang w:eastAsia="en-US"/>
              </w:rPr>
            </w:pPr>
            <w:r>
              <w:rPr>
                <w:lang w:eastAsia="en-US"/>
              </w:rPr>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$/Ton</w:t>
            </w:r>
          </w:p>
        </w:tc>
        <w:tc>
          <w:tcPr>
            <w:tcW w:w="1296" w:type="dxa"/>
            <w:tcBorders/>
          </w:tcPr>
          <w:p>
            <w:pPr>
              <w:pStyle w:val="TableBody"/>
              <w:tabs>
                <w:tab w:val="clear" w:pos="720"/>
                <w:tab w:val="decimal" w:pos="740" w:leader="none"/>
              </w:tabs>
              <w:spacing w:before="20" w:after="0"/>
              <w:rPr>
                <w:lang w:eastAsia="en-US"/>
              </w:rPr>
            </w:pPr>
            <w:r>
              <w:rPr>
                <w:lang w:eastAsia="en-US"/>
              </w:rPr>
              <w:t>---</w:t>
            </w:r>
          </w:p>
        </w:tc>
        <w:tc>
          <w:tcPr>
            <w:tcW w:w="1296" w:type="dxa"/>
            <w:tcBorders/>
          </w:tcPr>
          <w:p>
            <w:pPr>
              <w:pStyle w:val="TableBody"/>
              <w:tabs>
                <w:tab w:val="clear" w:pos="720"/>
                <w:tab w:val="decimal" w:pos="740" w:leader="none"/>
              </w:tabs>
              <w:spacing w:before="20" w:after="0"/>
              <w:rPr>
                <w:lang w:eastAsia="en-US"/>
              </w:rPr>
            </w:pPr>
            <w:r>
              <w:rPr>
                <w:lang w:eastAsia="en-US"/>
              </w:rPr>
              <w:t xml:space="preserve">$36.00 </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w:t>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BTU/Ton</w:t>
            </w:r>
          </w:p>
        </w:tc>
        <w:tc>
          <w:tcPr>
            <w:tcW w:w="1296" w:type="dxa"/>
            <w:tcBorders/>
          </w:tcPr>
          <w:p>
            <w:pPr>
              <w:pStyle w:val="TableBody"/>
              <w:tabs>
                <w:tab w:val="clear" w:pos="720"/>
                <w:tab w:val="decimal" w:pos="740" w:leader="none"/>
              </w:tabs>
              <w:spacing w:before="20" w:after="0"/>
              <w:rPr>
                <w:lang w:eastAsia="en-US"/>
              </w:rPr>
            </w:pPr>
            <w:r>
              <w:rPr>
                <w:lang w:eastAsia="en-US"/>
              </w:rPr>
              <w:t>---</w:t>
            </w:r>
          </w:p>
        </w:tc>
        <w:tc>
          <w:tcPr>
            <w:tcW w:w="1296" w:type="dxa"/>
            <w:tcBorders/>
          </w:tcPr>
          <w:p>
            <w:pPr>
              <w:pStyle w:val="TableBody"/>
              <w:tabs>
                <w:tab w:val="clear" w:pos="720"/>
                <w:tab w:val="decimal" w:pos="740" w:leader="none"/>
              </w:tabs>
              <w:spacing w:before="20" w:after="0"/>
              <w:rPr>
                <w:lang w:eastAsia="en-US"/>
              </w:rPr>
            </w:pPr>
            <w:r>
              <w:rPr>
                <w:lang w:eastAsia="en-US"/>
              </w:rPr>
              <w:t>12,000</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w:t>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MMBTU/Ton</w:t>
            </w:r>
          </w:p>
        </w:tc>
        <w:tc>
          <w:tcPr>
            <w:tcW w:w="1296" w:type="dxa"/>
            <w:tcBorders/>
          </w:tcPr>
          <w:p>
            <w:pPr>
              <w:pStyle w:val="TableBody"/>
              <w:tabs>
                <w:tab w:val="clear" w:pos="720"/>
                <w:tab w:val="decimal" w:pos="740" w:leader="none"/>
              </w:tabs>
              <w:spacing w:before="20" w:after="0"/>
              <w:rPr>
                <w:lang w:eastAsia="en-US"/>
              </w:rPr>
            </w:pPr>
            <w:r>
              <w:rPr>
                <w:lang w:eastAsia="en-US"/>
              </w:rPr>
              <w:t>---</w:t>
            </w:r>
          </w:p>
        </w:tc>
        <w:tc>
          <w:tcPr>
            <w:tcW w:w="1296" w:type="dxa"/>
            <w:tcBorders/>
          </w:tcPr>
          <w:p>
            <w:pPr>
              <w:pStyle w:val="TableBody"/>
              <w:tabs>
                <w:tab w:val="clear" w:pos="720"/>
                <w:tab w:val="decimal" w:pos="740" w:leader="none"/>
              </w:tabs>
              <w:spacing w:before="20" w:after="0"/>
              <w:rPr>
                <w:lang w:eastAsia="en-US"/>
              </w:rPr>
            </w:pPr>
            <w:r>
              <w:rPr>
                <w:lang w:eastAsia="en-US"/>
              </w:rPr>
              <w:t>24</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w:t>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$/MMBtu</w:t>
            </w:r>
          </w:p>
        </w:tc>
        <w:tc>
          <w:tcPr>
            <w:tcW w:w="1296" w:type="dxa"/>
            <w:tcBorders/>
          </w:tcPr>
          <w:p>
            <w:pPr>
              <w:pStyle w:val="TableBody"/>
              <w:tabs>
                <w:tab w:val="clear" w:pos="720"/>
                <w:tab w:val="decimal" w:pos="740" w:leader="none"/>
              </w:tabs>
              <w:spacing w:before="20" w:after="0"/>
              <w:rPr>
                <w:lang w:eastAsia="en-US"/>
              </w:rPr>
            </w:pPr>
            <w:r>
              <w:rPr>
                <w:lang w:eastAsia="en-US"/>
              </w:rPr>
              <w:t xml:space="preserve">$5.00 </w:t>
            </w:r>
          </w:p>
        </w:tc>
        <w:tc>
          <w:tcPr>
            <w:tcW w:w="1296" w:type="dxa"/>
            <w:tcBorders/>
          </w:tcPr>
          <w:p>
            <w:pPr>
              <w:pStyle w:val="TableBody"/>
              <w:tabs>
                <w:tab w:val="clear" w:pos="720"/>
                <w:tab w:val="decimal" w:pos="740" w:leader="none"/>
              </w:tabs>
              <w:spacing w:before="20" w:after="0"/>
              <w:rPr>
                <w:lang w:eastAsia="en-US"/>
              </w:rPr>
            </w:pPr>
            <w:r>
              <w:rPr>
                <w:lang w:eastAsia="en-US"/>
              </w:rPr>
              <w:t xml:space="preserve">$1.50 </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w:t>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Plant Heat Rate</w:t>
            </w:r>
          </w:p>
        </w:tc>
        <w:tc>
          <w:tcPr>
            <w:tcW w:w="1296" w:type="dxa"/>
            <w:tcBorders/>
          </w:tcPr>
          <w:p>
            <w:pPr>
              <w:pStyle w:val="TableBody"/>
              <w:tabs>
                <w:tab w:val="clear" w:pos="720"/>
                <w:tab w:val="decimal" w:pos="740" w:leader="none"/>
              </w:tabs>
              <w:spacing w:before="20" w:after="0"/>
              <w:rPr>
                <w:lang w:eastAsia="en-US"/>
              </w:rPr>
            </w:pPr>
            <w:r>
              <w:rPr>
                <w:lang w:eastAsia="en-US"/>
              </w:rPr>
              <w:t>7,000</w:t>
            </w:r>
          </w:p>
        </w:tc>
        <w:tc>
          <w:tcPr>
            <w:tcW w:w="1296" w:type="dxa"/>
            <w:tcBorders/>
          </w:tcPr>
          <w:p>
            <w:pPr>
              <w:pStyle w:val="TableBody"/>
              <w:tabs>
                <w:tab w:val="clear" w:pos="720"/>
                <w:tab w:val="decimal" w:pos="740" w:leader="none"/>
              </w:tabs>
              <w:spacing w:before="20" w:after="0"/>
              <w:rPr>
                <w:lang w:eastAsia="en-US"/>
              </w:rPr>
            </w:pPr>
            <w:r>
              <w:rPr>
                <w:lang w:eastAsia="en-US"/>
              </w:rPr>
              <w:t>10,000</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w:t>
            </w:r>
          </w:p>
        </w:tc>
      </w:tr>
      <w:tr>
        <w:trPr>
          <w:trHeight w:val="247" w:hRule="atLeast"/>
        </w:trPr>
        <w:tc>
          <w:tcPr>
            <w:tcW w:w="2950" w:type="dxa"/>
            <w:tcBorders>
              <w:start w:val="single" w:sz="6" w:space="0" w:color="000000"/>
            </w:tcBorders>
          </w:tcPr>
          <w:p>
            <w:pPr>
              <w:pStyle w:val="TableBody"/>
              <w:spacing w:before="20" w:after="0"/>
              <w:rPr>
                <w:b/>
                <w:lang w:eastAsia="en-US"/>
              </w:rPr>
            </w:pPr>
            <w:r>
              <w:rPr>
                <w:b/>
                <w:lang w:eastAsia="en-US"/>
              </w:rPr>
              <w:t>Fuel Cost/Mwh</w:t>
            </w:r>
          </w:p>
        </w:tc>
        <w:tc>
          <w:tcPr>
            <w:tcW w:w="1296" w:type="dxa"/>
            <w:tcBorders/>
          </w:tcPr>
          <w:p>
            <w:pPr>
              <w:pStyle w:val="TableBody"/>
              <w:tabs>
                <w:tab w:val="clear" w:pos="720"/>
                <w:tab w:val="decimal" w:pos="740" w:leader="none"/>
              </w:tabs>
              <w:spacing w:before="20" w:after="0"/>
              <w:rPr>
                <w:b/>
                <w:lang w:eastAsia="en-US"/>
              </w:rPr>
            </w:pPr>
            <w:r>
              <w:rPr>
                <w:b/>
                <w:lang w:eastAsia="en-US"/>
              </w:rPr>
              <w:t xml:space="preserve">$35.00 </w:t>
            </w:r>
          </w:p>
        </w:tc>
        <w:tc>
          <w:tcPr>
            <w:tcW w:w="1296" w:type="dxa"/>
            <w:tcBorders/>
          </w:tcPr>
          <w:p>
            <w:pPr>
              <w:pStyle w:val="TableBody"/>
              <w:tabs>
                <w:tab w:val="clear" w:pos="720"/>
                <w:tab w:val="decimal" w:pos="740" w:leader="none"/>
              </w:tabs>
              <w:spacing w:before="20" w:after="0"/>
              <w:rPr>
                <w:b/>
                <w:lang w:eastAsia="en-US"/>
              </w:rPr>
            </w:pPr>
            <w:r>
              <w:rPr>
                <w:b/>
                <w:lang w:eastAsia="en-US"/>
              </w:rPr>
              <w:t xml:space="preserve">$15.00 </w:t>
            </w:r>
          </w:p>
        </w:tc>
        <w:tc>
          <w:tcPr>
            <w:tcW w:w="1296" w:type="dxa"/>
            <w:tcBorders>
              <w:end w:val="single" w:sz="6" w:space="0" w:color="000000"/>
            </w:tcBorders>
          </w:tcPr>
          <w:p>
            <w:pPr>
              <w:pStyle w:val="TableBody"/>
              <w:tabs>
                <w:tab w:val="clear" w:pos="720"/>
                <w:tab w:val="decimal" w:pos="740" w:leader="none"/>
              </w:tabs>
              <w:spacing w:before="20" w:after="0"/>
              <w:rPr>
                <w:b/>
                <w:lang w:eastAsia="en-US"/>
              </w:rPr>
            </w:pPr>
            <w:r>
              <w:rPr>
                <w:b/>
                <w:lang w:eastAsia="en-US"/>
              </w:rPr>
              <w:t xml:space="preserve">$5.00 </w:t>
            </w:r>
          </w:p>
        </w:tc>
      </w:tr>
      <w:tr>
        <w:trPr>
          <w:trHeight w:val="247" w:hRule="atLeast"/>
        </w:trPr>
        <w:tc>
          <w:tcPr>
            <w:tcW w:w="2950" w:type="dxa"/>
            <w:tcBorders>
              <w:start w:val="single" w:sz="6" w:space="0" w:color="000000"/>
            </w:tcBorders>
          </w:tcPr>
          <w:p>
            <w:pPr>
              <w:pStyle w:val="TableBody"/>
              <w:snapToGrid w:val="false"/>
              <w:spacing w:before="20" w:after="0"/>
              <w:rPr>
                <w:b/>
                <w:color w:val="000000"/>
                <w:sz w:val="16"/>
                <w:lang w:eastAsia="en-US"/>
              </w:rPr>
            </w:pPr>
            <w:r>
              <w:rPr>
                <w:b/>
                <w:color w:val="000000"/>
                <w:sz w:val="16"/>
                <w:lang w:eastAsia="en-US"/>
              </w:rPr>
            </w:r>
          </w:p>
        </w:tc>
        <w:tc>
          <w:tcPr>
            <w:tcW w:w="1296" w:type="dxa"/>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end w:val="single" w:sz="6" w:space="0" w:color="000000"/>
            </w:tcBorders>
          </w:tcPr>
          <w:p>
            <w:pPr>
              <w:pStyle w:val="TableBody"/>
              <w:tabs>
                <w:tab w:val="clear" w:pos="720"/>
                <w:tab w:val="decimal" w:pos="740" w:leader="none"/>
              </w:tabs>
              <w:snapToGrid w:val="false"/>
              <w:spacing w:before="20" w:after="0"/>
              <w:rPr>
                <w:lang w:eastAsia="en-US"/>
              </w:rPr>
            </w:pPr>
            <w:r>
              <w:rPr>
                <w:lang w:eastAsia="en-US"/>
              </w:rPr>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Variable O&amp;M ($/Mwh)</w:t>
            </w:r>
          </w:p>
        </w:tc>
        <w:tc>
          <w:tcPr>
            <w:tcW w:w="1296" w:type="dxa"/>
            <w:tcBorders/>
          </w:tcPr>
          <w:p>
            <w:pPr>
              <w:pStyle w:val="TableBody"/>
              <w:tabs>
                <w:tab w:val="clear" w:pos="720"/>
                <w:tab w:val="decimal" w:pos="740" w:leader="none"/>
              </w:tabs>
              <w:spacing w:before="20" w:after="0"/>
              <w:rPr>
                <w:lang w:eastAsia="en-US"/>
              </w:rPr>
            </w:pPr>
            <w:r>
              <w:rPr>
                <w:lang w:eastAsia="en-US"/>
              </w:rPr>
              <w:t xml:space="preserve">$2.00 </w:t>
            </w:r>
          </w:p>
        </w:tc>
        <w:tc>
          <w:tcPr>
            <w:tcW w:w="1296" w:type="dxa"/>
            <w:tcBorders/>
          </w:tcPr>
          <w:p>
            <w:pPr>
              <w:pStyle w:val="TableBody"/>
              <w:tabs>
                <w:tab w:val="clear" w:pos="720"/>
                <w:tab w:val="decimal" w:pos="740" w:leader="none"/>
              </w:tabs>
              <w:spacing w:before="20" w:after="0"/>
              <w:rPr>
                <w:lang w:eastAsia="en-US"/>
              </w:rPr>
            </w:pPr>
            <w:r>
              <w:rPr>
                <w:lang w:eastAsia="en-US"/>
              </w:rPr>
              <w:t xml:space="preserve">$2.00 </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 xml:space="preserve">$0.40 </w:t>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Emissions Costs ($/Mwh)</w:t>
            </w:r>
          </w:p>
        </w:tc>
        <w:tc>
          <w:tcPr>
            <w:tcW w:w="1296" w:type="dxa"/>
            <w:tcBorders/>
          </w:tcPr>
          <w:p>
            <w:pPr>
              <w:pStyle w:val="TableBody"/>
              <w:tabs>
                <w:tab w:val="clear" w:pos="720"/>
                <w:tab w:val="decimal" w:pos="740" w:leader="none"/>
              </w:tabs>
              <w:spacing w:before="20" w:after="0"/>
              <w:rPr>
                <w:lang w:eastAsia="en-US"/>
              </w:rPr>
            </w:pPr>
            <w:r>
              <w:rPr>
                <w:lang w:eastAsia="en-US"/>
              </w:rPr>
              <w:t xml:space="preserve">$1.00 </w:t>
            </w:r>
          </w:p>
        </w:tc>
        <w:tc>
          <w:tcPr>
            <w:tcW w:w="1296" w:type="dxa"/>
            <w:tcBorders/>
          </w:tcPr>
          <w:p>
            <w:pPr>
              <w:pStyle w:val="TableBody"/>
              <w:tabs>
                <w:tab w:val="clear" w:pos="720"/>
                <w:tab w:val="decimal" w:pos="740" w:leader="none"/>
              </w:tabs>
              <w:spacing w:before="20" w:after="0"/>
              <w:rPr>
                <w:lang w:eastAsia="en-US"/>
              </w:rPr>
            </w:pPr>
            <w:r>
              <w:rPr>
                <w:lang w:eastAsia="en-US"/>
              </w:rPr>
              <w:t xml:space="preserve">$4.00 </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 xml:space="preserve">$0.00 </w:t>
            </w:r>
          </w:p>
        </w:tc>
      </w:tr>
      <w:tr>
        <w:trPr>
          <w:trHeight w:val="247" w:hRule="atLeast"/>
        </w:trPr>
        <w:tc>
          <w:tcPr>
            <w:tcW w:w="2950" w:type="dxa"/>
            <w:tcBorders>
              <w:start w:val="single" w:sz="6" w:space="0" w:color="000000"/>
            </w:tcBorders>
          </w:tcPr>
          <w:p>
            <w:pPr>
              <w:pStyle w:val="TableBody"/>
              <w:snapToGrid w:val="false"/>
              <w:spacing w:before="20" w:after="0"/>
              <w:rPr>
                <w:b/>
                <w:sz w:val="16"/>
                <w:lang w:eastAsia="en-US"/>
              </w:rPr>
            </w:pPr>
            <w:r>
              <w:rPr>
                <w:b/>
                <w:sz w:val="16"/>
                <w:lang w:eastAsia="en-US"/>
              </w:rPr>
            </w:r>
          </w:p>
        </w:tc>
        <w:tc>
          <w:tcPr>
            <w:tcW w:w="1296" w:type="dxa"/>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end w:val="single" w:sz="6" w:space="0" w:color="000000"/>
            </w:tcBorders>
          </w:tcPr>
          <w:p>
            <w:pPr>
              <w:pStyle w:val="TableBody"/>
              <w:tabs>
                <w:tab w:val="clear" w:pos="720"/>
                <w:tab w:val="decimal" w:pos="740" w:leader="none"/>
              </w:tabs>
              <w:snapToGrid w:val="false"/>
              <w:spacing w:before="20" w:after="0"/>
              <w:rPr>
                <w:lang w:eastAsia="en-US"/>
              </w:rPr>
            </w:pPr>
            <w:r>
              <w:rPr>
                <w:lang w:eastAsia="en-US"/>
              </w:rPr>
            </w:r>
          </w:p>
        </w:tc>
      </w:tr>
      <w:tr>
        <w:trPr>
          <w:trHeight w:val="247" w:hRule="atLeast"/>
        </w:trPr>
        <w:tc>
          <w:tcPr>
            <w:tcW w:w="2950" w:type="dxa"/>
            <w:tcBorders>
              <w:top w:val="single" w:sz="4" w:space="0" w:color="000000"/>
              <w:start w:val="single" w:sz="6" w:space="0" w:color="000000"/>
              <w:bottom w:val="single" w:sz="6" w:space="0" w:color="000000"/>
            </w:tcBorders>
          </w:tcPr>
          <w:p>
            <w:pPr>
              <w:pStyle w:val="TableBody"/>
              <w:spacing w:before="20" w:after="0"/>
              <w:rPr>
                <w:b/>
                <w:lang w:eastAsia="en-US"/>
              </w:rPr>
            </w:pPr>
            <w:r>
              <w:rPr>
                <w:b/>
                <w:lang w:eastAsia="en-US"/>
              </w:rPr>
              <w:t>Total Variable Costs ($/Mwh)</w:t>
            </w:r>
          </w:p>
        </w:tc>
        <w:tc>
          <w:tcPr>
            <w:tcW w:w="1296" w:type="dxa"/>
            <w:tcBorders>
              <w:top w:val="single" w:sz="4" w:space="0" w:color="000000"/>
              <w:bottom w:val="single" w:sz="6" w:space="0" w:color="000000"/>
            </w:tcBorders>
          </w:tcPr>
          <w:p>
            <w:pPr>
              <w:pStyle w:val="TableBody"/>
              <w:tabs>
                <w:tab w:val="clear" w:pos="720"/>
                <w:tab w:val="decimal" w:pos="740" w:leader="none"/>
              </w:tabs>
              <w:spacing w:before="20" w:after="0"/>
              <w:rPr>
                <w:b/>
                <w:lang w:eastAsia="en-US"/>
              </w:rPr>
            </w:pPr>
            <w:r>
              <w:rPr>
                <w:b/>
                <w:lang w:eastAsia="en-US"/>
              </w:rPr>
              <w:t xml:space="preserve">$38.00 </w:t>
            </w:r>
          </w:p>
        </w:tc>
        <w:tc>
          <w:tcPr>
            <w:tcW w:w="1296" w:type="dxa"/>
            <w:tcBorders>
              <w:top w:val="single" w:sz="4" w:space="0" w:color="000000"/>
              <w:bottom w:val="single" w:sz="6" w:space="0" w:color="000000"/>
            </w:tcBorders>
          </w:tcPr>
          <w:p>
            <w:pPr>
              <w:pStyle w:val="TableBody"/>
              <w:tabs>
                <w:tab w:val="clear" w:pos="720"/>
                <w:tab w:val="decimal" w:pos="740" w:leader="none"/>
              </w:tabs>
              <w:spacing w:before="20" w:after="0"/>
              <w:rPr>
                <w:b/>
                <w:lang w:eastAsia="en-US"/>
              </w:rPr>
            </w:pPr>
            <w:r>
              <w:rPr>
                <w:b/>
                <w:lang w:eastAsia="en-US"/>
              </w:rPr>
              <w:t xml:space="preserve">$21.00 </w:t>
            </w:r>
          </w:p>
        </w:tc>
        <w:tc>
          <w:tcPr>
            <w:tcW w:w="1296" w:type="dxa"/>
            <w:tcBorders>
              <w:top w:val="single" w:sz="4" w:space="0" w:color="000000"/>
              <w:bottom w:val="single" w:sz="6" w:space="0" w:color="000000"/>
              <w:end w:val="single" w:sz="6" w:space="0" w:color="000000"/>
            </w:tcBorders>
          </w:tcPr>
          <w:p>
            <w:pPr>
              <w:pStyle w:val="TableBody"/>
              <w:tabs>
                <w:tab w:val="clear" w:pos="720"/>
                <w:tab w:val="decimal" w:pos="740" w:leader="none"/>
              </w:tabs>
              <w:spacing w:before="20" w:after="0"/>
              <w:rPr>
                <w:b/>
                <w:lang w:eastAsia="en-US"/>
              </w:rPr>
            </w:pPr>
            <w:r>
              <w:rPr>
                <w:b/>
                <w:lang w:eastAsia="en-US"/>
              </w:rPr>
              <w:t xml:space="preserve">$5.40 </w:t>
            </w:r>
          </w:p>
        </w:tc>
      </w:tr>
      <w:tr>
        <w:trPr>
          <w:trHeight w:val="247" w:hRule="atLeast"/>
        </w:trPr>
        <w:tc>
          <w:tcPr>
            <w:tcW w:w="2950" w:type="dxa"/>
            <w:tcBorders>
              <w:top w:val="single" w:sz="6" w:space="0" w:color="000000"/>
              <w:start w:val="single" w:sz="6" w:space="0" w:color="000000"/>
            </w:tcBorders>
          </w:tcPr>
          <w:p>
            <w:pPr>
              <w:pStyle w:val="TableBody"/>
              <w:spacing w:before="120" w:after="0"/>
              <w:rPr>
                <w:b/>
                <w:lang w:eastAsia="en-US"/>
              </w:rPr>
            </w:pPr>
            <w:r>
              <w:rPr>
                <w:b/>
                <w:lang w:eastAsia="en-US"/>
              </w:rPr>
              <w:t>Fixed Costs</w:t>
            </w:r>
          </w:p>
        </w:tc>
        <w:tc>
          <w:tcPr>
            <w:tcW w:w="1296" w:type="dxa"/>
            <w:tcBorders>
              <w:top w:val="single" w:sz="6" w:space="0" w:color="000000"/>
            </w:tcBorders>
          </w:tcPr>
          <w:p>
            <w:pPr>
              <w:pStyle w:val="TableBody"/>
              <w:tabs>
                <w:tab w:val="clear" w:pos="720"/>
                <w:tab w:val="decimal" w:pos="740" w:leader="none"/>
              </w:tabs>
              <w:snapToGrid w:val="false"/>
              <w:spacing w:before="20" w:after="0"/>
              <w:rPr>
                <w:b/>
                <w:lang w:eastAsia="en-US"/>
              </w:rPr>
            </w:pPr>
            <w:r>
              <w:rPr>
                <w:b/>
                <w:lang w:eastAsia="en-US"/>
              </w:rPr>
            </w:r>
          </w:p>
        </w:tc>
        <w:tc>
          <w:tcPr>
            <w:tcW w:w="1296" w:type="dxa"/>
            <w:tcBorders>
              <w:top w:val="single" w:sz="6" w:space="0" w:color="000000"/>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top w:val="single" w:sz="6" w:space="0" w:color="000000"/>
              <w:end w:val="single" w:sz="6" w:space="0" w:color="000000"/>
            </w:tcBorders>
          </w:tcPr>
          <w:p>
            <w:pPr>
              <w:pStyle w:val="TableBody"/>
              <w:tabs>
                <w:tab w:val="clear" w:pos="720"/>
                <w:tab w:val="decimal" w:pos="740" w:leader="none"/>
              </w:tabs>
              <w:snapToGrid w:val="false"/>
              <w:spacing w:before="20" w:after="0"/>
              <w:rPr>
                <w:lang w:eastAsia="en-US"/>
              </w:rPr>
            </w:pPr>
            <w:r>
              <w:rPr>
                <w:lang w:eastAsia="en-US"/>
              </w:rPr>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Fixed O&amp;M ($/Kwyear)</w:t>
            </w:r>
          </w:p>
        </w:tc>
        <w:tc>
          <w:tcPr>
            <w:tcW w:w="1296" w:type="dxa"/>
            <w:tcBorders/>
          </w:tcPr>
          <w:p>
            <w:pPr>
              <w:pStyle w:val="TableBody"/>
              <w:tabs>
                <w:tab w:val="clear" w:pos="720"/>
                <w:tab w:val="decimal" w:pos="740" w:leader="none"/>
              </w:tabs>
              <w:spacing w:before="20" w:after="0"/>
              <w:rPr>
                <w:lang w:eastAsia="en-US"/>
              </w:rPr>
            </w:pPr>
            <w:r>
              <w:rPr>
                <w:lang w:eastAsia="en-US"/>
              </w:rPr>
              <w:t xml:space="preserve">$15.00 </w:t>
            </w:r>
          </w:p>
        </w:tc>
        <w:tc>
          <w:tcPr>
            <w:tcW w:w="1296" w:type="dxa"/>
            <w:tcBorders/>
          </w:tcPr>
          <w:p>
            <w:pPr>
              <w:pStyle w:val="TableBody"/>
              <w:tabs>
                <w:tab w:val="clear" w:pos="720"/>
                <w:tab w:val="decimal" w:pos="740" w:leader="none"/>
              </w:tabs>
              <w:spacing w:before="20" w:after="0"/>
              <w:rPr>
                <w:lang w:eastAsia="en-US"/>
              </w:rPr>
            </w:pPr>
            <w:r>
              <w:rPr>
                <w:lang w:eastAsia="en-US"/>
              </w:rPr>
              <w:t xml:space="preserve">$30.00 </w:t>
            </w:r>
          </w:p>
        </w:tc>
        <w:tc>
          <w:tcPr>
            <w:tcW w:w="1296" w:type="dxa"/>
            <w:tcBorders>
              <w:bottom w:val="single" w:sz="6" w:space="0" w:color="000000"/>
              <w:end w:val="single" w:sz="6" w:space="0" w:color="000000"/>
            </w:tcBorders>
          </w:tcPr>
          <w:p>
            <w:pPr>
              <w:pStyle w:val="TableBody"/>
              <w:tabs>
                <w:tab w:val="clear" w:pos="720"/>
                <w:tab w:val="decimal" w:pos="740" w:leader="none"/>
              </w:tabs>
              <w:spacing w:before="20" w:after="0"/>
              <w:rPr>
                <w:lang w:eastAsia="en-US"/>
              </w:rPr>
            </w:pPr>
            <w:r>
              <w:rPr>
                <w:lang w:eastAsia="en-US"/>
              </w:rPr>
              <w:t xml:space="preserve">$57.75 </w:t>
            </w:r>
          </w:p>
        </w:tc>
      </w:tr>
      <w:tr>
        <w:trPr>
          <w:trHeight w:val="247" w:hRule="atLeast"/>
        </w:trPr>
        <w:tc>
          <w:tcPr>
            <w:tcW w:w="2950" w:type="dxa"/>
            <w:tcBorders>
              <w:top w:val="single" w:sz="6" w:space="0" w:color="000000"/>
              <w:start w:val="single" w:sz="6" w:space="0" w:color="000000"/>
              <w:bottom w:val="single" w:sz="6" w:space="0" w:color="000000"/>
            </w:tcBorders>
          </w:tcPr>
          <w:p>
            <w:pPr>
              <w:pStyle w:val="TableBody"/>
              <w:spacing w:before="20" w:after="0"/>
              <w:rPr>
                <w:b/>
                <w:lang w:eastAsia="en-US"/>
              </w:rPr>
            </w:pPr>
            <w:r>
              <w:rPr>
                <w:b/>
                <w:lang w:eastAsia="en-US"/>
              </w:rPr>
              <w:t>Fixed O&amp;M ($/Mwh)</w:t>
            </w:r>
          </w:p>
        </w:tc>
        <w:tc>
          <w:tcPr>
            <w:tcW w:w="1296" w:type="dxa"/>
            <w:tcBorders>
              <w:top w:val="single" w:sz="6" w:space="0" w:color="000000"/>
              <w:bottom w:val="single" w:sz="6" w:space="0" w:color="000000"/>
            </w:tcBorders>
          </w:tcPr>
          <w:p>
            <w:pPr>
              <w:pStyle w:val="TableBody"/>
              <w:tabs>
                <w:tab w:val="clear" w:pos="720"/>
                <w:tab w:val="decimal" w:pos="740" w:leader="none"/>
              </w:tabs>
              <w:spacing w:before="20" w:after="0"/>
              <w:rPr>
                <w:b/>
                <w:lang w:eastAsia="en-US"/>
              </w:rPr>
            </w:pPr>
            <w:r>
              <w:rPr>
                <w:b/>
                <w:lang w:eastAsia="en-US"/>
              </w:rPr>
              <w:t>$1.90</w:t>
            </w:r>
          </w:p>
        </w:tc>
        <w:tc>
          <w:tcPr>
            <w:tcW w:w="1296" w:type="dxa"/>
            <w:tcBorders>
              <w:top w:val="single" w:sz="6" w:space="0" w:color="000000"/>
              <w:bottom w:val="single" w:sz="6" w:space="0" w:color="000000"/>
            </w:tcBorders>
          </w:tcPr>
          <w:p>
            <w:pPr>
              <w:pStyle w:val="TableBody"/>
              <w:tabs>
                <w:tab w:val="clear" w:pos="720"/>
                <w:tab w:val="decimal" w:pos="740" w:leader="none"/>
              </w:tabs>
              <w:spacing w:before="20" w:after="0"/>
              <w:rPr>
                <w:b/>
                <w:lang w:eastAsia="en-US"/>
              </w:rPr>
            </w:pPr>
            <w:r>
              <w:rPr>
                <w:b/>
                <w:lang w:eastAsia="en-US"/>
              </w:rPr>
              <w:t>$3.81</w:t>
            </w:r>
          </w:p>
        </w:tc>
        <w:tc>
          <w:tcPr>
            <w:tcW w:w="1296" w:type="dxa"/>
            <w:tcBorders>
              <w:top w:val="single" w:sz="6" w:space="0" w:color="000000"/>
              <w:bottom w:val="single" w:sz="6" w:space="0" w:color="000000"/>
            </w:tcBorders>
          </w:tcPr>
          <w:p>
            <w:pPr>
              <w:pStyle w:val="TableBody"/>
              <w:tabs>
                <w:tab w:val="clear" w:pos="720"/>
                <w:tab w:val="decimal" w:pos="740" w:leader="none"/>
              </w:tabs>
              <w:spacing w:before="20" w:after="0"/>
              <w:rPr>
                <w:b/>
                <w:lang w:eastAsia="en-US"/>
              </w:rPr>
            </w:pPr>
            <w:r>
              <w:rPr>
                <w:b/>
                <w:lang w:eastAsia="en-US"/>
              </w:rPr>
              <w:t>$7.32</w:t>
            </w:r>
          </w:p>
        </w:tc>
      </w:tr>
      <w:tr>
        <w:trPr>
          <w:trHeight w:val="247" w:hRule="atLeast"/>
        </w:trPr>
        <w:tc>
          <w:tcPr>
            <w:tcW w:w="2950" w:type="dxa"/>
            <w:tcBorders>
              <w:top w:val="single" w:sz="6" w:space="0" w:color="000000"/>
              <w:start w:val="single" w:sz="6" w:space="0" w:color="000000"/>
            </w:tcBorders>
          </w:tcPr>
          <w:p>
            <w:pPr>
              <w:pStyle w:val="TableBody"/>
              <w:spacing w:before="120" w:after="0"/>
              <w:rPr>
                <w:b/>
                <w:lang w:eastAsia="en-US"/>
              </w:rPr>
            </w:pPr>
            <w:r>
              <w:rPr>
                <w:b/>
                <w:lang w:eastAsia="en-US"/>
              </w:rPr>
              <w:t>Capital</w:t>
            </w:r>
          </w:p>
        </w:tc>
        <w:tc>
          <w:tcPr>
            <w:tcW w:w="1296" w:type="dxa"/>
            <w:tcBorders>
              <w:top w:val="single" w:sz="6" w:space="0" w:color="000000"/>
            </w:tcBorders>
          </w:tcPr>
          <w:p>
            <w:pPr>
              <w:pStyle w:val="TableBody"/>
              <w:tabs>
                <w:tab w:val="clear" w:pos="720"/>
                <w:tab w:val="decimal" w:pos="740" w:leader="none"/>
              </w:tabs>
              <w:snapToGrid w:val="false"/>
              <w:spacing w:before="20" w:after="0"/>
              <w:rPr>
                <w:b/>
                <w:lang w:eastAsia="en-US"/>
              </w:rPr>
            </w:pPr>
            <w:r>
              <w:rPr>
                <w:b/>
                <w:lang w:eastAsia="en-US"/>
              </w:rPr>
            </w:r>
          </w:p>
        </w:tc>
        <w:tc>
          <w:tcPr>
            <w:tcW w:w="1296" w:type="dxa"/>
            <w:tcBorders>
              <w:top w:val="single" w:sz="6" w:space="0" w:color="000000"/>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top w:val="single" w:sz="6" w:space="0" w:color="000000"/>
              <w:end w:val="single" w:sz="6" w:space="0" w:color="000000"/>
            </w:tcBorders>
          </w:tcPr>
          <w:p>
            <w:pPr>
              <w:pStyle w:val="TableBody"/>
              <w:tabs>
                <w:tab w:val="clear" w:pos="720"/>
                <w:tab w:val="decimal" w:pos="740" w:leader="none"/>
              </w:tabs>
              <w:snapToGrid w:val="false"/>
              <w:spacing w:before="20" w:after="0"/>
              <w:rPr>
                <w:lang w:eastAsia="en-US"/>
              </w:rPr>
            </w:pPr>
            <w:r>
              <w:rPr>
                <w:lang w:eastAsia="en-US"/>
              </w:rPr>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Capital Cost ($/KW)</w:t>
            </w:r>
          </w:p>
        </w:tc>
        <w:tc>
          <w:tcPr>
            <w:tcW w:w="1296" w:type="dxa"/>
            <w:tcBorders/>
          </w:tcPr>
          <w:p>
            <w:pPr>
              <w:pStyle w:val="TableBody"/>
              <w:tabs>
                <w:tab w:val="clear" w:pos="720"/>
                <w:tab w:val="decimal" w:pos="740" w:leader="none"/>
              </w:tabs>
              <w:spacing w:before="20" w:after="0"/>
              <w:rPr>
                <w:lang w:eastAsia="en-US"/>
              </w:rPr>
            </w:pPr>
            <w:r>
              <w:rPr>
                <w:lang w:eastAsia="en-US"/>
              </w:rPr>
              <w:t>550</w:t>
            </w:r>
          </w:p>
        </w:tc>
        <w:tc>
          <w:tcPr>
            <w:tcW w:w="1296" w:type="dxa"/>
            <w:tcBorders/>
          </w:tcPr>
          <w:p>
            <w:pPr>
              <w:pStyle w:val="TableBody"/>
              <w:tabs>
                <w:tab w:val="clear" w:pos="720"/>
                <w:tab w:val="decimal" w:pos="740" w:leader="none"/>
              </w:tabs>
              <w:spacing w:before="20" w:after="0"/>
              <w:rPr>
                <w:lang w:eastAsia="en-US"/>
              </w:rPr>
            </w:pPr>
            <w:r>
              <w:rPr>
                <w:lang w:eastAsia="en-US"/>
              </w:rPr>
              <w:t>1,100</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1,550</w:t>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Depreciable Life (in Years)</w:t>
            </w:r>
          </w:p>
        </w:tc>
        <w:tc>
          <w:tcPr>
            <w:tcW w:w="1296" w:type="dxa"/>
            <w:tcBorders/>
          </w:tcPr>
          <w:p>
            <w:pPr>
              <w:pStyle w:val="TableBody"/>
              <w:tabs>
                <w:tab w:val="clear" w:pos="720"/>
                <w:tab w:val="decimal" w:pos="740" w:leader="none"/>
              </w:tabs>
              <w:spacing w:before="20" w:after="0"/>
              <w:rPr>
                <w:lang w:eastAsia="en-US"/>
              </w:rPr>
            </w:pPr>
            <w:r>
              <w:rPr>
                <w:lang w:eastAsia="en-US"/>
              </w:rPr>
              <w:t>30</w:t>
            </w:r>
          </w:p>
        </w:tc>
        <w:tc>
          <w:tcPr>
            <w:tcW w:w="1296" w:type="dxa"/>
            <w:tcBorders/>
          </w:tcPr>
          <w:p>
            <w:pPr>
              <w:pStyle w:val="TableBody"/>
              <w:tabs>
                <w:tab w:val="clear" w:pos="720"/>
                <w:tab w:val="decimal" w:pos="740" w:leader="none"/>
              </w:tabs>
              <w:spacing w:before="20" w:after="0"/>
              <w:rPr>
                <w:lang w:eastAsia="en-US"/>
              </w:rPr>
            </w:pPr>
            <w:r>
              <w:rPr>
                <w:lang w:eastAsia="en-US"/>
              </w:rPr>
              <w:t>30</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30</w:t>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Annual Depreciation ($ in thds)</w:t>
            </w:r>
          </w:p>
        </w:tc>
        <w:tc>
          <w:tcPr>
            <w:tcW w:w="1296" w:type="dxa"/>
            <w:tcBorders/>
          </w:tcPr>
          <w:p>
            <w:pPr>
              <w:pStyle w:val="TableBody"/>
              <w:tabs>
                <w:tab w:val="clear" w:pos="720"/>
                <w:tab w:val="decimal" w:pos="740" w:leader="none"/>
              </w:tabs>
              <w:spacing w:before="20" w:after="0"/>
              <w:rPr>
                <w:lang w:eastAsia="en-US"/>
              </w:rPr>
            </w:pPr>
            <w:r>
              <w:rPr>
                <w:lang w:eastAsia="en-US"/>
              </w:rPr>
              <w:t xml:space="preserve">18,333 </w:t>
            </w:r>
          </w:p>
        </w:tc>
        <w:tc>
          <w:tcPr>
            <w:tcW w:w="1296" w:type="dxa"/>
            <w:tcBorders/>
          </w:tcPr>
          <w:p>
            <w:pPr>
              <w:pStyle w:val="TableBody"/>
              <w:tabs>
                <w:tab w:val="clear" w:pos="720"/>
                <w:tab w:val="decimal" w:pos="740" w:leader="none"/>
              </w:tabs>
              <w:spacing w:before="20" w:after="0"/>
              <w:rPr>
                <w:lang w:eastAsia="en-US"/>
              </w:rPr>
            </w:pPr>
            <w:r>
              <w:rPr>
                <w:lang w:eastAsia="en-US"/>
              </w:rPr>
              <w:t xml:space="preserve">36,667 </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 xml:space="preserve">51,667 </w:t>
            </w:r>
          </w:p>
        </w:tc>
      </w:tr>
      <w:tr>
        <w:trPr>
          <w:trHeight w:val="247" w:hRule="atLeast"/>
        </w:trPr>
        <w:tc>
          <w:tcPr>
            <w:tcW w:w="2950" w:type="dxa"/>
            <w:tcBorders>
              <w:start w:val="single" w:sz="6" w:space="0" w:color="000000"/>
            </w:tcBorders>
          </w:tcPr>
          <w:p>
            <w:pPr>
              <w:pStyle w:val="TableBody"/>
              <w:spacing w:before="20" w:after="0"/>
              <w:rPr>
                <w:b/>
                <w:lang w:eastAsia="en-US"/>
              </w:rPr>
            </w:pPr>
            <w:r>
              <w:rPr>
                <w:b/>
                <w:lang w:eastAsia="en-US"/>
              </w:rPr>
              <w:t>Annual Depreciation ($/ Mwh)</w:t>
            </w:r>
          </w:p>
        </w:tc>
        <w:tc>
          <w:tcPr>
            <w:tcW w:w="1296" w:type="dxa"/>
            <w:tcBorders/>
          </w:tcPr>
          <w:p>
            <w:pPr>
              <w:pStyle w:val="TableBody"/>
              <w:tabs>
                <w:tab w:val="clear" w:pos="720"/>
                <w:tab w:val="decimal" w:pos="740" w:leader="none"/>
              </w:tabs>
              <w:spacing w:before="20" w:after="0"/>
              <w:rPr>
                <w:b/>
                <w:lang w:eastAsia="en-US"/>
              </w:rPr>
            </w:pPr>
            <w:r>
              <w:rPr>
                <w:b/>
                <w:lang w:eastAsia="en-US"/>
              </w:rPr>
              <w:t xml:space="preserve">$2.33 </w:t>
            </w:r>
          </w:p>
        </w:tc>
        <w:tc>
          <w:tcPr>
            <w:tcW w:w="1296" w:type="dxa"/>
            <w:tcBorders/>
          </w:tcPr>
          <w:p>
            <w:pPr>
              <w:pStyle w:val="TableBody"/>
              <w:tabs>
                <w:tab w:val="clear" w:pos="720"/>
                <w:tab w:val="decimal" w:pos="740" w:leader="none"/>
              </w:tabs>
              <w:spacing w:before="20" w:after="0"/>
              <w:rPr>
                <w:b/>
                <w:lang w:eastAsia="en-US"/>
              </w:rPr>
            </w:pPr>
            <w:r>
              <w:rPr>
                <w:b/>
                <w:lang w:eastAsia="en-US"/>
              </w:rPr>
              <w:t xml:space="preserve">$4.65 </w:t>
            </w:r>
          </w:p>
        </w:tc>
        <w:tc>
          <w:tcPr>
            <w:tcW w:w="1296" w:type="dxa"/>
            <w:tcBorders>
              <w:end w:val="single" w:sz="6" w:space="0" w:color="000000"/>
            </w:tcBorders>
          </w:tcPr>
          <w:p>
            <w:pPr>
              <w:pStyle w:val="TableBody"/>
              <w:tabs>
                <w:tab w:val="clear" w:pos="720"/>
                <w:tab w:val="decimal" w:pos="740" w:leader="none"/>
              </w:tabs>
              <w:spacing w:before="20" w:after="0"/>
              <w:rPr>
                <w:b/>
                <w:lang w:eastAsia="en-US"/>
              </w:rPr>
            </w:pPr>
            <w:r>
              <w:rPr>
                <w:b/>
                <w:lang w:eastAsia="en-US"/>
              </w:rPr>
              <w:t xml:space="preserve">$6.55 </w:t>
            </w:r>
          </w:p>
        </w:tc>
      </w:tr>
      <w:tr>
        <w:trPr>
          <w:trHeight w:val="247" w:hRule="atLeast"/>
        </w:trPr>
        <w:tc>
          <w:tcPr>
            <w:tcW w:w="2950" w:type="dxa"/>
            <w:tcBorders>
              <w:start w:val="single" w:sz="6" w:space="0" w:color="000000"/>
            </w:tcBorders>
          </w:tcPr>
          <w:p>
            <w:pPr>
              <w:pStyle w:val="TableBody"/>
              <w:snapToGrid w:val="false"/>
              <w:spacing w:before="20" w:after="0"/>
              <w:rPr>
                <w:b/>
                <w:color w:val="000000"/>
                <w:sz w:val="16"/>
                <w:lang w:eastAsia="en-US"/>
              </w:rPr>
            </w:pPr>
            <w:r>
              <w:rPr>
                <w:b/>
                <w:color w:val="000000"/>
                <w:sz w:val="16"/>
                <w:lang w:eastAsia="en-US"/>
              </w:rPr>
            </w:r>
          </w:p>
        </w:tc>
        <w:tc>
          <w:tcPr>
            <w:tcW w:w="1296" w:type="dxa"/>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end w:val="single" w:sz="6" w:space="0" w:color="000000"/>
            </w:tcBorders>
          </w:tcPr>
          <w:p>
            <w:pPr>
              <w:pStyle w:val="TableBody"/>
              <w:tabs>
                <w:tab w:val="clear" w:pos="720"/>
                <w:tab w:val="decimal" w:pos="740" w:leader="none"/>
              </w:tabs>
              <w:snapToGrid w:val="false"/>
              <w:spacing w:before="20" w:after="0"/>
              <w:rPr>
                <w:lang w:eastAsia="en-US"/>
              </w:rPr>
            </w:pPr>
            <w:r>
              <w:rPr>
                <w:lang w:eastAsia="en-US"/>
              </w:rPr>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Required Return (%)</w:t>
            </w:r>
          </w:p>
        </w:tc>
        <w:tc>
          <w:tcPr>
            <w:tcW w:w="1296" w:type="dxa"/>
            <w:tcBorders/>
          </w:tcPr>
          <w:p>
            <w:pPr>
              <w:pStyle w:val="TableBody"/>
              <w:tabs>
                <w:tab w:val="clear" w:pos="720"/>
                <w:tab w:val="decimal" w:pos="740" w:leader="none"/>
              </w:tabs>
              <w:spacing w:before="20" w:after="0"/>
              <w:rPr>
                <w:lang w:eastAsia="en-US"/>
              </w:rPr>
            </w:pPr>
            <w:r>
              <w:rPr>
                <w:lang w:eastAsia="en-US"/>
              </w:rPr>
              <w:t>12%</w:t>
            </w:r>
          </w:p>
        </w:tc>
        <w:tc>
          <w:tcPr>
            <w:tcW w:w="1296" w:type="dxa"/>
            <w:tcBorders/>
          </w:tcPr>
          <w:p>
            <w:pPr>
              <w:pStyle w:val="TableBody"/>
              <w:tabs>
                <w:tab w:val="clear" w:pos="720"/>
                <w:tab w:val="decimal" w:pos="740" w:leader="none"/>
              </w:tabs>
              <w:spacing w:before="20" w:after="0"/>
              <w:rPr>
                <w:lang w:eastAsia="en-US"/>
              </w:rPr>
            </w:pPr>
            <w:r>
              <w:rPr>
                <w:lang w:eastAsia="en-US"/>
              </w:rPr>
              <w:t>12%</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12%</w:t>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Required Return ($ Per MW)</w:t>
            </w:r>
          </w:p>
        </w:tc>
        <w:tc>
          <w:tcPr>
            <w:tcW w:w="1296" w:type="dxa"/>
            <w:tcBorders/>
          </w:tcPr>
          <w:p>
            <w:pPr>
              <w:pStyle w:val="TableBody"/>
              <w:tabs>
                <w:tab w:val="clear" w:pos="720"/>
                <w:tab w:val="decimal" w:pos="740" w:leader="none"/>
              </w:tabs>
              <w:spacing w:before="20" w:after="0"/>
              <w:rPr>
                <w:lang w:eastAsia="en-US"/>
              </w:rPr>
            </w:pPr>
            <w:r>
              <w:rPr>
                <w:rFonts w:eastAsia="Arial Narrow"/>
                <w:lang w:eastAsia="en-US"/>
              </w:rPr>
              <w:t xml:space="preserve">       </w:t>
            </w:r>
            <w:r>
              <w:rPr>
                <w:lang w:eastAsia="en-US"/>
              </w:rPr>
              <w:t xml:space="preserve">66,000 </w:t>
            </w:r>
          </w:p>
        </w:tc>
        <w:tc>
          <w:tcPr>
            <w:tcW w:w="1296" w:type="dxa"/>
            <w:tcBorders/>
          </w:tcPr>
          <w:p>
            <w:pPr>
              <w:pStyle w:val="TableBody"/>
              <w:tabs>
                <w:tab w:val="clear" w:pos="720"/>
                <w:tab w:val="decimal" w:pos="740" w:leader="none"/>
              </w:tabs>
              <w:spacing w:before="20" w:after="0"/>
              <w:rPr>
                <w:lang w:eastAsia="en-US"/>
              </w:rPr>
            </w:pPr>
            <w:r>
              <w:rPr>
                <w:rFonts w:eastAsia="Arial Narrow"/>
                <w:lang w:eastAsia="en-US"/>
              </w:rPr>
              <w:t xml:space="preserve">     </w:t>
            </w:r>
            <w:r>
              <w:rPr>
                <w:lang w:eastAsia="en-US"/>
              </w:rPr>
              <w:t xml:space="preserve">132,000 </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rFonts w:eastAsia="Arial Narrow"/>
                <w:lang w:eastAsia="en-US"/>
              </w:rPr>
              <w:t xml:space="preserve">     </w:t>
            </w:r>
            <w:r>
              <w:rPr>
                <w:lang w:eastAsia="en-US"/>
              </w:rPr>
              <w:t xml:space="preserve">186,000 </w:t>
            </w:r>
          </w:p>
        </w:tc>
      </w:tr>
      <w:tr>
        <w:trPr>
          <w:trHeight w:val="247" w:hRule="atLeast"/>
        </w:trPr>
        <w:tc>
          <w:tcPr>
            <w:tcW w:w="2950" w:type="dxa"/>
            <w:tcBorders>
              <w:start w:val="single" w:sz="6" w:space="0" w:color="000000"/>
            </w:tcBorders>
          </w:tcPr>
          <w:p>
            <w:pPr>
              <w:pStyle w:val="TableBody"/>
              <w:spacing w:before="20" w:after="0"/>
              <w:rPr>
                <w:lang w:eastAsia="en-US"/>
              </w:rPr>
            </w:pPr>
            <w:r>
              <w:rPr>
                <w:lang w:eastAsia="en-US"/>
              </w:rPr>
              <w:t>Required Return ($/Mwh)</w:t>
            </w:r>
          </w:p>
        </w:tc>
        <w:tc>
          <w:tcPr>
            <w:tcW w:w="1296" w:type="dxa"/>
            <w:tcBorders/>
          </w:tcPr>
          <w:p>
            <w:pPr>
              <w:pStyle w:val="TableBody"/>
              <w:tabs>
                <w:tab w:val="clear" w:pos="720"/>
                <w:tab w:val="decimal" w:pos="740" w:leader="none"/>
              </w:tabs>
              <w:spacing w:before="20" w:after="0"/>
              <w:rPr>
                <w:lang w:eastAsia="en-US"/>
              </w:rPr>
            </w:pPr>
            <w:r>
              <w:rPr>
                <w:lang w:eastAsia="en-US"/>
              </w:rPr>
              <w:t>8.37</w:t>
            </w:r>
          </w:p>
        </w:tc>
        <w:tc>
          <w:tcPr>
            <w:tcW w:w="1296" w:type="dxa"/>
            <w:tcBorders/>
          </w:tcPr>
          <w:p>
            <w:pPr>
              <w:pStyle w:val="TableBody"/>
              <w:tabs>
                <w:tab w:val="clear" w:pos="720"/>
                <w:tab w:val="decimal" w:pos="740" w:leader="none"/>
              </w:tabs>
              <w:spacing w:before="20" w:after="0"/>
              <w:rPr>
                <w:lang w:eastAsia="en-US"/>
              </w:rPr>
            </w:pPr>
            <w:r>
              <w:rPr>
                <w:lang w:eastAsia="en-US"/>
              </w:rPr>
              <w:t>16.74</w:t>
            </w:r>
          </w:p>
        </w:tc>
        <w:tc>
          <w:tcPr>
            <w:tcW w:w="1296" w:type="dxa"/>
            <w:tcBorders>
              <w:end w:val="single" w:sz="6" w:space="0" w:color="000000"/>
            </w:tcBorders>
          </w:tcPr>
          <w:p>
            <w:pPr>
              <w:pStyle w:val="TableBody"/>
              <w:tabs>
                <w:tab w:val="clear" w:pos="720"/>
                <w:tab w:val="decimal" w:pos="740" w:leader="none"/>
              </w:tabs>
              <w:spacing w:before="20" w:after="0"/>
              <w:rPr>
                <w:lang w:eastAsia="en-US"/>
              </w:rPr>
            </w:pPr>
            <w:r>
              <w:rPr>
                <w:lang w:eastAsia="en-US"/>
              </w:rPr>
              <w:t>23.59</w:t>
            </w:r>
          </w:p>
        </w:tc>
      </w:tr>
      <w:tr>
        <w:trPr>
          <w:trHeight w:val="247" w:hRule="atLeast"/>
        </w:trPr>
        <w:tc>
          <w:tcPr>
            <w:tcW w:w="2950" w:type="dxa"/>
            <w:tcBorders>
              <w:start w:val="single" w:sz="6" w:space="0" w:color="000000"/>
            </w:tcBorders>
          </w:tcPr>
          <w:p>
            <w:pPr>
              <w:pStyle w:val="TableBody"/>
              <w:snapToGrid w:val="false"/>
              <w:spacing w:before="20" w:after="0"/>
              <w:rPr>
                <w:b/>
                <w:color w:val="000000"/>
                <w:sz w:val="16"/>
                <w:lang w:eastAsia="en-US"/>
              </w:rPr>
            </w:pPr>
            <w:r>
              <w:rPr>
                <w:b/>
                <w:color w:val="000000"/>
                <w:sz w:val="16"/>
                <w:lang w:eastAsia="en-US"/>
              </w:rPr>
            </w:r>
          </w:p>
        </w:tc>
        <w:tc>
          <w:tcPr>
            <w:tcW w:w="1296" w:type="dxa"/>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end w:val="single" w:sz="6" w:space="0" w:color="000000"/>
            </w:tcBorders>
          </w:tcPr>
          <w:p>
            <w:pPr>
              <w:pStyle w:val="TableBody"/>
              <w:tabs>
                <w:tab w:val="clear" w:pos="720"/>
                <w:tab w:val="decimal" w:pos="740" w:leader="none"/>
              </w:tabs>
              <w:snapToGrid w:val="false"/>
              <w:spacing w:before="20" w:after="0"/>
              <w:rPr>
                <w:lang w:eastAsia="en-US"/>
              </w:rPr>
            </w:pPr>
            <w:r>
              <w:rPr>
                <w:lang w:eastAsia="en-US"/>
              </w:rPr>
            </w:r>
          </w:p>
        </w:tc>
      </w:tr>
      <w:tr>
        <w:trPr>
          <w:trHeight w:val="247" w:hRule="atLeast"/>
        </w:trPr>
        <w:tc>
          <w:tcPr>
            <w:tcW w:w="2950" w:type="dxa"/>
            <w:tcBorders>
              <w:top w:val="single" w:sz="6" w:space="0" w:color="000000"/>
              <w:start w:val="single" w:sz="6" w:space="0" w:color="000000"/>
              <w:bottom w:val="single" w:sz="6" w:space="0" w:color="000000"/>
            </w:tcBorders>
          </w:tcPr>
          <w:p>
            <w:pPr>
              <w:pStyle w:val="TableBody"/>
              <w:spacing w:before="20" w:after="0"/>
              <w:rPr>
                <w:b/>
                <w:lang w:eastAsia="en-US"/>
              </w:rPr>
            </w:pPr>
            <w:r>
              <w:rPr>
                <w:b/>
                <w:lang w:eastAsia="en-US"/>
              </w:rPr>
              <w:t>Total Capital Costs ($/per Mwh)</w:t>
            </w:r>
          </w:p>
        </w:tc>
        <w:tc>
          <w:tcPr>
            <w:tcW w:w="1296" w:type="dxa"/>
            <w:tcBorders>
              <w:top w:val="single" w:sz="6" w:space="0" w:color="000000"/>
              <w:bottom w:val="single" w:sz="6" w:space="0" w:color="000000"/>
            </w:tcBorders>
          </w:tcPr>
          <w:p>
            <w:pPr>
              <w:pStyle w:val="TableBody"/>
              <w:tabs>
                <w:tab w:val="clear" w:pos="720"/>
                <w:tab w:val="decimal" w:pos="740" w:leader="none"/>
              </w:tabs>
              <w:spacing w:before="20" w:after="0"/>
              <w:rPr>
                <w:b/>
                <w:lang w:eastAsia="en-US"/>
              </w:rPr>
            </w:pPr>
            <w:r>
              <w:rPr>
                <w:b/>
                <w:lang w:eastAsia="en-US"/>
              </w:rPr>
              <w:t>$10.70</w:t>
            </w:r>
          </w:p>
        </w:tc>
        <w:tc>
          <w:tcPr>
            <w:tcW w:w="1296" w:type="dxa"/>
            <w:tcBorders>
              <w:top w:val="single" w:sz="6" w:space="0" w:color="000000"/>
              <w:bottom w:val="single" w:sz="6" w:space="0" w:color="000000"/>
            </w:tcBorders>
          </w:tcPr>
          <w:p>
            <w:pPr>
              <w:pStyle w:val="TableBody"/>
              <w:tabs>
                <w:tab w:val="clear" w:pos="720"/>
                <w:tab w:val="decimal" w:pos="740" w:leader="none"/>
              </w:tabs>
              <w:spacing w:before="20" w:after="0"/>
              <w:rPr>
                <w:b/>
                <w:lang w:eastAsia="en-US"/>
              </w:rPr>
            </w:pPr>
            <w:r>
              <w:rPr>
                <w:b/>
                <w:lang w:eastAsia="en-US"/>
              </w:rPr>
              <w:t>$21.39</w:t>
            </w:r>
          </w:p>
        </w:tc>
        <w:tc>
          <w:tcPr>
            <w:tcW w:w="1296" w:type="dxa"/>
            <w:tcBorders>
              <w:top w:val="single" w:sz="6" w:space="0" w:color="000000"/>
              <w:bottom w:val="single" w:sz="6" w:space="0" w:color="000000"/>
              <w:end w:val="single" w:sz="6" w:space="0" w:color="000000"/>
            </w:tcBorders>
          </w:tcPr>
          <w:p>
            <w:pPr>
              <w:pStyle w:val="TableBody"/>
              <w:tabs>
                <w:tab w:val="clear" w:pos="720"/>
                <w:tab w:val="decimal" w:pos="740" w:leader="none"/>
              </w:tabs>
              <w:spacing w:before="20" w:after="0"/>
              <w:rPr>
                <w:b/>
                <w:lang w:eastAsia="en-US"/>
              </w:rPr>
            </w:pPr>
            <w:r>
              <w:rPr>
                <w:b/>
                <w:lang w:eastAsia="en-US"/>
              </w:rPr>
              <w:t>$30.15</w:t>
            </w:r>
          </w:p>
        </w:tc>
      </w:tr>
      <w:tr>
        <w:trPr>
          <w:trHeight w:val="247" w:hRule="atLeast"/>
        </w:trPr>
        <w:tc>
          <w:tcPr>
            <w:tcW w:w="2950" w:type="dxa"/>
            <w:tcBorders/>
          </w:tcPr>
          <w:p>
            <w:pPr>
              <w:pStyle w:val="TableBody"/>
              <w:snapToGrid w:val="false"/>
              <w:spacing w:before="20" w:after="0"/>
              <w:rPr>
                <w:b/>
                <w:color w:val="000000"/>
                <w:sz w:val="16"/>
                <w:lang w:eastAsia="en-US"/>
              </w:rPr>
            </w:pPr>
            <w:r>
              <w:rPr>
                <w:b/>
                <w:color w:val="000000"/>
                <w:sz w:val="16"/>
                <w:lang w:eastAsia="en-US"/>
              </w:rPr>
            </w:r>
          </w:p>
        </w:tc>
        <w:tc>
          <w:tcPr>
            <w:tcW w:w="1296" w:type="dxa"/>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tcPr>
          <w:p>
            <w:pPr>
              <w:pStyle w:val="TableBody"/>
              <w:tabs>
                <w:tab w:val="clear" w:pos="720"/>
                <w:tab w:val="decimal" w:pos="740" w:leader="none"/>
              </w:tabs>
              <w:snapToGrid w:val="false"/>
              <w:spacing w:before="20" w:after="0"/>
              <w:rPr>
                <w:lang w:eastAsia="en-US"/>
              </w:rPr>
            </w:pPr>
            <w:r>
              <w:rPr>
                <w:lang w:eastAsia="en-US"/>
              </w:rPr>
            </w:r>
          </w:p>
        </w:tc>
        <w:tc>
          <w:tcPr>
            <w:tcW w:w="1296" w:type="dxa"/>
            <w:tcBorders/>
          </w:tcPr>
          <w:p>
            <w:pPr>
              <w:pStyle w:val="TableBody"/>
              <w:tabs>
                <w:tab w:val="clear" w:pos="720"/>
                <w:tab w:val="decimal" w:pos="740" w:leader="none"/>
              </w:tabs>
              <w:snapToGrid w:val="false"/>
              <w:spacing w:before="20" w:after="0"/>
              <w:rPr>
                <w:lang w:eastAsia="en-US"/>
              </w:rPr>
            </w:pPr>
            <w:r>
              <w:rPr>
                <w:lang w:eastAsia="en-US"/>
              </w:rPr>
            </w:r>
          </w:p>
        </w:tc>
      </w:tr>
      <w:tr>
        <w:trPr>
          <w:trHeight w:val="247" w:hRule="atLeast"/>
        </w:trPr>
        <w:tc>
          <w:tcPr>
            <w:tcW w:w="2950" w:type="dxa"/>
            <w:tcBorders>
              <w:top w:val="single" w:sz="6" w:space="0" w:color="000000"/>
              <w:start w:val="single" w:sz="6" w:space="0" w:color="000000"/>
              <w:bottom w:val="single" w:sz="6" w:space="0" w:color="000000"/>
            </w:tcBorders>
          </w:tcPr>
          <w:p>
            <w:pPr>
              <w:pStyle w:val="TableBody"/>
              <w:spacing w:before="20" w:after="0"/>
              <w:rPr>
                <w:b/>
                <w:sz w:val="20"/>
                <w:lang w:eastAsia="en-US"/>
              </w:rPr>
            </w:pPr>
            <w:r>
              <w:rPr>
                <w:b/>
                <w:sz w:val="20"/>
                <w:lang w:eastAsia="en-US"/>
              </w:rPr>
              <w:t>All in Cost of Production ($/Mwh)</w:t>
            </w:r>
          </w:p>
        </w:tc>
        <w:tc>
          <w:tcPr>
            <w:tcW w:w="1296" w:type="dxa"/>
            <w:tcBorders>
              <w:top w:val="single" w:sz="6" w:space="0" w:color="000000"/>
              <w:bottom w:val="single" w:sz="6" w:space="0" w:color="000000"/>
            </w:tcBorders>
          </w:tcPr>
          <w:p>
            <w:pPr>
              <w:pStyle w:val="TableBody"/>
              <w:tabs>
                <w:tab w:val="clear" w:pos="720"/>
                <w:tab w:val="decimal" w:pos="740" w:leader="none"/>
              </w:tabs>
              <w:spacing w:before="20" w:after="0"/>
              <w:rPr>
                <w:b/>
                <w:sz w:val="20"/>
                <w:lang w:eastAsia="en-US"/>
              </w:rPr>
            </w:pPr>
            <w:r>
              <w:rPr>
                <w:b/>
                <w:sz w:val="20"/>
                <w:lang w:eastAsia="en-US"/>
              </w:rPr>
              <w:t>$51</w:t>
            </w:r>
          </w:p>
        </w:tc>
        <w:tc>
          <w:tcPr>
            <w:tcW w:w="1296" w:type="dxa"/>
            <w:tcBorders>
              <w:top w:val="single" w:sz="6" w:space="0" w:color="000000"/>
              <w:bottom w:val="single" w:sz="6" w:space="0" w:color="000000"/>
            </w:tcBorders>
          </w:tcPr>
          <w:p>
            <w:pPr>
              <w:pStyle w:val="TableBody"/>
              <w:tabs>
                <w:tab w:val="clear" w:pos="720"/>
                <w:tab w:val="decimal" w:pos="740" w:leader="none"/>
              </w:tabs>
              <w:spacing w:before="20" w:after="0"/>
              <w:rPr>
                <w:b/>
                <w:sz w:val="20"/>
                <w:lang w:eastAsia="en-US"/>
              </w:rPr>
            </w:pPr>
            <w:r>
              <w:rPr>
                <w:b/>
                <w:sz w:val="20"/>
                <w:lang w:eastAsia="en-US"/>
              </w:rPr>
              <w:t xml:space="preserve">$46 </w:t>
            </w:r>
          </w:p>
        </w:tc>
        <w:tc>
          <w:tcPr>
            <w:tcW w:w="1296" w:type="dxa"/>
            <w:tcBorders>
              <w:top w:val="single" w:sz="6" w:space="0" w:color="000000"/>
              <w:bottom w:val="single" w:sz="6" w:space="0" w:color="000000"/>
              <w:end w:val="single" w:sz="6" w:space="0" w:color="000000"/>
            </w:tcBorders>
          </w:tcPr>
          <w:p>
            <w:pPr>
              <w:pStyle w:val="TableBody"/>
              <w:tabs>
                <w:tab w:val="clear" w:pos="720"/>
                <w:tab w:val="decimal" w:pos="740" w:leader="none"/>
              </w:tabs>
              <w:spacing w:before="20" w:after="0"/>
              <w:rPr>
                <w:b/>
                <w:sz w:val="20"/>
                <w:lang w:eastAsia="en-US"/>
              </w:rPr>
            </w:pPr>
            <w:r>
              <w:rPr>
                <w:b/>
                <w:sz w:val="20"/>
                <w:lang w:eastAsia="en-US"/>
              </w:rPr>
              <w:t xml:space="preserve">$43 </w:t>
            </w:r>
          </w:p>
        </w:tc>
      </w:tr>
    </w:tbl>
    <w:p>
      <w:pPr>
        <w:pStyle w:val="Text"/>
        <w:rPr/>
      </w:pPr>
      <w:r>
        <w:rPr/>
      </w:r>
    </w:p>
    <w:p>
      <w:pPr>
        <w:pStyle w:val="TableFooter"/>
        <w:rPr/>
      </w:pPr>
      <w:r>
        <w:rPr/>
        <w:t>Source:  CSFB, Financial Times</w:t>
      </w:r>
    </w:p>
    <w:p>
      <w:pPr>
        <w:sectPr>
          <w:headerReference w:type="default" r:id="rId11"/>
          <w:footerReference w:type="default" r:id="rId12"/>
          <w:type w:val="nextPage"/>
          <w:pgSz w:w="12240" w:h="15840"/>
          <w:pgMar w:left="3150" w:right="1195" w:gutter="0" w:header="547" w:top="1440" w:footer="360" w:bottom="1080"/>
          <w:pgNumType w:fmt="decimal"/>
          <w:formProt w:val="false"/>
          <w:textDirection w:val="lrTb"/>
          <w:docGrid w:type="default" w:linePitch="360" w:charSpace="0"/>
        </w:sectPr>
        <w:pStyle w:val="Text"/>
        <w:rPr/>
      </w:pPr>
      <w:r>
        <w:rPr/>
      </w:r>
    </w:p>
    <w:p>
      <w:pPr>
        <w:pStyle w:val="Head1"/>
        <w:rPr/>
      </w:pPr>
      <w:r>
        <w:rPr/>
        <w:t xml:space="preserve">Recent Headlines </w:t>
      </w:r>
    </w:p>
    <w:p>
      <w:pPr>
        <w:pStyle w:val="Text"/>
        <w:keepNext w:val="true"/>
        <w:numPr>
          <w:ilvl w:val="0"/>
          <w:numId w:val="10"/>
        </w:numPr>
        <w:tabs>
          <w:tab w:val="clear" w:pos="720"/>
          <w:tab w:val="left" w:pos="360" w:leader="none"/>
        </w:tabs>
        <w:rPr>
          <w:b/>
          <w:color w:val="000000"/>
          <w:sz w:val="22"/>
        </w:rPr>
      </w:pPr>
      <w:r>
        <w:rPr>
          <w:b/>
          <w:color w:val="000000"/>
          <w:sz w:val="22"/>
        </w:rPr>
        <w:t>NRG Acquires 77% Stake in 500 MW Facility</w:t>
      </w:r>
    </w:p>
    <w:p>
      <w:pPr>
        <w:pStyle w:val="Normal"/>
        <w:jc w:val="start"/>
        <w:rPr/>
      </w:pPr>
      <w:r>
        <w:rPr>
          <w:b/>
        </w:rPr>
        <w:t>Overview:</w:t>
      </w:r>
      <w:r>
        <w:rPr/>
        <w:t xml:space="preserve">  On May 2, NRG Energy announced that it signed an agreement with Duke Energy for a 77% interest in the McClain Energy Generating facility.  This unit, located in Oklahoma, is a 500 MW gas-fired facility.  The Oklahoma Municipal Power Authority owns the remaining 23%.  Construction of the facility began in March 2000, with commercial operations scheduled to commence this summer.</w:t>
      </w:r>
    </w:p>
    <w:p>
      <w:pPr>
        <w:pStyle w:val="Text"/>
        <w:keepNext w:val="true"/>
        <w:numPr>
          <w:ilvl w:val="0"/>
          <w:numId w:val="10"/>
        </w:numPr>
        <w:tabs>
          <w:tab w:val="clear" w:pos="720"/>
          <w:tab w:val="left" w:pos="360" w:leader="none"/>
        </w:tabs>
        <w:rPr>
          <w:b/>
          <w:color w:val="000000"/>
          <w:sz w:val="22"/>
        </w:rPr>
      </w:pPr>
      <w:r>
        <w:rPr>
          <w:b/>
          <w:color w:val="000000"/>
          <w:sz w:val="22"/>
        </w:rPr>
        <w:t xml:space="preserve">Calpine &amp; Kinder Morgan Announce $1.7 Billion Pipeline </w:t>
      </w:r>
    </w:p>
    <w:p>
      <w:pPr>
        <w:pStyle w:val="Normal"/>
        <w:jc w:val="start"/>
        <w:rPr/>
      </w:pPr>
      <w:r>
        <w:rPr>
          <w:b/>
        </w:rPr>
        <w:t>Overview:</w:t>
      </w:r>
      <w:r>
        <w:rPr/>
        <w:t xml:space="preserve">  Calpine and Kinder Morgan announced on May 2 plans to jointly develop the Sonoran Pipeline.  The proposed project will be a 1,160-mile, natural gas pipeline from the San Juan Basin in northern New Mexico to markets in California.  The project will be evaluated and developed in two phases, which will be subject to the jurisdiction of the FERC.  </w:t>
      </w:r>
    </w:p>
    <w:p>
      <w:pPr>
        <w:pStyle w:val="Normal"/>
        <w:jc w:val="start"/>
        <w:rPr/>
      </w:pPr>
      <w:r>
        <w:rPr>
          <w:b/>
        </w:rPr>
        <w:t xml:space="preserve">Phase One    </w:t>
      </w:r>
      <w:r>
        <w:rPr/>
        <w:t>The first phase will run from the San Juan Basin to the California border. The pipeline will initially transport up to 750,000 dekatherms (Dth) of natural gas per day with expansion capabilities up to 1.0 million Dth per day.  This phase expects an in-service date in the summer of 2003 with an estimated cost of approximately $624 million.  Calpine has already committed to 400,000 Dth per day.</w:t>
      </w:r>
    </w:p>
    <w:p>
      <w:pPr>
        <w:pStyle w:val="Normal"/>
        <w:jc w:val="start"/>
        <w:rPr/>
      </w:pPr>
      <w:r>
        <w:rPr>
          <w:b/>
        </w:rPr>
        <w:t xml:space="preserve">Phase Two    </w:t>
      </w:r>
      <w:r>
        <w:rPr/>
        <w:t xml:space="preserve">Phase Two will extend Phase One into the San Francisco Bay area.  Phase Two will transport from 1.0 to 1.5 million Dth of natural gas per day and cost approximately $1.1 billion.  Calpine has already committed to 500,000 Dth per day for Phase Two.  </w:t>
      </w:r>
    </w:p>
    <w:p>
      <w:pPr>
        <w:pStyle w:val="Text"/>
        <w:keepNext w:val="true"/>
        <w:numPr>
          <w:ilvl w:val="0"/>
          <w:numId w:val="10"/>
        </w:numPr>
        <w:tabs>
          <w:tab w:val="clear" w:pos="720"/>
          <w:tab w:val="left" w:pos="360" w:leader="none"/>
        </w:tabs>
        <w:rPr>
          <w:b/>
          <w:color w:val="000000"/>
          <w:sz w:val="22"/>
        </w:rPr>
      </w:pPr>
      <w:r>
        <w:rPr>
          <w:b/>
          <w:color w:val="000000"/>
          <w:sz w:val="22"/>
        </w:rPr>
        <w:t>AES to Acquire Second Generation Company in Ukraine</w:t>
      </w:r>
    </w:p>
    <w:p>
      <w:pPr>
        <w:pStyle w:val="Normal"/>
        <w:jc w:val="start"/>
        <w:rPr/>
      </w:pPr>
      <w:r>
        <w:rPr>
          <w:b/>
        </w:rPr>
        <w:t>Overview:</w:t>
      </w:r>
      <w:r>
        <w:rPr/>
        <w:t xml:space="preserve">  In its second acquisition in the Ukraine in a month, AES announced on May 3 that it won a bid for approximately $23.2 million to purchase a 75% controlling interest in Rivenoblenergo, a distribution company.  The remaining 25% interest is either publicly traded or owned by the employees of the distribution company.  Management stated that this acquisition will complement its purchase of Kievoblenergo that was announced in mid-April.  </w:t>
      </w:r>
    </w:p>
    <w:p>
      <w:pPr>
        <w:pStyle w:val="Text"/>
        <w:keepNext w:val="true"/>
        <w:numPr>
          <w:ilvl w:val="0"/>
          <w:numId w:val="10"/>
        </w:numPr>
        <w:tabs>
          <w:tab w:val="clear" w:pos="720"/>
          <w:tab w:val="left" w:pos="360" w:leader="none"/>
        </w:tabs>
        <w:rPr>
          <w:b/>
          <w:color w:val="000000"/>
          <w:sz w:val="22"/>
        </w:rPr>
      </w:pPr>
      <w:r>
        <w:rPr>
          <w:b/>
          <w:color w:val="000000"/>
          <w:sz w:val="22"/>
        </w:rPr>
        <w:t>530 MW Mirant Plant Addition Approved</w:t>
      </w:r>
    </w:p>
    <w:p>
      <w:pPr>
        <w:pStyle w:val="Normal"/>
        <w:jc w:val="start"/>
        <w:rPr/>
      </w:pPr>
      <w:r>
        <w:rPr>
          <w:b/>
        </w:rPr>
        <w:t>Overview:</w:t>
      </w:r>
      <w:r>
        <w:rPr/>
        <w:t xml:space="preserve">  The California Energy Commission Siting Committee recommended Mirant 's 530 MW Contra Cost Expansion project for licensing.  The unit is expected to be on-line by mid-2003 at a cost of $240-$290 million.  </w:t>
      </w:r>
    </w:p>
    <w:p>
      <w:pPr>
        <w:pStyle w:val="Text"/>
        <w:keepNext w:val="true"/>
        <w:numPr>
          <w:ilvl w:val="0"/>
          <w:numId w:val="10"/>
        </w:numPr>
        <w:tabs>
          <w:tab w:val="clear" w:pos="720"/>
          <w:tab w:val="left" w:pos="360" w:leader="none"/>
        </w:tabs>
        <w:rPr>
          <w:b/>
          <w:color w:val="000000"/>
          <w:sz w:val="22"/>
        </w:rPr>
      </w:pPr>
      <w:r>
        <w:rPr>
          <w:b/>
          <w:color w:val="000000"/>
          <w:sz w:val="22"/>
        </w:rPr>
        <w:t>AES Gets $349 Million for Barka Plant</w:t>
      </w:r>
    </w:p>
    <w:p>
      <w:pPr>
        <w:pStyle w:val="Normal"/>
        <w:jc w:val="start"/>
        <w:rPr/>
      </w:pPr>
      <w:r>
        <w:rPr>
          <w:b/>
        </w:rPr>
        <w:t xml:space="preserve">Overview:   </w:t>
      </w:r>
      <w:r>
        <w:rPr/>
        <w:t>AES announced on April 6 that it secured $348.6 million in financing for its  427 MW Barka power plant in Oman.  The facility is expected to reach commercial operations by April 2003.</w:t>
      </w:r>
    </w:p>
    <w:p>
      <w:pPr>
        <w:pStyle w:val="Text"/>
        <w:keepNext w:val="true"/>
        <w:numPr>
          <w:ilvl w:val="0"/>
          <w:numId w:val="10"/>
        </w:numPr>
        <w:tabs>
          <w:tab w:val="clear" w:pos="720"/>
          <w:tab w:val="left" w:pos="360" w:leader="none"/>
        </w:tabs>
        <w:rPr>
          <w:b/>
          <w:color w:val="000000"/>
          <w:sz w:val="22"/>
        </w:rPr>
      </w:pPr>
      <w:r>
        <w:rPr>
          <w:b/>
          <w:color w:val="000000"/>
          <w:sz w:val="22"/>
        </w:rPr>
        <w:t>LS Power Evaluating Oklahoma Coal Fired Project</w:t>
      </w:r>
    </w:p>
    <w:p>
      <w:pPr>
        <w:pStyle w:val="Normal"/>
        <w:jc w:val="start"/>
        <w:rPr/>
      </w:pPr>
      <w:r>
        <w:rPr>
          <w:b/>
        </w:rPr>
        <w:t>Overview:</w:t>
      </w:r>
      <w:r>
        <w:rPr/>
        <w:t xml:space="preserve">  It was reported in the </w:t>
      </w:r>
      <w:r>
        <w:rPr>
          <w:i/>
        </w:rPr>
        <w:t xml:space="preserve">Electric Power Daily </w:t>
      </w:r>
      <w:r>
        <w:rPr/>
        <w:t>that LS Power is evaluating a 1,000-2,000 MW coal-fired project in Oklahoma.  At present, LS Power plans to begin construction by summer-2002 with commercial operation by 2005</w:t>
      </w:r>
    </w:p>
    <w:p>
      <w:pPr>
        <w:pStyle w:val="Text"/>
        <w:keepNext w:val="true"/>
        <w:numPr>
          <w:ilvl w:val="0"/>
          <w:numId w:val="10"/>
        </w:numPr>
        <w:tabs>
          <w:tab w:val="clear" w:pos="720"/>
          <w:tab w:val="left" w:pos="360" w:leader="none"/>
        </w:tabs>
        <w:rPr>
          <w:b/>
          <w:color w:val="000000"/>
          <w:sz w:val="22"/>
        </w:rPr>
      </w:pPr>
      <w:r>
        <w:rPr>
          <w:b/>
          <w:color w:val="000000"/>
          <w:sz w:val="22"/>
        </w:rPr>
        <w:t>Dominion to Build 1,800 MW in Tennessee</w:t>
      </w:r>
    </w:p>
    <w:p>
      <w:pPr>
        <w:pStyle w:val="Normal"/>
        <w:jc w:val="start"/>
        <w:rPr/>
      </w:pPr>
      <w:r>
        <w:rPr>
          <w:b/>
        </w:rPr>
        <w:t>Overview:</w:t>
      </w:r>
      <w:r>
        <w:rPr/>
        <w:t xml:space="preserve">  It was reported on May 3 that Dominion Energy formed a partnership with Cumberland Electric Membership to build two gas-fired power plants totaling up to 1,800 MW in Tennessee.  Both facilities would come online by 2004.</w:t>
      </w:r>
    </w:p>
    <w:p>
      <w:pPr>
        <w:pStyle w:val="NB"/>
        <w:pBdr>
          <w:top w:val="single" w:sz="4" w:space="1" w:color="000000"/>
        </w:pBdr>
        <w:spacing w:before="0" w:after="60"/>
        <w:rPr/>
      </w:pPr>
      <w:r>
        <w:rPr>
          <w:b/>
        </w:rPr>
        <w:t>N.B.:</w:t>
      </w:r>
      <w:r>
        <w:rPr/>
        <w:t xml:space="preserve"> CREDIT SUISSE FIRST BOSTON CORPORATION may have, within the last three years, served as a manager or co-manager of a public offering of securities for or makes a primary market in issues of any or all of the companies mentioned.</w:t>
      </w:r>
    </w:p>
    <w:p>
      <w:pPr>
        <w:sectPr>
          <w:headerReference w:type="default" r:id="rId13"/>
          <w:headerReference w:type="first" r:id="rId14"/>
          <w:footerReference w:type="default" r:id="rId15"/>
          <w:footerReference w:type="first" r:id="rId16"/>
          <w:type w:val="nextPage"/>
          <w:pgSz w:w="12240" w:h="15840"/>
          <w:pgMar w:left="3150" w:right="1195" w:gutter="0" w:header="547" w:top="1440" w:footer="360" w:bottom="1080"/>
          <w:pgNumType w:fmt="decimal"/>
          <w:formProt w:val="false"/>
          <w:textDirection w:val="lrTb"/>
          <w:docGrid w:type="default" w:linePitch="360" w:charSpace="0"/>
        </w:sectPr>
        <w:pStyle w:val="NB"/>
        <w:pBdr>
          <w:top w:val="nil"/>
        </w:pBdr>
        <w:spacing w:before="0" w:after="60"/>
        <w:rPr/>
      </w:pPr>
      <w:r>
        <w:rPr/>
        <w:t>Companies mentioned: AES Corporation (AES, $48.50, Strong Buy), Calpine (CPN, $54.10, Strong Buy), Dynegy (DYN), Edison International (EIX, $9.25, Hold), International Power (IPR), NRG Energy (NRG, $33.17, Buy), Orion Power (ORN, $,29.85, Buy), PG&amp;E (PCG, $9.00, Hold), Mirant Corporation (MIR, $39.08, Buy), Dominion Resources (D)</w:t>
      </w:r>
    </w:p>
    <w:p>
      <w:pPr>
        <w:pStyle w:val="CameraReadyTableTitle"/>
        <w:pBdr>
          <w:bottom w:val="single" w:sz="4" w:space="1" w:color="000000"/>
        </w:pBdr>
        <w:rPr>
          <w:i/>
          <w:i/>
        </w:rPr>
      </w:pPr>
      <w:r>
        <w:rPr>
          <w:i/>
        </w:rPr>
        <w:t xml:space="preserve">Exhibit 8: </w:t>
      </w:r>
      <w:r>
        <w:rPr/>
        <w:t>Independent Power Producer Valuation</w:t>
      </w:r>
    </w:p>
    <w:p>
      <w:pPr>
        <w:pStyle w:val="CameraReadyTableTitle"/>
        <w:rPr>
          <w:i/>
          <w:i/>
        </w:rPr>
      </w:pPr>
      <w:r>
        <w:rPr>
          <w:i/>
        </w:rPr>
      </w:r>
    </w:p>
    <w:p>
      <w:pPr>
        <w:sectPr>
          <w:headerReference w:type="default" r:id="rId18"/>
          <w:headerReference w:type="first" r:id="rId19"/>
          <w:footerReference w:type="default" r:id="rId20"/>
          <w:footerReference w:type="first" r:id="rId21"/>
          <w:type w:val="nextPage"/>
          <w:pgSz w:orient="landscape" w:w="15840" w:h="12240"/>
          <w:pgMar w:left="1080" w:right="1627" w:gutter="0" w:header="547" w:top="1710" w:footer="360" w:bottom="1195"/>
          <w:pgNumType w:fmt="decimal"/>
          <w:formProt w:val="false"/>
          <w:textDirection w:val="lrTb"/>
          <w:docGrid w:type="default" w:linePitch="360" w:charSpace="0"/>
        </w:sectPr>
        <w:pStyle w:val="CameraReadyTableTitle"/>
        <w:rPr>
          <w:i/>
          <w:i/>
        </w:rPr>
      </w:pPr>
      <w:r>
        <w:rPr>
          <w:i/>
        </w:rPr>
        <w:drawing>
          <wp:inline distT="0" distB="0" distL="0" distR="0">
            <wp:extent cx="8338820" cy="5549900"/>
            <wp:effectExtent l="0" t="0" r="0" b="0"/>
            <wp:docPr id="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title=""/>
                    <pic:cNvPicPr>
                      <a:picLocks noChangeAspect="1" noChangeArrowheads="1"/>
                    </pic:cNvPicPr>
                  </pic:nvPicPr>
                  <pic:blipFill>
                    <a:blip r:embed="rId17"/>
                    <a:srcRect l="-3" t="-5" r="-3" b="-5"/>
                    <a:stretch>
                      <a:fillRect/>
                    </a:stretch>
                  </pic:blipFill>
                  <pic:spPr bwMode="auto">
                    <a:xfrm>
                      <a:off x="0" y="0"/>
                      <a:ext cx="8338820" cy="5549900"/>
                    </a:xfrm>
                    <a:prstGeom prst="rect">
                      <a:avLst/>
                    </a:prstGeom>
                    <a:noFill/>
                  </pic:spPr>
                </pic:pic>
              </a:graphicData>
            </a:graphic>
          </wp:inline>
        </w:drawing>
      </w:r>
    </w:p>
    <w:p>
      <w:pPr>
        <w:pStyle w:val="Head1"/>
        <w:spacing w:before="0" w:after="60"/>
        <w:rPr/>
      </w:pPr>
      <w:r>
        <w:rPr/>
        <w:t>Power Pricing Trends</w:t>
      </w:r>
    </w:p>
    <w:p>
      <w:pPr>
        <w:pStyle w:val="CameraReadyTableTitle"/>
        <w:pBdr>
          <w:top w:val="single" w:sz="6" w:space="1" w:color="000000"/>
          <w:left w:val="single" w:sz="6" w:space="4" w:color="000000"/>
          <w:bottom w:val="single" w:sz="6" w:space="1" w:color="000000"/>
          <w:right w:val="single" w:sz="6" w:space="4" w:color="000000"/>
        </w:pBdr>
        <w:spacing w:before="0" w:after="80"/>
        <w:rPr/>
      </w:pPr>
      <w:r>
        <w:rPr>
          <w:b w:val="false"/>
          <w:i/>
        </w:rPr>
        <w:t>In this section we include power market commentary for selected US regions, adopted primarily from Platts Daily Price Report, published by the McGraw-Hill Companies.  The prices quoted are for previous day trades to be delivered on that day.</w:t>
      </w:r>
    </w:p>
    <w:p>
      <w:pPr>
        <w:pStyle w:val="CameraReadyTableTitle"/>
        <w:pBdr>
          <w:top w:val="single" w:sz="6" w:space="1" w:color="000000"/>
          <w:left w:val="single" w:sz="6" w:space="4" w:color="000000"/>
          <w:bottom w:val="single" w:sz="6" w:space="1" w:color="000000"/>
          <w:right w:val="single" w:sz="6" w:space="4" w:color="000000"/>
        </w:pBdr>
        <w:rPr/>
      </w:pPr>
      <w:r>
        <w:rPr>
          <w:i/>
        </w:rPr>
        <w:t>Overview:</w:t>
      </w:r>
      <w:r>
        <w:rPr>
          <w:b w:val="false"/>
          <w:i/>
        </w:rPr>
        <w:t xml:space="preserve">  Power prices for the week declined substantially throughout most of the country as evidenced by a 32% decline in the Mirant National Power Index.  The national decline was despite the unseasonably hot weather that blanketed the Northeast.  Temperatures in the Northeast reached into the 90’s during the week triggering air conditioner loads.</w:t>
      </w:r>
    </w:p>
    <w:p>
      <w:pPr>
        <w:pStyle w:val="Text"/>
        <w:tabs>
          <w:tab w:val="clear" w:pos="720"/>
          <w:tab w:val="left" w:pos="2790" w:leader="none"/>
        </w:tabs>
        <w:spacing w:before="80" w:after="0"/>
        <w:rPr/>
      </w:pPr>
      <w:r>
        <w:rPr>
          <w:i/>
        </w:rPr>
        <w:t>Factor Grid</w:t>
      </w:r>
      <w:r>
        <w:rPr/>
        <w:t xml:space="preserve"> below, we attempt to illustrate the effects of certain key drivers on power prices in selected regions of the United States.  On the Y-axis, we list 8 power price drivers.  On the X-axis, we list 8 discrete power markets.  The arrows indicate the general effect of the driver on prices.  </w:t>
      </w:r>
    </w:p>
    <w:p>
      <w:pPr>
        <w:pStyle w:val="CameraReadyTableTitle"/>
        <w:spacing w:before="120" w:after="0"/>
        <w:rPr>
          <w:i/>
          <w:i/>
        </w:rPr>
      </w:pPr>
      <w:r>
        <w:rPr>
          <w:i/>
        </w:rPr>
        <w:t>Exhibit 9:  CSFB’s Market Factor Grid</w:t>
      </w:r>
    </w:p>
    <w:p>
      <w:pPr>
        <w:pStyle w:val="CameraReadyTableSubtitle"/>
        <w:spacing w:before="0" w:after="60"/>
        <w:rPr/>
      </w:pPr>
      <w:r>
        <w:rPr/>
        <w:t>$ per Mwh</w:t>
      </w:r>
    </w:p>
    <w:p>
      <w:pPr>
        <w:pStyle w:val="Text"/>
        <w:pBdr>
          <w:bottom w:val="single" w:sz="4" w:space="1" w:color="000000"/>
        </w:pBdr>
        <w:tabs>
          <w:tab w:val="clear" w:pos="720"/>
          <w:tab w:val="left" w:pos="2790" w:leader="none"/>
        </w:tabs>
        <w:spacing w:before="0" w:after="80"/>
        <w:jc w:val="center"/>
        <w:rPr>
          <w:b/>
        </w:rPr>
      </w:pPr>
      <w:r>
        <w:rPr>
          <w:b/>
        </w:rPr>
        <w:drawing>
          <wp:inline distT="0" distB="0" distL="0" distR="0">
            <wp:extent cx="4088765" cy="2541905"/>
            <wp:effectExtent l="0" t="0" r="0" b="0"/>
            <wp:docPr id="10"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descr="" title=""/>
                    <pic:cNvPicPr>
                      <a:picLocks noChangeAspect="1" noChangeArrowheads="1"/>
                    </pic:cNvPicPr>
                  </pic:nvPicPr>
                  <pic:blipFill>
                    <a:blip r:embed="rId22"/>
                    <a:srcRect l="-5" t="-8" r="-5" b="-8"/>
                    <a:stretch>
                      <a:fillRect/>
                    </a:stretch>
                  </pic:blipFill>
                  <pic:spPr bwMode="auto">
                    <a:xfrm>
                      <a:off x="0" y="0"/>
                      <a:ext cx="4088765" cy="2541905"/>
                    </a:xfrm>
                    <a:prstGeom prst="rect">
                      <a:avLst/>
                    </a:prstGeom>
                    <a:noFill/>
                  </pic:spPr>
                </pic:pic>
              </a:graphicData>
            </a:graphic>
          </wp:inline>
        </w:drawing>
      </w:r>
    </w:p>
    <w:p>
      <w:pPr>
        <w:pStyle w:val="Text"/>
        <w:numPr>
          <w:ilvl w:val="0"/>
          <w:numId w:val="9"/>
        </w:numPr>
        <w:tabs>
          <w:tab w:val="clear" w:pos="720"/>
          <w:tab w:val="left" w:pos="2790" w:leader="none"/>
        </w:tabs>
        <w:spacing w:before="0" w:after="60"/>
        <w:rPr>
          <w:b/>
        </w:rPr>
      </w:pPr>
      <w:r>
        <w:rPr>
          <w:b/>
        </w:rPr>
        <w:t>California</w:t>
      </w:r>
      <w:r>
        <w:rPr/>
        <w:t xml:space="preserve"> and other </w:t>
      </w:r>
      <w:r>
        <w:rPr>
          <w:b/>
        </w:rPr>
        <w:t>Western</w:t>
      </w:r>
      <w:r>
        <w:rPr/>
        <w:t xml:space="preserve"> states saw prices decline considerably for the first time in a few weeks.  North Path 15 (Northern California) saw a 54% decline in prices.  The primary contributors were mild weather, better hydro availability and some added capacity.</w:t>
      </w:r>
    </w:p>
    <w:p>
      <w:pPr>
        <w:pStyle w:val="Text"/>
        <w:numPr>
          <w:ilvl w:val="0"/>
          <w:numId w:val="9"/>
        </w:numPr>
        <w:tabs>
          <w:tab w:val="clear" w:pos="720"/>
          <w:tab w:val="left" w:pos="2790" w:leader="none"/>
        </w:tabs>
        <w:spacing w:before="0" w:after="60"/>
        <w:rPr/>
      </w:pPr>
      <w:r>
        <w:rPr>
          <w:b/>
        </w:rPr>
        <w:t>New York</w:t>
      </w:r>
      <w:r>
        <w:rPr/>
        <w:t xml:space="preserve">, </w:t>
      </w:r>
      <w:r>
        <w:rPr>
          <w:b/>
        </w:rPr>
        <w:t>New England</w:t>
      </w:r>
      <w:r>
        <w:rPr/>
        <w:t xml:space="preserve"> and the </w:t>
      </w:r>
      <w:r>
        <w:rPr>
          <w:b/>
        </w:rPr>
        <w:t>Mid-Atlantic</w:t>
      </w:r>
      <w:r>
        <w:rPr/>
        <w:t xml:space="preserve"> all saw robust pricing driven by the unseasonably hot temperatures that blanketed the regions.  Further, there was an outage at a nuclear plant in New England that exacerbated the problem.  Prices in New England were as high as $260 per MWh compared to a more normal $40-50 per MWh.  New York prices were further bolstered by the demand for imported power from New England.</w:t>
      </w:r>
    </w:p>
    <w:p>
      <w:pPr>
        <w:pStyle w:val="Text"/>
        <w:numPr>
          <w:ilvl w:val="0"/>
          <w:numId w:val="9"/>
        </w:numPr>
        <w:tabs>
          <w:tab w:val="clear" w:pos="720"/>
          <w:tab w:val="left" w:pos="2790" w:leader="none"/>
        </w:tabs>
        <w:spacing w:before="0" w:after="60"/>
        <w:rPr/>
      </w:pPr>
      <w:r>
        <w:rPr>
          <w:b/>
        </w:rPr>
        <w:t>Midwest</w:t>
      </w:r>
      <w:r>
        <w:rPr/>
        <w:t xml:space="preserve"> prices were off for the week due to mild weather and the winding down of maintenance season.</w:t>
      </w:r>
    </w:p>
    <w:p>
      <w:pPr>
        <w:pStyle w:val="Text"/>
        <w:numPr>
          <w:ilvl w:val="0"/>
          <w:numId w:val="9"/>
        </w:numPr>
        <w:tabs>
          <w:tab w:val="clear" w:pos="720"/>
          <w:tab w:val="left" w:pos="2790" w:leader="none"/>
        </w:tabs>
        <w:spacing w:before="0" w:after="60"/>
        <w:rPr/>
      </w:pPr>
      <w:r>
        <w:rPr/>
        <w:t xml:space="preserve">The </w:t>
      </w:r>
      <w:r>
        <w:rPr>
          <w:b/>
        </w:rPr>
        <w:t>Southeast</w:t>
      </w:r>
      <w:r>
        <w:rPr/>
        <w:t xml:space="preserve"> and </w:t>
      </w:r>
      <w:r>
        <w:rPr>
          <w:b/>
        </w:rPr>
        <w:t>Texas</w:t>
      </w:r>
      <w:r>
        <w:rPr/>
        <w:t xml:space="preserve"> both saw healthy generation and mild weather keep prices stable to lower.  </w:t>
      </w:r>
    </w:p>
    <w:p>
      <w:pPr>
        <w:pStyle w:val="CameraReadyTableTitle"/>
        <w:spacing w:before="60" w:after="0"/>
        <w:ind w:start="-900" w:end="0"/>
        <w:rPr>
          <w:i/>
          <w:i/>
        </w:rPr>
      </w:pPr>
      <w:r>
        <w:rPr>
          <w:i/>
        </w:rPr>
        <w:t>Exhibit 10: Day-by-Day Pricing in Select Markets</w:t>
      </w:r>
    </w:p>
    <w:p>
      <w:pPr>
        <w:pStyle w:val="CameraReadyTableSubtitle"/>
        <w:spacing w:before="0" w:after="60"/>
        <w:ind w:start="-900" w:end="0"/>
        <w:rPr/>
      </w:pPr>
      <w:r>
        <w:rPr/>
        <w:t>$ per Mwh</w:t>
      </w:r>
    </w:p>
    <w:p>
      <w:pPr>
        <w:pStyle w:val="Text"/>
        <w:spacing w:before="0" w:after="80"/>
        <w:ind w:start="-900" w:end="0"/>
        <w:rPr/>
      </w:pPr>
      <w:r>
        <w:rPr/>
        <w:drawing>
          <wp:inline distT="0" distB="0" distL="0" distR="0">
            <wp:extent cx="6711315" cy="658495"/>
            <wp:effectExtent l="0" t="0" r="0" b="0"/>
            <wp:docPr id="1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title=""/>
                    <pic:cNvPicPr>
                      <a:picLocks noChangeAspect="1" noChangeArrowheads="1"/>
                    </pic:cNvPicPr>
                  </pic:nvPicPr>
                  <pic:blipFill>
                    <a:blip r:embed="rId23"/>
                    <a:srcRect l="-3" t="-32" r="-3" b="-32"/>
                    <a:stretch>
                      <a:fillRect/>
                    </a:stretch>
                  </pic:blipFill>
                  <pic:spPr bwMode="auto">
                    <a:xfrm>
                      <a:off x="0" y="0"/>
                      <a:ext cx="6711315" cy="658495"/>
                    </a:xfrm>
                    <a:prstGeom prst="rect">
                      <a:avLst/>
                    </a:prstGeom>
                    <a:noFill/>
                  </pic:spPr>
                </pic:pic>
              </a:graphicData>
            </a:graphic>
          </wp:inline>
        </w:drawing>
      </w:r>
    </w:p>
    <w:p>
      <w:pPr>
        <w:pStyle w:val="CameraReadyTableTitle"/>
        <w:pBdr>
          <w:bottom w:val="nil"/>
        </w:pBdr>
        <w:ind w:start="-900" w:end="0"/>
        <w:rPr>
          <w:b w:val="false"/>
          <w:sz w:val="14"/>
        </w:rPr>
      </w:pPr>
      <w:r>
        <w:rPr>
          <w:b w:val="false"/>
          <w:sz w:val="14"/>
        </w:rPr>
        <w:t>1) The daily index represents a volume weighted average for prescheduled, daily on-peak electricity.  Volumes are in MW.</w:t>
      </w:r>
    </w:p>
    <w:p>
      <w:pPr>
        <w:pStyle w:val="CameraReadyTableTitle"/>
        <w:pBdr>
          <w:bottom w:val="nil"/>
        </w:pBdr>
        <w:ind w:start="-900" w:end="0"/>
        <w:rPr>
          <w:b w:val="false"/>
          <w:sz w:val="14"/>
        </w:rPr>
      </w:pPr>
      <w:r>
        <w:rPr>
          <w:b w:val="false"/>
          <w:color w:val="000000"/>
          <w:sz w:val="14"/>
          <w:lang w:eastAsia="en-US"/>
        </w:rPr>
        <w:t>2) NE (New England), CIN (Cinergy), SERC (SERC), NP15 (California North Path 15), NYW (New York West), ERCOT (ERCOT), PJM (PJM)</w:t>
      </w:r>
    </w:p>
    <w:p>
      <w:pPr>
        <w:sectPr>
          <w:headerReference w:type="default" r:id="rId24"/>
          <w:headerReference w:type="first" r:id="rId25"/>
          <w:footerReference w:type="default" r:id="rId26"/>
          <w:footerReference w:type="first" r:id="rId27"/>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ind w:start="-900" w:end="0"/>
        <w:rPr>
          <w:b w:val="false"/>
          <w:sz w:val="14"/>
        </w:rPr>
      </w:pPr>
      <w:r>
        <w:rPr>
          <w:b w:val="false"/>
          <w:sz w:val="14"/>
        </w:rPr>
        <w:t xml:space="preserve">Source: </w:t>
      </w:r>
      <w:r>
        <w:rPr>
          <w:b w:val="false"/>
          <w:i/>
          <w:sz w:val="14"/>
        </w:rPr>
        <w:t>Platts Daily Price Report</w:t>
      </w:r>
    </w:p>
    <w:p>
      <w:pPr>
        <w:pStyle w:val="CameraReadyTableTitle"/>
        <w:rPr/>
      </w:pPr>
      <w:r>
        <w:rPr>
          <w:i/>
        </w:rPr>
        <w:t xml:space="preserve">Exhibit 11:  </w:t>
      </w:r>
      <w:r>
        <w:rPr/>
        <w:t xml:space="preserve"> Weekly Index of On-Peak Spot Electricity Prices</w:t>
      </w:r>
    </w:p>
    <w:p>
      <w:pPr>
        <w:pStyle w:val="CameraReadyTableSubtitle"/>
        <w:rPr/>
      </w:pPr>
      <w:r>
        <w:rPr/>
        <w:t>$ per Mwh</w:t>
      </w:r>
    </w:p>
    <w:p>
      <w:pPr>
        <w:pStyle w:val="CameraReadyTableTitle"/>
        <w:pBdr>
          <w:bottom w:val="nil"/>
        </w:pBdr>
        <w:jc w:val="center"/>
        <w:rPr>
          <w:b w:val="false"/>
          <w:sz w:val="16"/>
        </w:rPr>
      </w:pPr>
      <w:r>
        <w:rPr>
          <w:b w:val="false"/>
          <w:sz w:val="16"/>
        </w:rPr>
      </w:r>
    </w:p>
    <w:p>
      <w:pPr>
        <w:pStyle w:val="CameraReadyTableTitle"/>
        <w:pBdr>
          <w:bottom w:val="nil"/>
        </w:pBdr>
        <w:jc w:val="center"/>
        <w:rPr>
          <w:b w:val="false"/>
          <w:sz w:val="16"/>
        </w:rPr>
      </w:pPr>
      <w:r>
        <w:rPr>
          <w:sz w:val="16"/>
        </w:rPr>
        <w:drawing>
          <wp:inline distT="0" distB="0" distL="0" distR="0">
            <wp:extent cx="5168900" cy="4321810"/>
            <wp:effectExtent l="0" t="0" r="0" b="0"/>
            <wp:docPr id="12"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title=""/>
                    <pic:cNvPicPr>
                      <a:picLocks noChangeAspect="1" noChangeArrowheads="1"/>
                    </pic:cNvPicPr>
                  </pic:nvPicPr>
                  <pic:blipFill>
                    <a:blip r:embed="rId28"/>
                    <a:srcRect l="-3" t="-4" r="-3" b="-4"/>
                    <a:stretch>
                      <a:fillRect/>
                    </a:stretch>
                  </pic:blipFill>
                  <pic:spPr bwMode="auto">
                    <a:xfrm>
                      <a:off x="0" y="0"/>
                      <a:ext cx="5168900" cy="4321810"/>
                    </a:xfrm>
                    <a:prstGeom prst="rect">
                      <a:avLst/>
                    </a:prstGeom>
                    <a:noFill/>
                  </pic:spPr>
                </pic:pic>
              </a:graphicData>
            </a:graphic>
          </wp:inline>
        </w:drawing>
      </w:r>
    </w:p>
    <w:p>
      <w:pPr>
        <w:pStyle w:val="CameraReadyTableTitle"/>
        <w:pBdr>
          <w:bottom w:val="nil"/>
        </w:pBdr>
        <w:spacing w:before="120" w:after="0"/>
        <w:ind w:hanging="446" w:start="446" w:end="0"/>
        <w:rPr>
          <w:b w:val="false"/>
          <w:sz w:val="14"/>
        </w:rPr>
      </w:pPr>
      <w:r>
        <w:rPr>
          <w:b w:val="false"/>
          <w:sz w:val="14"/>
        </w:rPr>
        <w:t>Note: The weekly index represents the average of the daily indexes.  The daily index represents a volume weighted average for prescheduled, daily on-peak electricity.</w:t>
      </w:r>
    </w:p>
    <w:p>
      <w:pPr>
        <w:pStyle w:val="CameraReadyTableTitle"/>
        <w:pBdr>
          <w:bottom w:val="nil"/>
        </w:pBdr>
        <w:rPr>
          <w:b w:val="false"/>
          <w:sz w:val="14"/>
        </w:rPr>
      </w:pPr>
      <w:r>
        <w:rPr>
          <w:b w:val="false"/>
          <w:sz w:val="14"/>
        </w:rPr>
      </w:r>
    </w:p>
    <w:p>
      <w:pPr>
        <w:pStyle w:val="CameraReadyTableTitle"/>
        <w:pBdr>
          <w:bottom w:val="single" w:sz="4" w:space="1" w:color="000000"/>
        </w:pBdr>
        <w:spacing w:before="0" w:after="240"/>
        <w:rPr>
          <w:b w:val="false"/>
          <w:sz w:val="14"/>
        </w:rPr>
      </w:pPr>
      <w:r>
        <w:rPr>
          <w:b w:val="false"/>
          <w:sz w:val="14"/>
        </w:rPr>
        <w:t>Source: Power Markets Week, CSFB</w:t>
      </w:r>
    </w:p>
    <w:p>
      <w:pPr>
        <w:pStyle w:val="CameraReadyTableTitle"/>
        <w:pBdr>
          <w:bottom w:val="nil"/>
        </w:pBdr>
        <w:spacing w:before="240" w:after="0"/>
        <w:rPr>
          <w:b w:val="false"/>
          <w:i/>
          <w:i/>
          <w:sz w:val="14"/>
        </w:rPr>
      </w:pPr>
      <w:r>
        <w:rPr>
          <w:b w:val="false"/>
          <w:i/>
          <w:sz w:val="14"/>
        </w:rPr>
      </w:r>
    </w:p>
    <w:p>
      <w:pPr>
        <w:pStyle w:val="CameraReadyTableTitle"/>
        <w:pBdr>
          <w:bottom w:val="nil"/>
        </w:pBdr>
        <w:spacing w:before="240" w:after="0"/>
        <w:rPr/>
      </w:pPr>
      <w:r>
        <w:rPr>
          <w:i/>
        </w:rPr>
        <w:t>Exhibit 12:</w:t>
      </w:r>
      <w:r>
        <w:rPr/>
        <w:t xml:space="preserve"> On-Peak Spot Electricity Price Index Year-Over-Year Comparison</w:t>
      </w:r>
    </w:p>
    <w:p>
      <w:pPr>
        <w:pStyle w:val="CameraReadyTableSubtitle"/>
        <w:pBdr>
          <w:bottom w:val="single" w:sz="4" w:space="1" w:color="000000"/>
        </w:pBdr>
        <w:spacing w:before="0" w:after="120"/>
        <w:rPr/>
      </w:pPr>
      <w:r>
        <w:rPr/>
        <w:t>$ per Mwh</w:t>
      </w:r>
    </w:p>
    <w:p>
      <w:pPr>
        <w:pStyle w:val="CameraReadyTableTitle"/>
        <w:pBdr>
          <w:bottom w:val="nil"/>
        </w:pBdr>
        <w:spacing w:before="120" w:after="0"/>
        <w:jc w:val="center"/>
        <w:rPr>
          <w:b w:val="false"/>
          <w:sz w:val="16"/>
        </w:rPr>
      </w:pPr>
      <w:r>
        <w:rPr>
          <w:sz w:val="16"/>
        </w:rPr>
        <w:drawing>
          <wp:inline distT="0" distB="0" distL="0" distR="0">
            <wp:extent cx="5922010" cy="1454150"/>
            <wp:effectExtent l="0" t="0" r="0" b="0"/>
            <wp:docPr id="1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 descr="" title=""/>
                    <pic:cNvPicPr>
                      <a:picLocks noChangeAspect="1" noChangeArrowheads="1"/>
                    </pic:cNvPicPr>
                  </pic:nvPicPr>
                  <pic:blipFill>
                    <a:blip r:embed="rId29"/>
                    <a:srcRect l="-5" t="-20" r="-5" b="-20"/>
                    <a:stretch>
                      <a:fillRect/>
                    </a:stretch>
                  </pic:blipFill>
                  <pic:spPr bwMode="auto">
                    <a:xfrm>
                      <a:off x="0" y="0"/>
                      <a:ext cx="5922010" cy="1454150"/>
                    </a:xfrm>
                    <a:prstGeom prst="rect">
                      <a:avLst/>
                    </a:prstGeom>
                    <a:noFill/>
                  </pic:spPr>
                </pic:pic>
              </a:graphicData>
            </a:graphic>
          </wp:inline>
        </w:drawing>
      </w:r>
    </w:p>
    <w:p>
      <w:pPr>
        <w:pStyle w:val="CameraReadyTableTitle"/>
        <w:pBdr>
          <w:bottom w:val="nil"/>
        </w:pBdr>
        <w:spacing w:before="120" w:after="0"/>
        <w:rPr/>
      </w:pPr>
      <w:r>
        <w:rPr>
          <w:b w:val="false"/>
          <w:sz w:val="14"/>
        </w:rPr>
        <w:t>Note: NE (New England), CIN (Cinergy), SERC (SERC), NP15 (California North Path 15), NYW (NY West), ERCOT (ERCOT)</w:t>
      </w:r>
    </w:p>
    <w:p>
      <w:pPr>
        <w:sectPr>
          <w:headerReference w:type="default" r:id="rId30"/>
          <w:headerReference w:type="first" r:id="rId31"/>
          <w:footerReference w:type="default" r:id="rId32"/>
          <w:footerReference w:type="first" r:id="rId33"/>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rPr>
          <w:b w:val="false"/>
          <w:sz w:val="14"/>
        </w:rPr>
      </w:pPr>
      <w:r>
        <w:rPr>
          <w:b w:val="false"/>
          <w:sz w:val="14"/>
        </w:rPr>
        <w:t>Source: Power Markets Week, CSFB</w:t>
      </w:r>
    </w:p>
    <w:p>
      <w:pPr>
        <w:pStyle w:val="CameraReadyTableTitle"/>
        <w:pBdr>
          <w:bottom w:val="nil"/>
        </w:pBdr>
        <w:rPr/>
      </w:pPr>
      <w:r>
        <w:rPr>
          <w:i/>
        </w:rPr>
        <w:t xml:space="preserve">Exhibit 13: </w:t>
      </w:r>
      <w:r>
        <w:rPr/>
        <w:t>Mirant National Power Index</w:t>
      </w:r>
    </w:p>
    <w:p>
      <w:pPr>
        <w:pStyle w:val="CameraReadyTableTitle"/>
        <w:pBdr>
          <w:bottom w:val="single" w:sz="4" w:space="1" w:color="000000"/>
        </w:pBdr>
        <w:rPr/>
      </w:pPr>
      <w:r>
        <w:rPr/>
        <w:t>$ per Mwh</w:t>
      </w:r>
    </w:p>
    <w:p>
      <w:pPr>
        <w:pStyle w:val="CameraReadyTableTitle"/>
        <w:pBdr>
          <w:bottom w:val="nil"/>
        </w:pBdr>
        <w:spacing w:before="120" w:after="0"/>
        <w:jc w:val="center"/>
        <w:rPr>
          <w:b w:val="false"/>
          <w:i/>
          <w:i/>
        </w:rPr>
      </w:pPr>
      <w:r>
        <w:rPr>
          <w:i/>
        </w:rPr>
        <w:drawing>
          <wp:inline distT="0" distB="0" distL="0" distR="0">
            <wp:extent cx="5727065" cy="2350135"/>
            <wp:effectExtent l="0" t="0" r="0" b="0"/>
            <wp:docPr id="14"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 descr="" title=""/>
                    <pic:cNvPicPr>
                      <a:picLocks noChangeAspect="1" noChangeArrowheads="1"/>
                    </pic:cNvPicPr>
                  </pic:nvPicPr>
                  <pic:blipFill>
                    <a:blip r:embed="rId34"/>
                    <a:srcRect l="-5" t="-13" r="-5" b="-13"/>
                    <a:stretch>
                      <a:fillRect/>
                    </a:stretch>
                  </pic:blipFill>
                  <pic:spPr bwMode="auto">
                    <a:xfrm>
                      <a:off x="0" y="0"/>
                      <a:ext cx="5727065" cy="2350135"/>
                    </a:xfrm>
                    <a:prstGeom prst="rect">
                      <a:avLst/>
                    </a:prstGeom>
                    <a:noFill/>
                  </pic:spPr>
                </pic:pic>
              </a:graphicData>
            </a:graphic>
          </wp:inline>
        </w:drawing>
      </w:r>
    </w:p>
    <w:p>
      <w:pPr>
        <w:pStyle w:val="CameraReadyTableTitle"/>
        <w:pBdr>
          <w:bottom w:val="nil"/>
        </w:pBdr>
        <w:jc w:val="center"/>
        <w:rPr>
          <w:b w:val="false"/>
          <w:i/>
          <w:i/>
          <w:sz w:val="16"/>
        </w:rPr>
      </w:pPr>
      <w:r>
        <w:rPr>
          <w:b w:val="false"/>
          <w:i/>
          <w:sz w:val="16"/>
        </w:rPr>
      </w:r>
    </w:p>
    <w:p>
      <w:pPr>
        <w:pStyle w:val="CameraReadyTableTitle"/>
        <w:pBdr>
          <w:bottom w:val="nil"/>
        </w:pBdr>
        <w:rPr>
          <w:b w:val="false"/>
          <w:sz w:val="16"/>
        </w:rPr>
      </w:pPr>
      <w:r>
        <w:rPr>
          <w:b w:val="false"/>
          <w:sz w:val="16"/>
        </w:rPr>
        <w:t>Source: Wall Street Journal</w:t>
      </w:r>
    </w:p>
    <w:p>
      <w:pPr>
        <w:pStyle w:val="CameraReadyTableTitle"/>
        <w:rPr>
          <w:b w:val="false"/>
          <w:sz w:val="16"/>
        </w:rPr>
      </w:pPr>
      <w:r>
        <w:rPr>
          <w:b w:val="false"/>
          <w:sz w:val="16"/>
        </w:rPr>
      </w:r>
    </w:p>
    <w:p>
      <w:pPr>
        <w:pStyle w:val="CameraReadyTableTitle"/>
        <w:pBdr>
          <w:bottom w:val="nil"/>
        </w:pBdr>
        <w:rPr>
          <w:b w:val="false"/>
          <w:i/>
          <w:i/>
          <w:sz w:val="16"/>
        </w:rPr>
      </w:pPr>
      <w:r>
        <w:rPr>
          <w:b w:val="false"/>
          <w:i/>
          <w:sz w:val="16"/>
        </w:rPr>
      </w:r>
    </w:p>
    <w:p>
      <w:pPr>
        <w:pStyle w:val="CameraReadyTableTitle"/>
        <w:pBdr>
          <w:bottom w:val="nil"/>
        </w:pBdr>
        <w:rPr>
          <w:i/>
          <w:i/>
        </w:rPr>
      </w:pPr>
      <w:r>
        <w:rPr>
          <w:i/>
        </w:rPr>
      </w:r>
    </w:p>
    <w:p>
      <w:pPr>
        <w:pStyle w:val="CameraReadyTableTitle"/>
        <w:pBdr>
          <w:bottom w:val="nil"/>
        </w:pBdr>
        <w:rPr>
          <w:i/>
          <w:i/>
        </w:rPr>
      </w:pPr>
      <w:r>
        <w:rPr>
          <w:i/>
        </w:rPr>
      </w:r>
    </w:p>
    <w:p>
      <w:pPr>
        <w:pStyle w:val="CameraReadyTableTitle"/>
        <w:pBdr>
          <w:bottom w:val="nil"/>
        </w:pBdr>
        <w:rPr>
          <w:i/>
          <w:i/>
        </w:rPr>
      </w:pPr>
      <w:r>
        <w:rPr>
          <w:i/>
        </w:rPr>
      </w:r>
    </w:p>
    <w:p>
      <w:pPr>
        <w:pStyle w:val="CameraReadyTableTitle"/>
        <w:pBdr>
          <w:bottom w:val="nil"/>
        </w:pBdr>
        <w:rPr/>
      </w:pPr>
      <w:r>
        <w:rPr>
          <w:i/>
        </w:rPr>
        <w:t xml:space="preserve">Exhibit 14: </w:t>
      </w:r>
      <w:r>
        <w:rPr/>
        <w:t>Natural Gas Spot Wellhead Composite</w:t>
      </w:r>
    </w:p>
    <w:p>
      <w:pPr>
        <w:pStyle w:val="CameraReadyTableSubtitle"/>
        <w:rPr/>
      </w:pPr>
      <w:r>
        <w:rPr/>
        <w:t>$/MMBtu</w:t>
      </w:r>
    </w:p>
    <w:p>
      <w:pPr>
        <w:pStyle w:val="NB"/>
        <w:pBdr>
          <w:top w:val="nil"/>
        </w:pBdr>
        <w:rPr/>
      </w:pPr>
      <w:r>
        <w:rPr/>
      </w:r>
    </w:p>
    <w:p>
      <w:pPr>
        <w:pStyle w:val="NB"/>
        <w:pBdr>
          <w:top w:val="nil"/>
        </w:pBdr>
        <w:jc w:val="center"/>
        <w:rPr/>
      </w:pPr>
      <w:r>
        <w:rPr/>
        <w:drawing>
          <wp:inline distT="0" distB="0" distL="0" distR="0">
            <wp:extent cx="4290695" cy="2235200"/>
            <wp:effectExtent l="0" t="0" r="0" b="0"/>
            <wp:docPr id="15"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title=""/>
                    <pic:cNvPicPr>
                      <a:picLocks noChangeAspect="1" noChangeArrowheads="1"/>
                    </pic:cNvPicPr>
                  </pic:nvPicPr>
                  <pic:blipFill>
                    <a:blip r:embed="rId35"/>
                    <a:srcRect l="-7" t="-13" r="-7" b="-13"/>
                    <a:stretch>
                      <a:fillRect/>
                    </a:stretch>
                  </pic:blipFill>
                  <pic:spPr bwMode="auto">
                    <a:xfrm>
                      <a:off x="0" y="0"/>
                      <a:ext cx="4290695" cy="2235200"/>
                    </a:xfrm>
                    <a:prstGeom prst="rect">
                      <a:avLst/>
                    </a:prstGeom>
                    <a:noFill/>
                  </pic:spPr>
                </pic:pic>
              </a:graphicData>
            </a:graphic>
          </wp:inline>
        </w:drawing>
      </w:r>
    </w:p>
    <w:p>
      <w:pPr>
        <w:pStyle w:val="CameraReadyTableTitle"/>
        <w:rPr>
          <w:b w:val="false"/>
          <w:sz w:val="16"/>
        </w:rPr>
      </w:pPr>
      <w:r>
        <w:rPr>
          <w:b w:val="false"/>
          <w:sz w:val="16"/>
        </w:rPr>
      </w:r>
    </w:p>
    <w:p>
      <w:pPr>
        <w:sectPr>
          <w:headerReference w:type="default" r:id="rId36"/>
          <w:headerReference w:type="first" r:id="rId37"/>
          <w:footerReference w:type="default" r:id="rId38"/>
          <w:footerReference w:type="first" r:id="rId39"/>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rPr>
          <w:b w:val="false"/>
          <w:i/>
          <w:i/>
          <w:sz w:val="16"/>
        </w:rPr>
      </w:pPr>
      <w:r>
        <w:rPr>
          <w:b w:val="false"/>
          <w:sz w:val="16"/>
        </w:rPr>
        <w:t>Sources:  Natural Gas Week, CSFB estimates</w:t>
      </w:r>
    </w:p>
    <w:p>
      <w:pPr>
        <w:pStyle w:val="CameraReadyTableTitle"/>
        <w:rPr>
          <w:i/>
          <w:i/>
        </w:rPr>
      </w:pPr>
      <w:r>
        <w:rPr>
          <w:i/>
        </w:rPr>
        <w:t>Exhibit 15:  Current Spreads for Selected IPPs / Projects</w:t>
      </w:r>
    </w:p>
    <w:p>
      <w:pPr>
        <w:pStyle w:val="CameraReadyTableSubtitle"/>
        <w:rPr/>
      </w:pPr>
      <w:r>
        <w:rPr/>
        <w:t>Current Spread As of 4/17/01</w:t>
      </w:r>
    </w:p>
    <w:p>
      <w:pPr>
        <w:pStyle w:val="Text"/>
        <w:rPr/>
      </w:pPr>
      <w:r>
        <w:rPr/>
      </w:r>
    </w:p>
    <w:p>
      <w:pPr>
        <w:pStyle w:val="Text"/>
        <w:jc w:val="center"/>
        <w:rPr/>
      </w:pPr>
      <w:r>
        <w:rPr/>
        <w:drawing>
          <wp:inline distT="0" distB="0" distL="0" distR="0">
            <wp:extent cx="7484110" cy="2562860"/>
            <wp:effectExtent l="0" t="0" r="0" b="0"/>
            <wp:docPr id="16"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title=""/>
                    <pic:cNvPicPr>
                      <a:picLocks noChangeAspect="1" noChangeArrowheads="1"/>
                    </pic:cNvPicPr>
                  </pic:nvPicPr>
                  <pic:blipFill>
                    <a:blip r:embed="rId40"/>
                    <a:srcRect l="-4" t="-12" r="-4" b="-12"/>
                    <a:stretch>
                      <a:fillRect/>
                    </a:stretch>
                  </pic:blipFill>
                  <pic:spPr bwMode="auto">
                    <a:xfrm>
                      <a:off x="0" y="0"/>
                      <a:ext cx="7484110" cy="2562860"/>
                    </a:xfrm>
                    <a:prstGeom prst="rect">
                      <a:avLst/>
                    </a:prstGeom>
                    <a:noFill/>
                  </pic:spPr>
                </pic:pic>
              </a:graphicData>
            </a:graphic>
          </wp:inline>
        </w:drawing>
      </w:r>
    </w:p>
    <w:p>
      <w:pPr>
        <w:pStyle w:val="TableFooter"/>
        <w:rPr/>
      </w:pPr>
      <w:r>
        <w:rPr/>
        <w:t>Source: CSFB</w:t>
      </w:r>
    </w:p>
    <w:p>
      <w:pPr>
        <w:sectPr>
          <w:headerReference w:type="default" r:id="rId41"/>
          <w:headerReference w:type="first" r:id="rId42"/>
          <w:footerReference w:type="default" r:id="rId43"/>
          <w:footerReference w:type="first" r:id="rId44"/>
          <w:type w:val="nextPage"/>
          <w:pgSz w:orient="landscape" w:w="15840" w:h="12240"/>
          <w:pgMar w:left="1080" w:right="1627" w:gutter="0" w:header="547" w:top="1440" w:footer="360" w:bottom="1195"/>
          <w:pgNumType w:fmt="decimal"/>
          <w:formProt w:val="false"/>
          <w:textDirection w:val="lrTb"/>
          <w:docGrid w:type="default" w:linePitch="360" w:charSpace="0"/>
        </w:sectPr>
      </w:pPr>
      <w:r>
        <w:br w:type="page"/>
      </w:r>
    </w:p>
    <w:p>
      <w:pPr>
        <w:pStyle w:val="officename"/>
        <w:rPr/>
      </w:pPr>
      <w:r>
        <w:rPr/>
        <w:t>AMSTERDAM</w:t>
        <w:tab/>
        <w:t>31 20 5754 890</w:t>
      </w:r>
    </w:p>
    <w:p>
      <w:pPr>
        <w:pStyle w:val="officename"/>
        <w:rPr/>
      </w:pPr>
      <w:r>
        <w:rPr/>
        <w:t>ATLANTA</w:t>
        <w:tab/>
        <w:t>1 404 656 9500</w:t>
      </w:r>
    </w:p>
    <w:p>
      <w:pPr>
        <w:pStyle w:val="officename"/>
        <w:rPr/>
      </w:pPr>
      <w:r>
        <w:rPr/>
        <w:t>AUCKLAND</w:t>
        <w:tab/>
        <w:t>64 9 302 5500</w:t>
      </w:r>
    </w:p>
    <w:p>
      <w:pPr>
        <w:pStyle w:val="officename"/>
        <w:rPr/>
      </w:pPr>
      <w:r>
        <w:rPr/>
        <w:t>BALTIMORE</w:t>
        <w:tab/>
        <w:t>1 410 223 3000</w:t>
      </w:r>
    </w:p>
    <w:p>
      <w:pPr>
        <w:pStyle w:val="officename"/>
        <w:rPr/>
      </w:pPr>
      <w:r>
        <w:rPr/>
        <w:t>BEIJING</w:t>
        <w:tab/>
        <w:t>86 10 6410 6611</w:t>
      </w:r>
    </w:p>
    <w:p>
      <w:pPr>
        <w:pStyle w:val="officename"/>
        <w:rPr/>
      </w:pPr>
      <w:r>
        <w:rPr/>
        <w:t>BOSTON</w:t>
        <w:tab/>
        <w:t>1 617 556 5500</w:t>
      </w:r>
    </w:p>
    <w:p>
      <w:pPr>
        <w:pStyle w:val="officename"/>
        <w:rPr/>
      </w:pPr>
      <w:r>
        <w:rPr/>
        <w:t>BUDAPEST</w:t>
        <w:tab/>
        <w:t>36 1 202 2188</w:t>
      </w:r>
    </w:p>
    <w:p>
      <w:pPr>
        <w:pStyle w:val="officename"/>
        <w:rPr/>
      </w:pPr>
      <w:r>
        <w:rPr/>
        <w:t>BUENOS AIRES</w:t>
        <w:tab/>
        <w:t>54 11 4394 3100</w:t>
      </w:r>
    </w:p>
    <w:p>
      <w:pPr>
        <w:pStyle w:val="officename"/>
        <w:rPr/>
      </w:pPr>
      <w:r>
        <w:rPr/>
        <w:t>CHICAGO</w:t>
        <w:tab/>
        <w:t>1 312 750 3000</w:t>
      </w:r>
    </w:p>
    <w:p>
      <w:pPr>
        <w:pStyle w:val="officename"/>
        <w:rPr/>
      </w:pPr>
      <w:r>
        <w:rPr/>
        <w:t>FRANKFURT</w:t>
        <w:tab/>
        <w:t>49 69 75 38 0</w:t>
      </w:r>
    </w:p>
    <w:p>
      <w:pPr>
        <w:pStyle w:val="officename"/>
        <w:rPr/>
      </w:pPr>
      <w:r>
        <w:rPr/>
        <w:t>GENEVA</w:t>
        <w:tab/>
        <w:t>41 22 394 70 00</w:t>
      </w:r>
    </w:p>
    <w:p>
      <w:pPr>
        <w:pStyle w:val="officename"/>
        <w:rPr/>
      </w:pPr>
      <w:r>
        <w:rPr/>
        <w:t>HOUSTON</w:t>
        <w:tab/>
        <w:t>1 713 220 6700</w:t>
      </w:r>
    </w:p>
    <w:p>
      <w:pPr>
        <w:pStyle w:val="officename"/>
        <w:rPr/>
      </w:pPr>
      <w:r>
        <w:rPr/>
        <w:t>HONG KONG</w:t>
        <w:tab/>
        <w:t>852 2101 6000</w:t>
      </w:r>
    </w:p>
    <w:p>
      <w:pPr>
        <w:pStyle w:val="officename"/>
        <w:rPr/>
      </w:pPr>
      <w:r>
        <w:rPr/>
      </w:r>
    </w:p>
    <w:p>
      <w:pPr>
        <w:pStyle w:val="officename"/>
        <w:rPr/>
      </w:pPr>
      <w:r>
        <w:br w:type="column"/>
      </w:r>
      <w:r>
        <w:rPr/>
        <w:t>LONDON</w:t>
        <w:tab/>
        <w:t>44 20 7888 8888</w:t>
      </w:r>
    </w:p>
    <w:p>
      <w:pPr>
        <w:pStyle w:val="officename"/>
        <w:rPr/>
      </w:pPr>
      <w:r>
        <w:rPr/>
        <w:t>MADRID</w:t>
        <w:tab/>
        <w:t>34 91 423 16 00</w:t>
      </w:r>
    </w:p>
    <w:p>
      <w:pPr>
        <w:pStyle w:val="officename"/>
        <w:rPr/>
      </w:pPr>
      <w:r>
        <w:rPr/>
        <w:t>MELBOURNE</w:t>
        <w:tab/>
        <w:t>61 3 9280 1666</w:t>
      </w:r>
    </w:p>
    <w:p>
      <w:pPr>
        <w:pStyle w:val="officename"/>
        <w:rPr/>
      </w:pPr>
      <w:r>
        <w:rPr/>
        <w:t>MEXICO</w:t>
        <w:tab/>
        <w:t>52 5 283 89 00</w:t>
      </w:r>
    </w:p>
    <w:p>
      <w:pPr>
        <w:pStyle w:val="officename"/>
        <w:rPr/>
      </w:pPr>
      <w:r>
        <w:rPr/>
        <w:t>MILAN</w:t>
        <w:tab/>
        <w:t>39 02 7702 1</w:t>
      </w:r>
    </w:p>
    <w:p>
      <w:pPr>
        <w:pStyle w:val="officename"/>
        <w:rPr/>
      </w:pPr>
      <w:r>
        <w:rPr/>
        <w:t>MOSCOW</w:t>
        <w:tab/>
        <w:t>7 501 967 8200</w:t>
      </w:r>
    </w:p>
    <w:p>
      <w:pPr>
        <w:pStyle w:val="officename"/>
        <w:rPr/>
      </w:pPr>
      <w:r>
        <w:rPr/>
        <w:t>MUMBAI</w:t>
        <w:tab/>
        <w:t>91 22 230 6333</w:t>
      </w:r>
    </w:p>
    <w:p>
      <w:pPr>
        <w:pStyle w:val="officename"/>
        <w:rPr/>
      </w:pPr>
      <w:r>
        <w:rPr/>
        <w:t>NEW YORK</w:t>
        <w:tab/>
        <w:t>1 212 325 2000</w:t>
      </w:r>
    </w:p>
    <w:p>
      <w:pPr>
        <w:pStyle w:val="officename"/>
        <w:rPr/>
      </w:pPr>
      <w:r>
        <w:rPr/>
        <w:t>PALO ALTO</w:t>
        <w:tab/>
        <w:t>1 650 614 5000</w:t>
      </w:r>
    </w:p>
    <w:p>
      <w:pPr>
        <w:pStyle w:val="officename"/>
        <w:rPr/>
      </w:pPr>
      <w:r>
        <w:rPr/>
        <w:t>PARIS</w:t>
        <w:tab/>
        <w:t>33 1 40 76 8888</w:t>
      </w:r>
    </w:p>
    <w:p>
      <w:pPr>
        <w:pStyle w:val="officename"/>
        <w:rPr/>
      </w:pPr>
      <w:r>
        <w:rPr/>
        <w:t>PASADENA</w:t>
        <w:tab/>
        <w:t>1 626 395 5100</w:t>
      </w:r>
    </w:p>
    <w:p>
      <w:pPr>
        <w:pStyle w:val="officename"/>
        <w:rPr/>
      </w:pPr>
      <w:r>
        <w:rPr/>
        <w:t>PHILADELPHIA</w:t>
        <w:tab/>
        <w:t>1 215 851 1000</w:t>
      </w:r>
    </w:p>
    <w:p>
      <w:pPr>
        <w:pStyle w:val="officename"/>
        <w:rPr/>
      </w:pPr>
      <w:r>
        <w:rPr/>
        <w:t>PRAGUE</w:t>
        <w:tab/>
        <w:t>420 2 210 83111</w:t>
      </w:r>
    </w:p>
    <w:p>
      <w:pPr>
        <w:pStyle w:val="officename"/>
        <w:rPr/>
      </w:pPr>
      <w:r>
        <w:rPr/>
      </w:r>
    </w:p>
    <w:p>
      <w:pPr>
        <w:pStyle w:val="officename"/>
        <w:rPr/>
      </w:pPr>
      <w:r>
        <w:br w:type="column"/>
      </w:r>
      <w:r>
        <w:rPr/>
        <w:t>SAN FRANCISCO</w:t>
        <w:tab/>
        <w:t>1 415 836 7600</w:t>
      </w:r>
    </w:p>
    <w:p>
      <w:pPr>
        <w:pStyle w:val="officename"/>
        <w:rPr/>
      </w:pPr>
      <w:r>
        <w:rPr/>
        <w:t>SÃO PAULO</w:t>
        <w:tab/>
        <w:t>55 11 3841 6000</w:t>
      </w:r>
    </w:p>
    <w:p>
      <w:pPr>
        <w:pStyle w:val="officename"/>
        <w:rPr/>
      </w:pPr>
      <w:r>
        <w:rPr/>
        <w:t>SEOUL</w:t>
        <w:tab/>
        <w:t>82 2 3707 3700</w:t>
      </w:r>
    </w:p>
    <w:p>
      <w:pPr>
        <w:pStyle w:val="officename"/>
        <w:rPr/>
      </w:pPr>
      <w:r>
        <w:rPr/>
        <w:t>SHANGHAI</w:t>
        <w:tab/>
        <w:t>86 21 6881 8418</w:t>
      </w:r>
    </w:p>
    <w:p>
      <w:pPr>
        <w:pStyle w:val="officename"/>
        <w:rPr/>
      </w:pPr>
      <w:r>
        <w:rPr/>
        <w:t>SINGAPORE</w:t>
        <w:tab/>
        <w:t>65 538 6322</w:t>
      </w:r>
    </w:p>
    <w:p>
      <w:pPr>
        <w:pStyle w:val="officename"/>
        <w:rPr/>
      </w:pPr>
      <w:r>
        <w:rPr/>
        <w:t>SYDNEY</w:t>
        <w:tab/>
        <w:t>61 2 8205 4400</w:t>
      </w:r>
    </w:p>
    <w:p>
      <w:pPr>
        <w:pStyle w:val="officename"/>
        <w:rPr/>
      </w:pPr>
      <w:r>
        <w:rPr/>
        <w:t>TAIPEI</w:t>
        <w:tab/>
        <w:t>886 2 2715 6388</w:t>
      </w:r>
    </w:p>
    <w:p>
      <w:pPr>
        <w:pStyle w:val="officename"/>
        <w:rPr/>
      </w:pPr>
      <w:r>
        <w:rPr/>
        <w:t>TOKYO</w:t>
        <w:tab/>
        <w:t>81 3 5404 9000</w:t>
      </w:r>
    </w:p>
    <w:p>
      <w:pPr>
        <w:pStyle w:val="officename"/>
        <w:rPr/>
      </w:pPr>
      <w:r>
        <w:rPr/>
        <w:t>TORONTO</w:t>
        <w:tab/>
        <w:t>1 416 352 4500</w:t>
      </w:r>
    </w:p>
    <w:p>
      <w:pPr>
        <w:pStyle w:val="officename"/>
        <w:rPr/>
      </w:pPr>
      <w:r>
        <w:rPr/>
        <w:t>VIENNA</w:t>
        <w:tab/>
        <w:t>43 1 512 3023</w:t>
      </w:r>
    </w:p>
    <w:p>
      <w:pPr>
        <w:pStyle w:val="officename"/>
        <w:rPr/>
      </w:pPr>
      <w:r>
        <w:rPr/>
        <w:t>WARSAW</w:t>
        <w:tab/>
        <w:t>48 22 695 0050</w:t>
      </w:r>
    </w:p>
    <w:p>
      <w:pPr>
        <w:pStyle w:val="officename"/>
        <w:rPr/>
      </w:pPr>
      <w:r>
        <w:rPr/>
        <w:t>WELLINGTON</w:t>
        <w:tab/>
        <w:t>64 4 474 4400</w:t>
      </w:r>
    </w:p>
    <w:p>
      <w:pPr>
        <w:pStyle w:val="officename"/>
        <w:rPr/>
      </w:pPr>
      <w:r>
        <w:rPr/>
        <w:t>ZUG</w:t>
        <w:tab/>
        <w:t>41 41 727 97 00</w:t>
      </w:r>
    </w:p>
    <w:p>
      <w:pPr>
        <w:pStyle w:val="officename"/>
        <w:rPr/>
      </w:pPr>
      <w:r>
        <w:rPr/>
        <w:t>ZURICH</w:t>
        <w:tab/>
        <w:t>41 1 333 55 55</w:t>
      </w:r>
    </w:p>
    <w:p>
      <w:pPr>
        <w:pStyle w:val="Text"/>
        <w:spacing w:before="0" w:after="0"/>
        <w:rPr/>
      </w:pPr>
      <w:r>
        <w:rPr/>
      </w:r>
    </w:p>
    <w:p>
      <w:pPr>
        <w:sectPr>
          <w:headerReference w:type="default" r:id="rId45"/>
          <w:headerReference w:type="first" r:id="rId46"/>
          <w:footerReference w:type="default" r:id="rId47"/>
          <w:footerReference w:type="first" r:id="rId48"/>
          <w:type w:val="nextPage"/>
          <w:pgSz w:w="12240" w:h="15840"/>
          <w:pgMar w:left="1440" w:right="1195" w:gutter="0" w:header="547" w:top="1980" w:footer="675" w:bottom="1080"/>
          <w:pgNumType w:fmt="decimal"/>
          <w:cols w:num="3" w:space="708" w:equalWidth="true" w:sep="false"/>
          <w:formProt w:val="false"/>
          <w:textDirection w:val="lrTb"/>
          <w:docGrid w:type="default" w:linePitch="360" w:charSpace="0"/>
        </w:sectPr>
      </w:pPr>
    </w:p>
    <w:p>
      <w:pPr>
        <w:pStyle w:val="Disclaimer"/>
        <w:rPr/>
      </w:pPr>
      <w:r>
        <w:rPr/>
        <w:t>Copyright Credit Suisse First Boston, and its subsidiaries and affiliates, 2000.  All rights reserved.</w:t>
      </w:r>
    </w:p>
    <w:p>
      <w:pPr>
        <w:pStyle w:val="Disclaimer"/>
        <w:rPr/>
      </w:pPr>
      <w:r>
        <w:rPr/>
        <w:t>This report is</w:t>
      </w:r>
      <w:r>
        <w:rPr>
          <w:lang w:eastAsia="en-US"/>
        </w:rPr>
        <w:t xml:space="preserve"> not directed to, or intended for distribution to or use by, any person or entity who is a citizen or resident of or located in any locality, state, country or other jurisdiction where such distribution, publication, availability or use would be contrary to law or regulation or which would subject Credit Suisse First Boston or its subsidiaries or affiliates (collectively "CSFB") to any registration or licensing requirement within such jurisdiction. </w:t>
      </w:r>
      <w:r>
        <w:rPr/>
        <w:t xml:space="preserve">All material presented in this report, unless specifically indicated otherwise, is under copyright to CSFB. None of the material, nor its content, nor any copy of it, may be altered in any way, transmitted to, or distributed to any other party, without the prior express written permission of CSFB. All trademarks, service marks and logos used in this report are trademarks or service marks or registered trademarks or service marks of CSFB. </w:t>
      </w:r>
    </w:p>
    <w:p>
      <w:pPr>
        <w:pStyle w:val="Disclaimer"/>
        <w:rPr/>
      </w:pPr>
      <w:r>
        <w:rPr/>
        <w:t xml:space="preserve">The information, tools and material presented in this report are provided to you for information purposes only and are not to be used or considered as an offer or the solicitation of an offer to sell or to buy or subscribe for securities or other financial instruments. CSFB has not taken any steps to ensure that the securities referred to in this report are suitable for any particular investor. </w:t>
      </w:r>
    </w:p>
    <w:p>
      <w:pPr>
        <w:pStyle w:val="Disclaimer"/>
        <w:rPr/>
      </w:pPr>
      <w:r>
        <w:rPr/>
        <w:t>Information and opinions presented in this report have been obtained or derived from sources believed by CSFB to be reliable, but CSFB makes no representation as to their accuracy or completeness and CSFB accepts no liability for loss arising from the use of the material presented in this report where permitted by law and/or regulation. This report is not to be relied upon in substitution for the exercise of independent judgment. CSFB may have issued other reports that are inconsistent with, and reach different conclusions from, the information presented in this report. Those reports reflect the different assumptions, views and analytical methods of the analysts who prepared them.</w:t>
      </w:r>
      <w:r>
        <w:rPr>
          <w:lang w:eastAsia="en-US"/>
        </w:rPr>
        <w:t xml:space="preserve"> </w:t>
      </w:r>
    </w:p>
    <w:p>
      <w:pPr>
        <w:pStyle w:val="Disclaimer"/>
        <w:rPr/>
      </w:pPr>
      <w:r>
        <w:rPr/>
        <w:t>CSFB may, to the extent permitted by law, participate or invest in financing transactions with the issuer(s) of the securities referred to in this report, perform services for or solicit business from such issuers, and/or have a position or effect transactions in the securities or options thereon. In addition, it may make markets in the securities mentioned in the material presented in this report. CSFB may, to the extent permitted by law, act upon or use the information or opinions presented herein, or the research or analysis on which they are based, before the material is published. CSFB may have, within the last three years, served as manager or co-manager of a public offering of securities for, or currently may make a primary market in issues of, any or all of the companies mentioned in this report. Additional information is available on request</w:t>
      </w:r>
      <w:r>
        <w:rPr>
          <w:b/>
        </w:rPr>
        <w:t>.</w:t>
      </w:r>
    </w:p>
    <w:p>
      <w:pPr>
        <w:pStyle w:val="Disclaimer"/>
        <w:rPr/>
      </w:pPr>
      <w:r>
        <w:rPr/>
        <w:t>Past performance should not be taken as an indication or guarantee of future performance, and no representation or warranty, express or implied, is made regarding future performance. Information, opinions and estimates contained in this report reflect a judgment at its original date of publication by CSFB and are subject to change. The value and income of any of the securities or financial instruments mentioned in this report can fall as well as rise, and is subject to exchange rate fluctuation that may have a positive or adverse effect on the price or income of such securities or financial instruments. Investors in securities such as ADRs, the values of which are influenced by currency fluctuation, effectively assume this risk.</w:t>
      </w:r>
      <w:r>
        <w:rPr>
          <w:i/>
        </w:rPr>
        <w:t xml:space="preserve"> </w:t>
      </w:r>
    </w:p>
    <w:p>
      <w:pPr>
        <w:pStyle w:val="Disclaimer"/>
        <w:rPr/>
      </w:pPr>
      <w:r>
        <w:rPr/>
        <w:t>Structured securities are complex instruments, typically involve a high degree of risk and are intended for sale only to sophisticated investors who are capable of understanding and assuming the risks involved. The market value of any structured security may be affected by changes in economic, financial and political factors (including, but not limited to, spot and forward interest and exchange rates), time to maturity, market conditions and volatility, and the credit quality of any issuer or reference issuer. Any investor interested in purchasing a structured product should conduct its own investigation and analysis of the product and consult with its own professional advisers as to the risks involved in making such a purchase.</w:t>
      </w:r>
      <w:r>
        <w:rPr>
          <w:i/>
        </w:rPr>
        <w:t xml:space="preserve"> </w:t>
      </w:r>
    </w:p>
    <w:p>
      <w:pPr>
        <w:pStyle w:val="Disclaimer"/>
        <w:rPr/>
      </w:pPr>
      <w:r>
        <w:rPr/>
        <w:t xml:space="preserve">This report is distributed in Europe by Credit Suisse First Boston (Europe) Limited, which is regulated in the United Kingdom by </w:t>
      </w:r>
      <w:r>
        <w:rPr>
          <w:lang w:eastAsia="en-US"/>
        </w:rPr>
        <w:t>The Securities and Futures Authority (“SFA”).</w:t>
      </w:r>
      <w:r>
        <w:rPr/>
        <w:t xml:space="preserve"> It is not for distribution to private customers as defined by the rules of The SFA. This report is distributed in the United States by Credit Suisse First Boston Corporation; in Canada by Credit Suisse First Boston Securities Canada, Inc.; in Brazil by Banco de Investimentos Credit Suisse First Boston Garantia S.A.; in Japan by Credit Suisse First Boston Securities (Japan) Limited; elsewhere in Asia/Pacific by Credit Suisse First Boston (Hong Kong) Limited;. Credit Suisse First Boston Australia Equities Limited; Credit Suisse First Boston NZ Securities Limited, Credit Suisse First Boston Singapore Branch and elsewhere in the world by an authorized affiliate.</w:t>
      </w:r>
    </w:p>
    <w:p>
      <w:pPr>
        <w:pStyle w:val="Disclaimer"/>
        <w:rPr/>
      </w:pPr>
      <w:r>
        <w:rPr/>
        <w:t>I</w:t>
      </w:r>
      <w:r>
        <w:rPr>
          <w:lang w:eastAsia="en-US"/>
        </w:rPr>
        <w:t>n jurisdictions where CSFB is not already registered or licensed to trade in securities, transactions will only be effected in accordance with applicable securities legislation, which will vary from jurisdiction to jurisdiction and may require that the trade be made in accordance with applicable exemptions from registration or licensing requirements.</w:t>
      </w:r>
      <w:r>
        <w:rPr/>
        <w:t xml:space="preserve"> Non-U.S. customers wishing to effect a transaction should contact a CSFB entity in their local jurisdiction unless governing law permits otherwise. U.S. customers wishing to effect a transaction should do so only by contacting a representative at Credit Suisse First Boston Corporation in the U.S. </w:t>
      </w:r>
    </w:p>
    <w:p>
      <w:pPr>
        <w:sectPr>
          <w:type w:val="continuous"/>
          <w:pgSz w:w="12240" w:h="15840"/>
          <w:pgMar w:left="1440" w:right="1195" w:gutter="0" w:header="547" w:top="1980" w:footer="675" w:bottom="1080"/>
          <w:formProt w:val="false"/>
          <w:textDirection w:val="lrTb"/>
          <w:docGrid w:type="default" w:linePitch="360" w:charSpace="0"/>
        </w:sectPr>
      </w:pPr>
    </w:p>
    <w:p>
      <w:pPr>
        <w:pStyle w:val="Text"/>
        <w:spacing w:before="0" w:after="60"/>
        <w:jc w:val="both"/>
        <w:rPr/>
      </w:pPr>
      <w:r>
        <w:rPr/>
      </w:r>
    </w:p>
    <w:sectPr>
      <w:type w:val="continuous"/>
      <w:pgSz w:w="12240" w:h="15840"/>
      <w:pgMar w:left="1440" w:right="1195" w:gutter="0" w:header="547" w:top="1980" w:footer="675"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Bookshelf Symbol 3">
    <w:charset w:val="02"/>
    <w:family w:val="roman"/>
    <w:pitch w:val="variable"/>
  </w:font>
  <w:font w:name="Palatino">
    <w:charset w:val="00" w:characterSet="windows-1252"/>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before="0" w:after="120"/>
      <w:jc w:val="both"/>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Fonts w:eastAsia="Arial"/>
      </w:rPr>
      <w:t xml:space="preserve"> </w:t>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Fonts w:eastAsia="Arial"/>
      </w:rPr>
      <w:t xml:space="preserve"> </w:t>
    </w:r>
    <w:r>
      <w:rPr>
        <w:rStyle w:val="PageNumbe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Fonts w:eastAsia="Arial"/>
      </w:rPr>
      <w:t xml:space="preserve"> </w:t>
    </w:r>
    <w:r>
      <w:rPr>
        <w:rStyle w:val="PageNumber"/>
      </w:rPr>
      <w: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Fonts w:eastAsia="Arial"/>
      </w:rPr>
      <w:t xml:space="preserve"> </w:t>
    </w:r>
    <w:r>
      <w:rPr>
        <w:rStyle w:val="PageNumber"/>
      </w:rPr>
      <w: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w:instrText>
    </w:r>
    <w:r>
      <w:rPr>
        <w:sz w:val="18"/>
        <w:rFonts w:cs="Arial Narrow" w:ascii="Arial Narrow" w:hAnsi="Arial Narrow"/>
      </w:rPr>
      <w:fldChar w:fldCharType="separate"/>
    </w:r>
    <w:r>
      <w:rPr>
        <w:sz w:val="18"/>
        <w:rFonts w:cs="Arial Narrow" w:ascii="Arial Narrow" w:hAnsi="Arial Narrow"/>
      </w:rPr>
      <w:t>IPW050701a.doc</w:t>
    </w:r>
    <w:r>
      <w:rPr>
        <w:sz w:val="18"/>
        <w:rFonts w:cs="Arial Narrow" w:ascii="Arial Narrow" w:hAnsi="Arial Narrow"/>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9" w:color="000000"/>
      </w:pBd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Fonts w:eastAsia="Arial"/>
      </w:rPr>
      <w:t xml:space="preserve"> </w:t>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Fonts w:eastAsia="Arial"/>
      </w:rPr>
      <w:t xml:space="preserve"> </w:t>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Fonts w:eastAsia="Arial"/>
      </w:rPr>
      <w:t xml:space="preserve"> </w:t>
    </w:r>
    <w:r>
      <w:rPr>
        <w:rStyle w:val="PageNumbe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Fonts w:eastAsia="Arial"/>
      </w:rPr>
      <w:t xml:space="preserve"> </w:t>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ogoEvenPg"/>
      <w:pBdr>
        <w:bottom w:val="single" w:sz="6" w:space="3" w:color="000000"/>
      </w:pBdr>
      <w:tabs>
        <w:tab w:val="clear" w:pos="4680"/>
        <w:tab w:val="right" w:pos="7200" w:leader="none"/>
      </w:tabs>
      <w:spacing w:before="60" w:after="0"/>
      <w:rPr/>
    </w:pPr>
    <w:r>
      <w:rPr/>
      <w:tab/>
    </w:r>
    <w:r>
      <w:rPr/>
      <w:drawing>
        <wp:inline distT="0" distB="0" distL="0" distR="0">
          <wp:extent cx="1005840" cy="304165"/>
          <wp:effectExtent l="0" t="0" r="0" b="0"/>
          <wp:docPr id="2"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5" descr="" title=""/>
                  <pic:cNvPicPr>
                    <a:picLocks noChangeAspect="1" noChangeArrowheads="1"/>
                  </pic:cNvPicPr>
                </pic:nvPicPr>
                <pic:blipFill>
                  <a:blip r:embed="rId1"/>
                  <a:stretch>
                    <a:fillRect/>
                  </a:stretch>
                </pic:blipFill>
                <pic:spPr bwMode="auto">
                  <a:xfrm>
                    <a:off x="0" y="0"/>
                    <a:ext cx="1005840" cy="304165"/>
                  </a:xfrm>
                  <a:prstGeom prst="rect">
                    <a:avLst/>
                  </a:prstGeom>
                </pic:spPr>
              </pic:pic>
            </a:graphicData>
          </a:graphic>
        </wp:inline>
      </w:drawing>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Independent Power Weekly</w:t>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0" w:after="0"/>
      <w:rPr/>
    </w:pPr>
    <w:r>
      <w:rPr/>
      <w:drawing>
        <wp:inline distT="0" distB="0" distL="0" distR="0">
          <wp:extent cx="1799590" cy="640080"/>
          <wp:effectExtent l="0" t="0" r="0" b="0"/>
          <wp:docPr id="1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title=""/>
                  <pic:cNvPicPr>
                    <a:picLocks noChangeAspect="1" noChangeArrowheads="1"/>
                  </pic:cNvPicPr>
                </pic:nvPicPr>
                <pic:blipFill>
                  <a:blip r:embed="rId1"/>
                  <a:srcRect l="3760" t="-57" r="-19" b="-340"/>
                  <a:stretch>
                    <a:fillRect/>
                  </a:stretch>
                </pic:blipFill>
                <pic:spPr bwMode="auto">
                  <a:xfrm>
                    <a:off x="0" y="0"/>
                    <a:ext cx="1799590" cy="640080"/>
                  </a:xfrm>
                  <a:prstGeom prst="rect">
                    <a:avLst/>
                  </a:prstGeom>
                  <a:noFill/>
                </pic:spPr>
              </pic:pic>
            </a:graphicData>
          </a:graphic>
        </wp:inline>
      </w:drawing>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16"/>
      </w:rPr>
    </w:lvl>
  </w:abstractNum>
  <w:abstractNum w:abstractNumId="4">
    <w:lvl w:ilvl="0">
      <w:start w:val="1"/>
      <w:numFmt w:val="bullet"/>
      <w:lvlText w:val="·"/>
      <w:lvlJc w:val="start"/>
      <w:pPr>
        <w:tabs>
          <w:tab w:val="num" w:pos="0"/>
        </w:tabs>
        <w:ind w:start="0" w:hanging="0"/>
      </w:pPr>
      <w:rPr>
        <w:rFonts w:ascii="Symbol" w:hAnsi="Symbol" w:cs="Symbol" w:hint="default"/>
      </w:rPr>
    </w:lvl>
  </w:abstractNum>
  <w:abstractNum w:abstractNumId="5">
    <w:lvl w:ilvl="0">
      <w:start w:val="1"/>
      <w:numFmt w:val="decimal"/>
      <w:lvlText w:val="%1."/>
      <w:lvlJc w:val="start"/>
      <w:pPr>
        <w:tabs>
          <w:tab w:val="num" w:pos="360"/>
        </w:tabs>
        <w:ind w:start="360" w:hanging="360"/>
      </w:pPr>
      <w:rPr>
        <w:sz w:val="18"/>
        <w:i w:val="false"/>
        <w:b/>
        <w:rFonts w:ascii="Arial Narrow" w:hAnsi="Arial Narrow" w:cs="Arial Narrow"/>
      </w:rPr>
    </w:lvl>
  </w:abstractNum>
  <w:abstractNum w:abstractNumId="6">
    <w:lvl w:ilvl="0">
      <w:start w:val="1"/>
      <w:numFmt w:val="decimal"/>
      <w:lvlText w:val="%1)"/>
      <w:lvlJc w:val="start"/>
      <w:pPr>
        <w:tabs>
          <w:tab w:val="num" w:pos="360"/>
        </w:tabs>
        <w:ind w:start="0" w:hanging="0"/>
      </w:pPr>
    </w:lvl>
    <w:lvl w:ilvl="1">
      <w:start w:val="1"/>
      <w:numFmt w:val="lowerLetter"/>
      <w:lvlText w:val="%2)"/>
      <w:lvlJc w:val="start"/>
      <w:pPr>
        <w:tabs>
          <w:tab w:val="num" w:pos="720"/>
        </w:tabs>
        <w:ind w:start="720" w:hanging="360"/>
      </w:pPr>
      <w:rPr>
        <w:i w:val="fals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360"/>
        </w:tabs>
        <w:ind w:start="216" w:hanging="216"/>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bullet"/>
      <w:lvlText w:val=""/>
      <w:lvlJc w:val="start"/>
      <w:pPr>
        <w:tabs>
          <w:tab w:val="num" w:pos="360"/>
        </w:tabs>
        <w:ind w:start="360" w:hanging="360"/>
      </w:pPr>
      <w:rPr>
        <w:rFonts w:ascii="Symbol" w:hAnsi="Symbol" w:cs="Symbol" w:hint="default"/>
        <w:sz w:val="16"/>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sz w:val="16"/>
      </w:rPr>
    </w:lvl>
  </w:abstractNum>
  <w:abstractNum w:abstractNumId="10">
    <w:lvl w:ilvl="0">
      <w:numFmt w:val="bullet"/>
      <w:lvlText w:val=""/>
      <w:lvlJc w:val="start"/>
      <w:pPr>
        <w:tabs>
          <w:tab w:val="num" w:pos="360"/>
        </w:tabs>
        <w:ind w:start="360" w:hanging="360"/>
      </w:pPr>
      <w:rPr>
        <w:rFonts w:ascii="Bookshelf Symbol 3" w:hAnsi="Bookshelf Symbol 3" w:cs="Bookshelf Symbol 3"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spacing w:before="0" w:after="120"/>
      <w:jc w:val="both"/>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320"/>
      <w:jc w:val="start"/>
      <w:outlineLvl w:val="0"/>
    </w:pPr>
    <w:rPr>
      <w:rFonts w:ascii="Helvetica" w:hAnsi="Helvetica" w:cs="Helvetica"/>
      <w:b/>
      <w:caps/>
      <w:kern w:val="2"/>
      <w:sz w:val="24"/>
    </w:rPr>
  </w:style>
  <w:style w:type="paragraph" w:styleId="Heading2">
    <w:name w:val="heading 2"/>
    <w:basedOn w:val="Normal"/>
    <w:next w:val="Normal"/>
    <w:qFormat/>
    <w:pPr>
      <w:keepNext w:val="true"/>
      <w:numPr>
        <w:ilvl w:val="1"/>
        <w:numId w:val="1"/>
      </w:numPr>
      <w:spacing w:before="10" w:after="120"/>
      <w:jc w:val="start"/>
      <w:outlineLvl w:val="1"/>
    </w:pPr>
    <w:rPr>
      <w:rFonts w:ascii="Arial Narrow" w:hAnsi="Arial Narrow" w:cs="Arial Narrow"/>
      <w:b/>
    </w:rPr>
  </w:style>
  <w:style w:type="paragraph" w:styleId="Heading3">
    <w:name w:val="heading 3"/>
    <w:basedOn w:val="Normal"/>
    <w:next w:val="Normal"/>
    <w:qFormat/>
    <w:pPr>
      <w:keepNext w:val="true"/>
      <w:numPr>
        <w:ilvl w:val="2"/>
        <w:numId w:val="1"/>
      </w:numPr>
      <w:jc w:val="center"/>
      <w:outlineLvl w:val="2"/>
    </w:pPr>
    <w:rPr>
      <w:sz w:val="22"/>
    </w:rPr>
  </w:style>
  <w:style w:type="paragraph" w:styleId="Heading4">
    <w:name w:val="heading 4"/>
    <w:basedOn w:val="Normal"/>
    <w:next w:val="Normal"/>
    <w:qFormat/>
    <w:pPr>
      <w:keepNext w:val="true"/>
      <w:numPr>
        <w:ilvl w:val="3"/>
        <w:numId w:val="1"/>
      </w:numPr>
      <w:spacing w:before="0" w:after="360"/>
      <w:outlineLvl w:val="3"/>
    </w:pPr>
    <w:rPr>
      <w:sz w:val="24"/>
    </w:rPr>
  </w:style>
  <w:style w:type="paragraph" w:styleId="Heading5">
    <w:name w:val="heading 5"/>
    <w:basedOn w:val="Normal"/>
    <w:next w:val="Normal"/>
    <w:qFormat/>
    <w:pPr>
      <w:keepNext w:val="true"/>
      <w:numPr>
        <w:ilvl w:val="4"/>
        <w:numId w:val="1"/>
      </w:numPr>
      <w:spacing w:before="60" w:after="0"/>
      <w:ind w:hanging="0" w:start="86" w:end="0"/>
      <w:jc w:val="start"/>
      <w:outlineLvl w:val="4"/>
    </w:pPr>
    <w:rPr>
      <w:b/>
    </w:rPr>
  </w:style>
  <w:style w:type="paragraph" w:styleId="Heading6">
    <w:name w:val="heading 6"/>
    <w:basedOn w:val="Normal"/>
    <w:next w:val="Normal"/>
    <w:qFormat/>
    <w:pPr>
      <w:keepNext w:val="true"/>
      <w:numPr>
        <w:ilvl w:val="5"/>
        <w:numId w:val="1"/>
      </w:numPr>
      <w:spacing w:before="60" w:after="0"/>
      <w:ind w:hanging="0" w:start="86" w:end="0"/>
      <w:jc w:val="start"/>
      <w:outlineLvl w:val="5"/>
    </w:pPr>
    <w:rPr>
      <w:b/>
    </w:rPr>
  </w:style>
  <w:style w:type="paragraph" w:styleId="Heading7">
    <w:name w:val="heading 7"/>
    <w:basedOn w:val="Normal"/>
    <w:next w:val="Normal"/>
    <w:qFormat/>
    <w:pPr>
      <w:keepNext w:val="true"/>
      <w:numPr>
        <w:ilvl w:val="6"/>
        <w:numId w:val="1"/>
      </w:numPr>
      <w:spacing w:before="120" w:after="120"/>
      <w:outlineLvl w:val="6"/>
    </w:pPr>
    <w:rPr>
      <w:rFonts w:ascii="Arial Narrow" w:hAnsi="Arial Narrow" w:cs="Arial Narrow"/>
      <w:b/>
      <w:color w:val="000000"/>
      <w:sz w:val="22"/>
    </w:rPr>
  </w:style>
  <w:style w:type="paragraph" w:styleId="Heading8">
    <w:name w:val="heading 8"/>
    <w:basedOn w:val="Normal"/>
    <w:next w:val="Normal"/>
    <w:qFormat/>
    <w:pPr>
      <w:keepNext w:val="true"/>
      <w:numPr>
        <w:ilvl w:val="7"/>
        <w:numId w:val="1"/>
      </w:numPr>
      <w:spacing w:before="120" w:after="0"/>
      <w:outlineLvl w:val="7"/>
    </w:pPr>
    <w:rPr>
      <w:b/>
    </w:rPr>
  </w:style>
  <w:style w:type="paragraph" w:styleId="Heading9">
    <w:name w:val="heading 9"/>
    <w:basedOn w:val="Normal"/>
    <w:next w:val="Normal"/>
    <w:qFormat/>
    <w:pPr>
      <w:keepNext w:val="true"/>
      <w:numPr>
        <w:ilvl w:val="8"/>
        <w:numId w:val="1"/>
      </w:numPr>
      <w:outlineLvl w:val="8"/>
    </w:pPr>
    <w:rPr>
      <w:b/>
      <w:i/>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sz w:val="16"/>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color w:val="auto"/>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sz w:val="16"/>
    </w:rPr>
  </w:style>
  <w:style w:type="character" w:styleId="WW8Num27z0">
    <w:name w:val="WW8Num27z0"/>
    <w:qFormat/>
    <w:rPr>
      <w:rFonts w:ascii="Symbol" w:hAnsi="Symbol" w:cs="Symbol"/>
      <w:sz w:val="16"/>
    </w:rPr>
  </w:style>
  <w:style w:type="character" w:styleId="WW8Num28z0">
    <w:name w:val="WW8Num28z0"/>
    <w:qFormat/>
    <w:rPr>
      <w:rFonts w:ascii="Symbol" w:hAnsi="Symbol" w:cs="Symbol"/>
      <w:sz w:val="16"/>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sz w:val="16"/>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sz w:val="16"/>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sz w:val="22"/>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sz w:val="16"/>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sz w:val="16"/>
    </w:rPr>
  </w:style>
  <w:style w:type="character" w:styleId="WW8Num76z0">
    <w:name w:val="WW8Num76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b/>
      <w:i w:val="false"/>
      <w:color w:val="FFFFFF"/>
      <w:sz w:val="32"/>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Arial Narrow" w:hAnsi="Arial Narrow" w:cs="Arial Narrow"/>
      <w:b/>
      <w:i w:val="false"/>
      <w:sz w:val="18"/>
    </w:rPr>
  </w:style>
  <w:style w:type="character" w:styleId="WW8Num89z0">
    <w:name w:val="WW8Num89z0"/>
    <w:qFormat/>
    <w:rPr>
      <w:rFonts w:ascii="Symbol" w:hAnsi="Symbol" w:cs="Symbol"/>
    </w:rPr>
  </w:style>
  <w:style w:type="character" w:styleId="WW8Num90z0">
    <w:name w:val="WW8Num90z0"/>
    <w:qFormat/>
    <w:rPr>
      <w:rFonts w:ascii="Wingdings" w:hAnsi="Wingdings" w:cs="Wingdings"/>
    </w:rPr>
  </w:style>
  <w:style w:type="character" w:styleId="WW8Num92z0">
    <w:name w:val="WW8Num92z0"/>
    <w:qFormat/>
    <w:rPr>
      <w:rFonts w:ascii="Symbol" w:hAnsi="Symbol" w:cs="Symbol"/>
      <w:sz w:val="16"/>
    </w:rPr>
  </w:style>
  <w:style w:type="character" w:styleId="WW8Num94z0">
    <w:name w:val="WW8Num94z0"/>
    <w:qFormat/>
    <w:rPr>
      <w:rFonts w:ascii="Symbol" w:hAnsi="Symbol" w:cs="Symbol"/>
      <w:color w:val="auto"/>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sz w:val="22"/>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b w:val="false"/>
      <w:i w:val="false"/>
    </w:rPr>
  </w:style>
  <w:style w:type="character" w:styleId="WW8Num111z0">
    <w:name w:val="WW8Num111z0"/>
    <w:qFormat/>
    <w:rPr>
      <w:rFonts w:ascii="Symbol" w:hAnsi="Symbol" w:cs="Symbol"/>
    </w:rPr>
  </w:style>
  <w:style w:type="character" w:styleId="WW8Num113z0">
    <w:name w:val="WW8Num113z0"/>
    <w:qFormat/>
    <w:rPr>
      <w:rFonts w:ascii="Symbol" w:hAnsi="Symbol" w:cs="Symbol"/>
    </w:rPr>
  </w:style>
  <w:style w:type="character" w:styleId="WW8Num115z0">
    <w:name w:val="WW8Num115z0"/>
    <w:qFormat/>
    <w:rPr>
      <w:b/>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22z0">
    <w:name w:val="WW8Num122z0"/>
    <w:qFormat/>
    <w:rPr>
      <w:rFonts w:ascii="Symbol" w:hAnsi="Symbol" w:cs="Symbol"/>
      <w:sz w:val="16"/>
    </w:rPr>
  </w:style>
  <w:style w:type="character" w:styleId="WW8Num123z0">
    <w:name w:val="WW8Num123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sz w:val="22"/>
    </w:rPr>
  </w:style>
  <w:style w:type="character" w:styleId="WW8Num138z0">
    <w:name w:val="WW8Num138z0"/>
    <w:qFormat/>
    <w:rPr>
      <w:rFonts w:ascii="Symbol" w:hAnsi="Symbol" w:cs="Symbol"/>
      <w:sz w:val="16"/>
    </w:rPr>
  </w:style>
  <w:style w:type="character" w:styleId="WW8Num139z0">
    <w:name w:val="WW8Num139z0"/>
    <w:qFormat/>
    <w:rPr>
      <w:rFonts w:ascii="Symbol" w:hAnsi="Symbol" w:cs="Symbol"/>
      <w:sz w:val="16"/>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16"/>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style>
  <w:style w:type="character" w:styleId="WW8Num155z0">
    <w:name w:val="WW8Num155z0"/>
    <w:qFormat/>
    <w:rPr>
      <w:b/>
      <w:i w:val="false"/>
      <w:color w:val="FFFFFF"/>
      <w:sz w:val="32"/>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b/>
      <w:i w:val="false"/>
      <w:color w:val="FFFFFF"/>
      <w:sz w:val="32"/>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b/>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style>
  <w:style w:type="character" w:styleId="WW8Num175z0">
    <w:name w:val="WW8Num175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1">
    <w:name w:val="WW8Num179z1"/>
    <w:qFormat/>
    <w:rPr>
      <w:b w:val="false"/>
      <w:i w:val="false"/>
    </w:rPr>
  </w:style>
  <w:style w:type="character" w:styleId="WW8Num182z0">
    <w:name w:val="WW8Num182z0"/>
    <w:qFormat/>
    <w:rPr>
      <w:rFonts w:ascii="Symbol" w:hAnsi="Symbol" w:cs="Symbol"/>
    </w:rPr>
  </w:style>
  <w:style w:type="character" w:styleId="WW8Num183z0">
    <w:name w:val="WW8Num183z0"/>
    <w:qFormat/>
    <w:rPr>
      <w:rFonts w:ascii="Symbol" w:hAnsi="Symbol" w:cs="Symbol"/>
      <w:sz w:val="16"/>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sz w:val="16"/>
    </w:rPr>
  </w:style>
  <w:style w:type="character" w:styleId="WW8Num188z0">
    <w:name w:val="WW8Num188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3z1">
    <w:name w:val="WW8Num193z1"/>
    <w:qFormat/>
    <w:rPr>
      <w:b w:val="false"/>
      <w:i w:val="false"/>
    </w:rPr>
  </w:style>
  <w:style w:type="character" w:styleId="WW8Num194z0">
    <w:name w:val="WW8Num194z0"/>
    <w:qFormat/>
    <w:rPr>
      <w:rFonts w:ascii="Symbol" w:hAnsi="Symbol" w:cs="Symbol"/>
    </w:rPr>
  </w:style>
  <w:style w:type="character" w:styleId="WW8Num195z0">
    <w:name w:val="WW8Num195z0"/>
    <w:qFormat/>
    <w:rPr>
      <w:b/>
      <w:i w:val="false"/>
      <w:color w:val="FFFFFF"/>
      <w:sz w:val="32"/>
    </w:rPr>
  </w:style>
  <w:style w:type="character" w:styleId="WW8Num196z0">
    <w:name w:val="WW8Num196z0"/>
    <w:qFormat/>
    <w:rPr>
      <w:rFonts w:ascii="Symbol" w:hAnsi="Symbol" w:cs="Symbol"/>
    </w:rPr>
  </w:style>
  <w:style w:type="character" w:styleId="WW8Num197z0">
    <w:name w:val="WW8Num197z0"/>
    <w:qFormat/>
    <w:rPr/>
  </w:style>
  <w:style w:type="character" w:styleId="WW8Num198z0">
    <w:name w:val="WW8Num198z0"/>
    <w:qFormat/>
    <w:rPr>
      <w:rFonts w:ascii="Symbol" w:hAnsi="Symbol" w:cs="Symbol"/>
      <w:sz w:val="16"/>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rFonts w:ascii="Symbol" w:hAnsi="Symbol" w:cs="Symbol"/>
      <w:sz w:val="16"/>
    </w:rPr>
  </w:style>
  <w:style w:type="character" w:styleId="WW8Num202z0">
    <w:name w:val="WW8Num202z0"/>
    <w:qFormat/>
    <w:rPr>
      <w:rFonts w:ascii="Symbol" w:hAnsi="Symbol" w:cs="Symbol"/>
    </w:rPr>
  </w:style>
  <w:style w:type="character" w:styleId="WW8Num203z0">
    <w:name w:val="WW8Num203z0"/>
    <w:qFormat/>
    <w:rPr>
      <w:rFonts w:ascii="Times New Roman" w:hAnsi="Times New Roman" w:cs="Times New Roman"/>
    </w:rPr>
  </w:style>
  <w:style w:type="character" w:styleId="WW8Num204z0">
    <w:name w:val="WW8Num204z0"/>
    <w:qFormat/>
    <w:rPr>
      <w:rFonts w:ascii="Symbol" w:hAnsi="Symbol" w:cs="Symbol"/>
    </w:rPr>
  </w:style>
  <w:style w:type="character" w:styleId="WW8Num205z0">
    <w:name w:val="WW8Num205z0"/>
    <w:qFormat/>
    <w:rPr>
      <w:rFonts w:ascii="Wingdings" w:hAnsi="Wingdings" w:cs="Wingdings"/>
    </w:rPr>
  </w:style>
  <w:style w:type="character" w:styleId="WW8Num205z1">
    <w:name w:val="WW8Num205z1"/>
    <w:qFormat/>
    <w:rPr>
      <w:rFonts w:ascii="Courier New" w:hAnsi="Courier New" w:cs="Courier New"/>
    </w:rPr>
  </w:style>
  <w:style w:type="character" w:styleId="WW8Num205z3">
    <w:name w:val="WW8Num205z3"/>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10z0">
    <w:name w:val="WW8Num210z0"/>
    <w:qFormat/>
    <w:rPr>
      <w:rFonts w:ascii="Symbol" w:hAnsi="Symbol" w:cs="Symbol"/>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1z0">
    <w:name w:val="WW8Num221z0"/>
    <w:qFormat/>
    <w:rPr>
      <w:rFonts w:ascii="Symbol" w:hAnsi="Symbol" w:cs="Symbol"/>
      <w:sz w:val="16"/>
    </w:rPr>
  </w:style>
  <w:style w:type="character" w:styleId="WW8Num222z0">
    <w:name w:val="WW8Num222z0"/>
    <w:qFormat/>
    <w:rPr>
      <w:rFonts w:ascii="Symbol" w:hAnsi="Symbol" w:cs="Symbol"/>
    </w:rPr>
  </w:style>
  <w:style w:type="character" w:styleId="WW8Num223z0">
    <w:name w:val="WW8Num223z0"/>
    <w:qFormat/>
    <w:rPr>
      <w:b/>
      <w:i w:val="false"/>
      <w:color w:val="FFFFFF"/>
      <w:sz w:val="32"/>
    </w:rPr>
  </w:style>
  <w:style w:type="character" w:styleId="WW8Num224z0">
    <w:name w:val="WW8Num224z0"/>
    <w:qFormat/>
    <w:rPr>
      <w:rFonts w:ascii="Symbol" w:hAnsi="Symbol" w:cs="Symbol"/>
    </w:rPr>
  </w:style>
  <w:style w:type="character" w:styleId="WW8Num225z0">
    <w:name w:val="WW8Num225z0"/>
    <w:qFormat/>
    <w:rPr>
      <w:rFonts w:ascii="Symbol" w:hAnsi="Symbol" w:cs="Symbol"/>
      <w:sz w:val="16"/>
    </w:rPr>
  </w:style>
  <w:style w:type="character" w:styleId="WW8Num226z0">
    <w:name w:val="WW8Num226z0"/>
    <w:qFormat/>
    <w:rPr>
      <w:rFonts w:ascii="Symbol" w:hAnsi="Symbol" w:cs="Symbol"/>
    </w:rPr>
  </w:style>
  <w:style w:type="character" w:styleId="WW8Num227z0">
    <w:name w:val="WW8Num227z0"/>
    <w:qFormat/>
    <w:rPr>
      <w:rFonts w:ascii="Symbol" w:hAnsi="Symbol" w:cs="Symbol"/>
      <w:color w:val="auto"/>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3z0">
    <w:name w:val="WW8Num233z0"/>
    <w:qFormat/>
    <w:rPr>
      <w:rFonts w:ascii="Symbol" w:hAnsi="Symbol" w:cs="Symbol"/>
      <w:sz w:val="16"/>
    </w:rPr>
  </w:style>
  <w:style w:type="character" w:styleId="WW8Num235z0">
    <w:name w:val="WW8Num235z0"/>
    <w:qFormat/>
    <w:rPr>
      <w:rFonts w:ascii="Symbol" w:hAnsi="Symbol" w:cs="Symbol"/>
      <w:color w:val="auto"/>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rFonts w:ascii="Times New Roman" w:hAnsi="Times New Roman" w:cs="Times New Roman"/>
    </w:rPr>
  </w:style>
  <w:style w:type="character" w:styleId="WW8Num244z0">
    <w:name w:val="WW8Num244z0"/>
    <w:qFormat/>
    <w:rPr>
      <w:rFonts w:ascii="Symbol" w:hAnsi="Symbol" w:cs="Symbol"/>
    </w:rPr>
  </w:style>
  <w:style w:type="character" w:styleId="WW8Num245z0">
    <w:name w:val="WW8Num245z0"/>
    <w:qFormat/>
    <w:rPr>
      <w:rFonts w:ascii="Wingdings" w:hAnsi="Wingdings" w:cs="Wingdings"/>
      <w:sz w:val="22"/>
    </w:rPr>
  </w:style>
  <w:style w:type="character" w:styleId="WW8Num246z0">
    <w:name w:val="WW8Num246z0"/>
    <w:qFormat/>
    <w:rPr>
      <w:rFonts w:ascii="Symbol" w:hAnsi="Symbol" w:cs="Symbol"/>
      <w:color w:val="auto"/>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sz w:val="16"/>
    </w:rPr>
  </w:style>
  <w:style w:type="character" w:styleId="WW8Num251z0">
    <w:name w:val="WW8Num251z0"/>
    <w:qFormat/>
    <w:rPr/>
  </w:style>
  <w:style w:type="character" w:styleId="WW8Num252z0">
    <w:name w:val="WW8Num252z0"/>
    <w:qFormat/>
    <w:rPr>
      <w:b/>
      <w:i w:val="false"/>
    </w:rPr>
  </w:style>
  <w:style w:type="character" w:styleId="WW8NumSt57z0">
    <w:name w:val="WW8NumSt57z0"/>
    <w:qFormat/>
    <w:rPr>
      <w:rFonts w:ascii="Bookshelf Symbol 3" w:hAnsi="Bookshelf Symbol 3" w:cs="Bookshelf Symbol 3"/>
    </w:rPr>
  </w:style>
  <w:style w:type="character" w:styleId="WW8NumSt115z0">
    <w:name w:val="WW8NumSt115z0"/>
    <w:qFormat/>
    <w:rPr>
      <w:rFonts w:ascii="Symbol" w:hAnsi="Symbol" w:cs="Symbol"/>
    </w:rPr>
  </w:style>
  <w:style w:type="character" w:styleId="WW8NumSt204z0">
    <w:name w:val="WW8NumSt204z0"/>
    <w:qFormat/>
    <w:rPr>
      <w:rFonts w:ascii="Symbol" w:hAnsi="Symbol" w:cs="Symbol"/>
    </w:rPr>
  </w:style>
  <w:style w:type="character" w:styleId="WW8NumSt221z0">
    <w:name w:val="WW8NumSt221z0"/>
    <w:qFormat/>
    <w:rPr>
      <w:rFonts w:ascii="Symbol" w:hAnsi="Symbol" w:cs="Symbol"/>
    </w:rPr>
  </w:style>
  <w:style w:type="character" w:styleId="DefaultParagraphFont">
    <w:name w:val="Default Paragraph Font"/>
    <w:qFormat/>
    <w:rPr/>
  </w:style>
  <w:style w:type="character" w:styleId="Head4">
    <w:name w:val="Head4"/>
    <w:basedOn w:val="DefaultParagraphFont"/>
    <w:qFormat/>
    <w:rPr>
      <w:rFonts w:ascii="Arial" w:hAnsi="Arial" w:cs="Arial"/>
      <w:b/>
      <w:sz w:val="20"/>
      <w:lang w:val="en-US"/>
    </w:rPr>
  </w:style>
  <w:style w:type="character" w:styleId="Location">
    <w:name w:val="Location"/>
    <w:qFormat/>
    <w:rPr>
      <w:sz w:val="16"/>
      <w:lang w:val="en-US"/>
    </w:rPr>
  </w:style>
  <w:style w:type="character" w:styleId="Marker">
    <w:name w:val="Marker"/>
    <w:basedOn w:val="DefaultParagraphFont"/>
    <w:qFormat/>
    <w:rPr>
      <w:rFonts w:ascii="Arial" w:hAnsi="Arial" w:cs="Arial"/>
      <w:b/>
      <w:caps/>
      <w:vanish/>
      <w:color w:val="FF0000"/>
      <w:sz w:val="16"/>
      <w:lang w:val="en-US"/>
    </w:rPr>
  </w:style>
  <w:style w:type="character" w:styleId="PageNumber">
    <w:name w:val="page number"/>
    <w:basedOn w:val="DefaultParagraphFont"/>
    <w:rPr/>
  </w:style>
  <w:style w:type="character" w:styleId="DataBoxDate">
    <w:name w:val="DataBoxDate"/>
    <w:basedOn w:val="DefaultParagraphFont"/>
    <w:qFormat/>
    <w:rPr>
      <w:rFonts w:ascii="Arial Narrow" w:hAnsi="Arial Narrow" w:cs="Arial Narrow"/>
      <w:b/>
      <w:sz w:val="18"/>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Arrow">
    <w:name w:val="Arrow"/>
    <w:basedOn w:val="DefaultParagraphFont"/>
    <w:qFormat/>
    <w:rPr>
      <w:rFonts w:ascii="Arial" w:hAnsi="Arial" w:cs="Arial"/>
      <w:b/>
      <w:sz w:val="28"/>
      <w:lang w:val="en-US"/>
    </w:rPr>
  </w:style>
  <w:style w:type="paragraph" w:styleId="Heading">
    <w:name w:val="Heading"/>
    <w:basedOn w:val="Normal"/>
    <w:next w:val="BodyText"/>
    <w:qFormat/>
    <w:pPr>
      <w:spacing w:before="0" w:after="0"/>
      <w:jc w:val="center"/>
    </w:pPr>
    <w:rPr>
      <w:b/>
      <w:sz w:val="24"/>
    </w:rPr>
  </w:style>
  <w:style w:type="paragraph" w:styleId="BodyText">
    <w:name w:val="Body Text"/>
    <w:basedOn w:val="Normal"/>
    <w:pPr>
      <w:jc w:val="start"/>
    </w:pPr>
    <w:rPr>
      <w:rFonts w:ascii="Arial Narrow" w:hAnsi="Arial Narrow" w:cs="Arial Narrow"/>
      <w:color w:val="000000"/>
      <w:sz w:val="22"/>
    </w:rPr>
  </w:style>
  <w:style w:type="paragraph" w:styleId="List">
    <w:name w:val="List"/>
    <w:basedOn w:val="Normal"/>
    <w:pPr>
      <w:spacing w:before="0" w:after="0"/>
      <w:ind w:hanging="360" w:start="360" w:end="0"/>
      <w:jc w:val="start"/>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lHead">
    <w:name w:val="TableColHead"/>
    <w:basedOn w:val="Normal"/>
    <w:qFormat/>
    <w:pPr>
      <w:keepNext w:val="true"/>
      <w:keepLines/>
      <w:spacing w:before="0" w:after="0"/>
      <w:jc w:val="start"/>
    </w:pPr>
    <w:rPr>
      <w:rFonts w:ascii="Arial Narrow" w:hAnsi="Arial Narrow" w:cs="Arial Narrow"/>
      <w:b/>
      <w:sz w:val="16"/>
    </w:rPr>
  </w:style>
  <w:style w:type="paragraph" w:styleId="Address">
    <w:name w:val="Address"/>
    <w:basedOn w:val="Normal"/>
    <w:next w:val="Normal"/>
    <w:qFormat/>
    <w:pPr>
      <w:spacing w:before="0" w:after="24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7655" w:leader="none"/>
      </w:tabs>
      <w:spacing w:before="0" w:after="0"/>
      <w:ind w:hanging="0" w:start="-2376" w:end="0"/>
      <w:jc w:val="start"/>
    </w:pPr>
    <w:rPr/>
  </w:style>
  <w:style w:type="paragraph" w:styleId="Disclaimer">
    <w:name w:val="Disclaimer"/>
    <w:basedOn w:val="Normal"/>
    <w:qFormat/>
    <w:pPr>
      <w:pBdr>
        <w:top w:val="single" w:sz="6" w:space="4" w:color="000000"/>
      </w:pBdr>
      <w:spacing w:before="0" w:after="60"/>
    </w:pPr>
    <w:rPr>
      <w:rFonts w:ascii="Arial Narrow" w:hAnsi="Arial Narrow" w:cs="Arial Narrow"/>
      <w:sz w:val="16"/>
    </w:rPr>
  </w:style>
  <w:style w:type="paragraph" w:styleId="FooterRegular">
    <w:name w:val="Footer Regular"/>
    <w:basedOn w:val="Footer"/>
    <w:qFormat/>
    <w:pPr>
      <w:pBdr>
        <w:top w:val="single" w:sz="6" w:space="1" w:color="000000"/>
      </w:pBdr>
      <w:tabs>
        <w:tab w:val="clear" w:pos="7655"/>
      </w:tabs>
      <w:jc w:val="center"/>
    </w:pPr>
    <w:rPr/>
  </w:style>
  <w:style w:type="paragraph" w:styleId="HeaderLogoEvenPg">
    <w:name w:val="Header Logo Even Pg"/>
    <w:basedOn w:val="Normal"/>
    <w:qFormat/>
    <w:pPr>
      <w:keepNext w:val="true"/>
      <w:pBdr>
        <w:bottom w:val="single" w:sz="6" w:space="6" w:color="000000"/>
      </w:pBdr>
      <w:tabs>
        <w:tab w:val="clear" w:pos="720"/>
        <w:tab w:val="left" w:pos="4680" w:leader="none"/>
      </w:tabs>
      <w:spacing w:before="60" w:after="0"/>
      <w:ind w:hanging="0" w:start="-2390" w:end="-43"/>
      <w:jc w:val="start"/>
    </w:pPr>
    <w:rPr>
      <w:sz w:val="24"/>
    </w:rPr>
  </w:style>
  <w:style w:type="paragraph" w:styleId="Logo">
    <w:name w:val="Logo"/>
    <w:qFormat/>
    <w:pPr>
      <w:widowControl/>
      <w:tabs>
        <w:tab w:val="clear" w:pos="720"/>
        <w:tab w:val="right" w:pos="7430" w:leader="none"/>
      </w:tabs>
      <w:bidi w:val="0"/>
      <w:ind w:hanging="0" w:start="-2477" w:end="0"/>
    </w:pPr>
    <w:rPr>
      <w:rFonts w:ascii="Arial Narrow" w:hAnsi="Arial Narrow" w:eastAsia="Times New Roman" w:cs="Arial Narrow"/>
      <w:caps/>
      <w:color w:val="auto"/>
      <w:sz w:val="20"/>
      <w:szCs w:val="20"/>
      <w:vertAlign w:val="superscript"/>
      <w:lang w:val="en-US" w:eastAsia="zh-CN" w:bidi="hi-IN"/>
    </w:rPr>
  </w:style>
  <w:style w:type="paragraph" w:styleId="OfficeBar">
    <w:name w:val="OfficeBar"/>
    <w:qFormat/>
    <w:pPr>
      <w:widowControl/>
      <w:tabs>
        <w:tab w:val="clear" w:pos="720"/>
        <w:tab w:val="right" w:pos="9957" w:leader="none"/>
      </w:tabs>
      <w:bidi w:val="0"/>
      <w:spacing w:lineRule="exact" w:line="310" w:before="40" w:after="120"/>
      <w:ind w:hanging="0" w:start="2477" w:end="0"/>
      <w:jc w:val="both"/>
    </w:pPr>
    <w:rPr>
      <w:rFonts w:ascii="Arial" w:hAnsi="Arial" w:eastAsia="Times New Roman" w:cs="Arial"/>
      <w:b/>
      <w:color w:val="FFFFFF"/>
      <w:sz w:val="22"/>
      <w:szCs w:val="20"/>
      <w:lang w:val="en-US" w:eastAsia="zh-CN" w:bidi="hi-IN"/>
    </w:rPr>
  </w:style>
  <w:style w:type="paragraph" w:styleId="Head1">
    <w:name w:val="Head1"/>
    <w:next w:val="Text"/>
    <w:qFormat/>
    <w:pPr>
      <w:keepNext w:val="true"/>
      <w:pageBreakBefore/>
      <w:widowControl/>
      <w:pBdr>
        <w:bottom w:val="single" w:sz="4" w:space="1" w:color="000000"/>
      </w:pBdr>
      <w:bidi w:val="0"/>
      <w:spacing w:before="0" w:after="240"/>
    </w:pPr>
    <w:rPr>
      <w:rFonts w:ascii="Arial" w:hAnsi="Arial" w:eastAsia="Times New Roman" w:cs="Arial"/>
      <w:b/>
      <w:color w:val="auto"/>
      <w:sz w:val="24"/>
      <w:szCs w:val="20"/>
      <w:lang w:val="en-US" w:eastAsia="zh-CN" w:bidi="hi-IN"/>
    </w:rPr>
  </w:style>
  <w:style w:type="paragraph" w:styleId="Text">
    <w:name w:val="Text"/>
    <w:qFormat/>
    <w:pPr>
      <w:widowControl/>
      <w:bidi w:val="0"/>
      <w:spacing w:before="0" w:after="120"/>
    </w:pPr>
    <w:rPr>
      <w:rFonts w:ascii="Arial" w:hAnsi="Arial" w:eastAsia="Times New Roman" w:cs="Arial"/>
      <w:color w:val="auto"/>
      <w:sz w:val="20"/>
      <w:szCs w:val="20"/>
      <w:lang w:val="en-US" w:eastAsia="zh-CN" w:bidi="hi-IN"/>
    </w:rPr>
  </w:style>
  <w:style w:type="paragraph" w:styleId="LogoHead">
    <w:name w:val="LogoHead"/>
    <w:basedOn w:val="Normal"/>
    <w:qFormat/>
    <w:pPr>
      <w:tabs>
        <w:tab w:val="clear" w:pos="720"/>
        <w:tab w:val="right" w:pos="4422" w:leader="none"/>
        <w:tab w:val="left" w:pos="5216" w:leader="none"/>
        <w:tab w:val="right" w:pos="8050" w:leader="none"/>
      </w:tabs>
      <w:spacing w:before="1" w:after="120"/>
      <w:jc w:val="start"/>
    </w:pPr>
    <w:rPr>
      <w:rFonts w:ascii="Arial Narrow" w:hAnsi="Arial Narrow" w:cs="Arial Narrow"/>
      <w:caps/>
    </w:rPr>
  </w:style>
  <w:style w:type="paragraph" w:styleId="Office">
    <w:name w:val="Office"/>
    <w:basedOn w:val="Normal"/>
    <w:qFormat/>
    <w:pPr>
      <w:tabs>
        <w:tab w:val="clear" w:pos="720"/>
        <w:tab w:val="right" w:pos="4320" w:leader="none"/>
        <w:tab w:val="left" w:pos="5760" w:leader="none"/>
        <w:tab w:val="right" w:pos="9450" w:leader="none"/>
      </w:tabs>
      <w:spacing w:before="0" w:after="0"/>
      <w:jc w:val="start"/>
    </w:pPr>
    <w:rPr/>
  </w:style>
  <w:style w:type="paragraph" w:styleId="Region2">
    <w:name w:val="Region2"/>
    <w:basedOn w:val="Normal"/>
    <w:next w:val="Address"/>
    <w:qFormat/>
    <w:pPr>
      <w:spacing w:before="240" w:after="120"/>
      <w:jc w:val="start"/>
    </w:pPr>
    <w:rPr>
      <w:b/>
      <w:color w:val="00FFFF"/>
      <w:sz w:val="28"/>
    </w:rPr>
  </w:style>
  <w:style w:type="paragraph" w:styleId="HeaderMain">
    <w:name w:val="HeaderMain"/>
    <w:basedOn w:val="Normal"/>
    <w:qFormat/>
    <w:pPr>
      <w:keepNext w:val="true"/>
      <w:pBdr>
        <w:bottom w:val="single" w:sz="6" w:space="6" w:color="000000"/>
      </w:pBdr>
      <w:tabs>
        <w:tab w:val="clear" w:pos="720"/>
        <w:tab w:val="right" w:pos="7200" w:leader="none"/>
      </w:tabs>
      <w:spacing w:before="60" w:after="0"/>
      <w:ind w:hanging="0" w:start="-2390" w:end="-43"/>
      <w:jc w:val="start"/>
    </w:pPr>
    <w:rPr>
      <w:sz w:val="24"/>
    </w:rPr>
  </w:style>
  <w:style w:type="paragraph" w:styleId="TableTitle">
    <w:name w:val="TableTitle"/>
    <w:basedOn w:val="Normal"/>
    <w:qFormat/>
    <w:pPr>
      <w:keepNext w:val="true"/>
      <w:pBdr>
        <w:top w:val="single" w:sz="6" w:space="1" w:color="000000"/>
      </w:pBdr>
      <w:spacing w:before="0" w:after="0"/>
      <w:jc w:val="start"/>
    </w:pPr>
    <w:rPr>
      <w:b/>
    </w:rPr>
  </w:style>
  <w:style w:type="paragraph" w:styleId="CameraReadyTableTitle">
    <w:name w:val="CameraReadyTableTitle"/>
    <w:basedOn w:val="TableTitle"/>
    <w:qFormat/>
    <w:pPr>
      <w:pBdr>
        <w:top w:val="nil"/>
        <w:bottom w:val="single" w:sz="6" w:space="1" w:color="000000"/>
      </w:pBdr>
    </w:pPr>
    <w:rPr/>
  </w:style>
  <w:style w:type="paragraph" w:styleId="TableSubTitle">
    <w:name w:val="TableSubTitle"/>
    <w:basedOn w:val="TableTitle"/>
    <w:next w:val="TableBody"/>
    <w:qFormat/>
    <w:pPr>
      <w:keepNext w:val="false"/>
      <w:keepLines/>
    </w:pPr>
    <w:rPr>
      <w:b w:val="false"/>
      <w:sz w:val="16"/>
    </w:rPr>
  </w:style>
  <w:style w:type="paragraph" w:styleId="CameraReadyTableSubtitle">
    <w:name w:val="CameraReadyTableSubtitle"/>
    <w:basedOn w:val="TableSubTitle"/>
    <w:qFormat/>
    <w:pPr>
      <w:keepNext w:val="true"/>
      <w:pBdr>
        <w:top w:val="nil"/>
        <w:bottom w:val="single" w:sz="6" w:space="1" w:color="000000"/>
      </w:pBdr>
    </w:pPr>
    <w:rPr/>
  </w:style>
  <w:style w:type="paragraph" w:styleId="TableBody">
    <w:name w:val="TableBody"/>
    <w:basedOn w:val="Normal"/>
    <w:qFormat/>
    <w:pPr>
      <w:keepNext w:val="true"/>
      <w:keepLines/>
      <w:spacing w:before="0" w:after="0"/>
      <w:jc w:val="start"/>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Tick">
    <w:name w:val="Tick"/>
    <w:qFormat/>
    <w:pPr>
      <w:widowControl/>
      <w:bidi w:val="0"/>
      <w:spacing w:before="156" w:after="0"/>
      <w:ind w:hanging="0" w:start="-115" w:end="14"/>
      <w:jc w:val="end"/>
    </w:pPr>
    <w:rPr>
      <w:rFonts w:ascii="Arial Narrow" w:hAnsi="Arial Narrow" w:eastAsia="Times New Roman" w:cs="Arial Narrow"/>
      <w:b/>
      <w:caps/>
      <w:color w:val="auto"/>
      <w:sz w:val="22"/>
      <w:szCs w:val="20"/>
      <w:lang w:val="en-US" w:eastAsia="zh-CN" w:bidi="hi-IN"/>
    </w:rPr>
  </w:style>
  <w:style w:type="paragraph" w:styleId="DataBox">
    <w:name w:val="DataBox"/>
    <w:basedOn w:val="Normal"/>
    <w:qFormat/>
    <w:pPr>
      <w:tabs>
        <w:tab w:val="clear" w:pos="720"/>
        <w:tab w:val="decimal" w:pos="360" w:leader="none"/>
      </w:tabs>
      <w:spacing w:lineRule="exact" w:line="240" w:before="0" w:after="0"/>
      <w:jc w:val="start"/>
    </w:pPr>
    <w:rPr>
      <w:rFonts w:ascii="Arial Narrow" w:hAnsi="Arial Narrow" w:cs="Arial Narrow"/>
    </w:rPr>
  </w:style>
  <w:style w:type="paragraph" w:styleId="DataBoxTitle">
    <w:name w:val="DataBoxTitle"/>
    <w:basedOn w:val="DataBox"/>
    <w:qFormat/>
    <w:pPr>
      <w:tabs>
        <w:tab w:val="clear" w:pos="360"/>
        <w:tab w:val="right" w:pos="1080" w:leader="none"/>
      </w:tabs>
      <w:spacing w:lineRule="exact" w:line="180"/>
      <w:jc w:val="end"/>
    </w:pPr>
    <w:rPr>
      <w:b/>
      <w:sz w:val="18"/>
    </w:rPr>
  </w:style>
  <w:style w:type="paragraph" w:styleId="Summary">
    <w:name w:val="Summary"/>
    <w:qFormat/>
    <w:pPr>
      <w:widowControl/>
      <w:numPr>
        <w:ilvl w:val="0"/>
        <w:numId w:val="4"/>
      </w:numPr>
      <w:bidi w:val="0"/>
      <w:spacing w:before="60" w:after="60"/>
      <w:ind w:hanging="360" w:start="461" w:end="-14"/>
    </w:pPr>
    <w:rPr>
      <w:rFonts w:ascii="Arial" w:hAnsi="Arial" w:eastAsia="Times New Roman" w:cs="Arial"/>
      <w:color w:val="auto"/>
      <w:sz w:val="22"/>
      <w:szCs w:val="20"/>
      <w:lang w:val="en-US" w:eastAsia="zh-CN" w:bidi="hi-IN"/>
    </w:rPr>
  </w:style>
  <w:style w:type="paragraph" w:styleId="TableFooter">
    <w:name w:val="TableFooter"/>
    <w:basedOn w:val="Normal"/>
    <w:qFormat/>
    <w:pPr>
      <w:spacing w:lineRule="atLeast" w:line="220" w:before="0" w:after="0"/>
      <w:jc w:val="start"/>
    </w:pPr>
    <w:rPr>
      <w:rFonts w:ascii="Arial Narrow" w:hAnsi="Arial Narrow" w:cs="Arial Narrow"/>
      <w:sz w:val="16"/>
    </w:rPr>
  </w:style>
  <w:style w:type="paragraph" w:styleId="Head2">
    <w:name w:val="Head2"/>
    <w:basedOn w:val="Normal"/>
    <w:next w:val="Text"/>
    <w:qFormat/>
    <w:pPr>
      <w:keepNext w:val="true"/>
      <w:jc w:val="start"/>
    </w:pPr>
    <w:rPr>
      <w:b/>
      <w:sz w:val="22"/>
    </w:rPr>
  </w:style>
  <w:style w:type="paragraph" w:styleId="Industry">
    <w:name w:val="Industry"/>
    <w:basedOn w:val="Normal"/>
    <w:qFormat/>
    <w:pPr>
      <w:tabs>
        <w:tab w:val="clear" w:pos="720"/>
        <w:tab w:val="right" w:pos="9720" w:leader="none"/>
      </w:tabs>
      <w:spacing w:before="120" w:after="0"/>
      <w:ind w:hanging="0" w:start="144" w:end="0"/>
    </w:pPr>
    <w:rPr>
      <w:rFonts w:ascii="Arial Narrow" w:hAnsi="Arial Narrow" w:cs="Arial Narrow"/>
      <w:b/>
      <w:sz w:val="18"/>
    </w:rPr>
  </w:style>
  <w:style w:type="paragraph" w:styleId="Opinion">
    <w:name w:val="Opinion"/>
    <w:next w:val="Stamp1"/>
    <w:qFormat/>
    <w:pPr>
      <w:widowControl/>
      <w:shd w:fill="auto" w:val="clear"/>
      <w:bidi w:val="0"/>
      <w:spacing w:before="156" w:after="0"/>
      <w:ind w:hanging="0" w:start="72" w:end="-115"/>
    </w:pPr>
    <w:rPr>
      <w:rFonts w:ascii="Arial Narrow" w:hAnsi="Arial Narrow" w:eastAsia="Times New Roman" w:cs="Arial Narrow"/>
      <w:b/>
      <w:caps/>
      <w:color w:val="auto"/>
      <w:sz w:val="22"/>
      <w:szCs w:val="20"/>
      <w:lang w:val="en-US" w:eastAsia="zh-CN" w:bidi="hi-IN"/>
    </w:rPr>
  </w:style>
  <w:style w:type="paragraph" w:styleId="Stamp1">
    <w:name w:val="Stamp1"/>
    <w:basedOn w:val="Opinion"/>
    <w:next w:val="Stamp2"/>
    <w:qFormat/>
    <w:pPr/>
    <w:rPr/>
  </w:style>
  <w:style w:type="paragraph" w:styleId="Stamp2">
    <w:name w:val="Stamp2"/>
    <w:basedOn w:val="Opinion"/>
    <w:next w:val="Stamp3"/>
    <w:qFormat/>
    <w:pPr/>
    <w:rPr/>
  </w:style>
  <w:style w:type="paragraph" w:styleId="Stamp3">
    <w:name w:val="Stamp3"/>
    <w:basedOn w:val="Opinion"/>
    <w:qFormat/>
    <w:pPr/>
    <w:rPr/>
  </w:style>
  <w:style w:type="paragraph" w:styleId="NB">
    <w:name w:val="NB"/>
    <w:qFormat/>
    <w:pPr>
      <w:widowControl/>
      <w:pBdr>
        <w:top w:val="single" w:sz="6" w:space="1" w:color="000000"/>
      </w:pBdr>
      <w:bidi w:val="0"/>
      <w:spacing w:before="0" w:after="120"/>
    </w:pPr>
    <w:rPr>
      <w:rFonts w:ascii="Arial Narrow" w:hAnsi="Arial Narrow" w:eastAsia="Times New Roman" w:cs="Arial Narrow"/>
      <w:color w:val="auto"/>
      <w:sz w:val="16"/>
      <w:szCs w:val="20"/>
      <w:lang w:val="en-US" w:eastAsia="zh-CN" w:bidi="hi-IN"/>
    </w:rPr>
  </w:style>
  <w:style w:type="paragraph" w:styleId="FootnoteText">
    <w:name w:val="footnote text"/>
    <w:basedOn w:val="NB"/>
    <w:pPr/>
    <w:rPr/>
  </w:style>
  <w:style w:type="paragraph" w:styleId="HeadTitle">
    <w:name w:val="HeadTitle"/>
    <w:qFormat/>
    <w:pPr>
      <w:widowControl/>
      <w:bidi w:val="0"/>
      <w:spacing w:before="0" w:after="120"/>
      <w:ind w:hanging="0" w:start="86" w:end="-115"/>
    </w:pPr>
    <w:rPr>
      <w:rFonts w:ascii="Arial" w:hAnsi="Arial" w:eastAsia="Times New Roman" w:cs="Arial"/>
      <w:b/>
      <w:color w:val="auto"/>
      <w:sz w:val="40"/>
      <w:szCs w:val="20"/>
      <w:lang w:val="en-US" w:eastAsia="zh-CN" w:bidi="hi-IN"/>
    </w:rPr>
  </w:style>
  <w:style w:type="paragraph" w:styleId="NewCompany">
    <w:name w:val="NewCompany"/>
    <w:basedOn w:val="HeadTitle"/>
    <w:qFormat/>
    <w:pPr/>
    <w:rPr/>
  </w:style>
  <w:style w:type="paragraph" w:styleId="NewTick">
    <w:name w:val="NewTick"/>
    <w:basedOn w:val="Normal"/>
    <w:qFormat/>
    <w:pPr>
      <w:keepNext w:val="true"/>
      <w:keepLines/>
      <w:ind w:hanging="0" w:start="0" w:end="58"/>
      <w:jc w:val="end"/>
    </w:pPr>
    <w:rPr>
      <w:rFonts w:ascii="Arial Narrow" w:hAnsi="Arial Narrow" w:cs="Arial Narrow"/>
      <w:b/>
      <w:smallCaps/>
      <w:sz w:val="32"/>
    </w:rPr>
  </w:style>
  <w:style w:type="paragraph" w:styleId="NewAnalystName">
    <w:name w:val="NewAnalystName"/>
    <w:basedOn w:val="Normal"/>
    <w:qFormat/>
    <w:pPr>
      <w:keepNext w:val="true"/>
      <w:keepLines/>
      <w:spacing w:before="0" w:after="0"/>
      <w:jc w:val="start"/>
    </w:pPr>
    <w:rPr>
      <w:sz w:val="28"/>
    </w:rPr>
  </w:style>
  <w:style w:type="paragraph" w:styleId="NewIndustry">
    <w:name w:val="NewIndustry"/>
    <w:basedOn w:val="NewAnalystName"/>
    <w:qFormat/>
    <w:pPr>
      <w:jc w:val="end"/>
    </w:pPr>
    <w:rPr>
      <w:b/>
    </w:rPr>
  </w:style>
  <w:style w:type="paragraph" w:styleId="Phone">
    <w:name w:val="Phone"/>
    <w:qFormat/>
    <w:pPr>
      <w:widowControl/>
      <w:bidi w:val="0"/>
      <w:ind w:hanging="0" w:start="86" w:end="0"/>
    </w:pPr>
    <w:rPr>
      <w:rFonts w:ascii="Arial" w:hAnsi="Arial" w:eastAsia="Times New Roman" w:cs="Arial"/>
      <w:color w:val="auto"/>
      <w:sz w:val="16"/>
      <w:szCs w:val="20"/>
      <w:lang w:val="en-US" w:eastAsia="zh-CN" w:bidi="hi-IN"/>
    </w:rPr>
  </w:style>
  <w:style w:type="paragraph" w:styleId="HangingText">
    <w:name w:val="HangingText"/>
    <w:basedOn w:val="Normal"/>
    <w:qFormat/>
    <w:pPr>
      <w:keepNext w:val="true"/>
      <w:spacing w:before="10" w:after="120"/>
      <w:jc w:val="start"/>
    </w:pPr>
    <w:rPr>
      <w:rFonts w:ascii="Arial Narrow" w:hAnsi="Arial Narrow" w:cs="Arial Narrow"/>
      <w:b/>
    </w:rPr>
  </w:style>
  <w:style w:type="paragraph" w:styleId="Subtitle">
    <w:name w:val="Subtitle"/>
    <w:next w:val="BodyText"/>
    <w:qFormat/>
    <w:pPr>
      <w:widowControl/>
      <w:bidi w:val="0"/>
      <w:spacing w:before="0" w:after="480"/>
      <w:ind w:hanging="0" w:start="130" w:end="-115"/>
    </w:pPr>
    <w:rPr>
      <w:rFonts w:ascii="Arial" w:hAnsi="Arial" w:eastAsia="Times New Roman" w:cs="Arial"/>
      <w:color w:val="auto"/>
      <w:sz w:val="24"/>
      <w:szCs w:val="20"/>
      <w:lang w:val="en-US" w:eastAsia="zh-CN" w:bidi="hi-IN"/>
    </w:rPr>
  </w:style>
  <w:style w:type="paragraph" w:styleId="IndustryDate">
    <w:name w:val="IndustryDate"/>
    <w:basedOn w:val="Industry"/>
    <w:qFormat/>
    <w:pPr>
      <w:tabs>
        <w:tab w:val="left" w:pos="2367" w:leader="none"/>
        <w:tab w:val="right" w:pos="9720" w:leader="none"/>
      </w:tabs>
      <w:ind w:hanging="0" w:start="0" w:end="0"/>
      <w:jc w:val="end"/>
    </w:pPr>
    <w:rPr/>
  </w:style>
  <w:style w:type="paragraph" w:styleId="CompanyDesc">
    <w:name w:val="CompanyDesc"/>
    <w:qFormat/>
    <w:pPr>
      <w:keepLines/>
      <w:widowControl/>
      <w:bidi w:val="0"/>
      <w:spacing w:lineRule="exact" w:line="240" w:before="60" w:after="60"/>
      <w:ind w:hanging="0" w:start="29" w:end="0"/>
    </w:pPr>
    <w:rPr>
      <w:rFonts w:ascii="Arial Narrow" w:hAnsi="Arial Narrow" w:eastAsia="Times New Roman" w:cs="Arial Narrow"/>
      <w:b/>
      <w:color w:val="auto"/>
      <w:sz w:val="22"/>
      <w:szCs w:val="20"/>
      <w:lang w:val="en-US" w:eastAsia="zh-CN" w:bidi="hi-IN"/>
    </w:rPr>
  </w:style>
  <w:style w:type="paragraph" w:styleId="Email">
    <w:name w:val="Email"/>
    <w:qFormat/>
    <w:pPr>
      <w:widowControl/>
      <w:bidi w:val="0"/>
      <w:spacing w:before="0" w:after="120"/>
      <w:ind w:hanging="0" w:start="86" w:end="0"/>
    </w:pPr>
    <w:rPr>
      <w:rFonts w:ascii="Arial" w:hAnsi="Arial" w:eastAsia="Times New Roman" w:cs="Arial"/>
      <w:color w:val="auto"/>
      <w:sz w:val="16"/>
      <w:szCs w:val="20"/>
      <w:lang w:val="en-US" w:eastAsia="zh-CN" w:bidi="hi-IN"/>
    </w:rPr>
  </w:style>
  <w:style w:type="paragraph" w:styleId="Name">
    <w:name w:val="Name"/>
    <w:qFormat/>
    <w:pPr>
      <w:keepNext w:val="true"/>
      <w:widowControl/>
      <w:bidi w:val="0"/>
      <w:spacing w:before="60" w:after="0"/>
      <w:ind w:hanging="0" w:start="86" w:end="0"/>
    </w:pPr>
    <w:rPr>
      <w:rFonts w:ascii="Arial" w:hAnsi="Arial" w:eastAsia="Times New Roman" w:cs="Arial"/>
      <w:b/>
      <w:color w:val="auto"/>
      <w:sz w:val="16"/>
      <w:szCs w:val="20"/>
      <w:lang w:val="en-US" w:eastAsia="zh-CN" w:bidi="hi-IN"/>
    </w:rPr>
  </w:style>
  <w:style w:type="paragraph" w:styleId="DeskNoteBar">
    <w:name w:val="DeskNoteBar"/>
    <w:qFormat/>
    <w:pPr>
      <w:widowControl/>
      <w:shd w:fill="FF0000" w:val="clear"/>
      <w:tabs>
        <w:tab w:val="clear" w:pos="720"/>
        <w:tab w:val="center" w:pos="4320" w:leader="none"/>
        <w:tab w:val="right" w:pos="8640" w:leader="none"/>
      </w:tabs>
      <w:bidi w:val="0"/>
      <w:spacing w:before="0" w:after="120"/>
      <w:ind w:hanging="0" w:start="720" w:end="3240"/>
      <w:jc w:val="center"/>
    </w:pPr>
    <w:rPr>
      <w:rFonts w:ascii="Arial" w:hAnsi="Arial" w:eastAsia="Times New Roman" w:cs="Arial"/>
      <w:b/>
      <w:caps/>
      <w:color w:val="FFFFFF"/>
      <w:sz w:val="32"/>
      <w:szCs w:val="20"/>
      <w:lang w:val="en-US" w:eastAsia="zh-CN" w:bidi="hi-IN"/>
    </w:rPr>
  </w:style>
  <w:style w:type="paragraph" w:styleId="Reut">
    <w:name w:val="Reut"/>
    <w:basedOn w:val="Tick"/>
    <w:qFormat/>
    <w:pPr/>
    <w:rPr/>
  </w:style>
  <w:style w:type="paragraph" w:styleId="Other">
    <w:name w:val="Other"/>
    <w:basedOn w:val="Tick"/>
    <w:qFormat/>
    <w:pPr/>
    <w:rPr/>
  </w:style>
  <w:style w:type="paragraph" w:styleId="headerfield">
    <w:name w:val="headerfield"/>
    <w:qFormat/>
    <w:pPr>
      <w:keepNext w:val="true"/>
      <w:widowControl/>
      <w:pBdr>
        <w:bottom w:val="single" w:sz="6" w:space="6" w:color="000000"/>
      </w:pBdr>
      <w:tabs>
        <w:tab w:val="clear" w:pos="720"/>
        <w:tab w:val="left" w:pos="4680" w:leader="none"/>
      </w:tabs>
      <w:bidi w:val="0"/>
      <w:spacing w:before="60" w:after="0"/>
      <w:ind w:hanging="0" w:start="-2390" w:end="-43"/>
    </w:pPr>
    <w:rPr>
      <w:rFonts w:ascii="Arial" w:hAnsi="Arial" w:eastAsia="Times New Roman" w:cs="Arial"/>
      <w:color w:val="auto"/>
      <w:sz w:val="24"/>
      <w:szCs w:val="20"/>
      <w:lang w:val="en-US" w:eastAsia="zh-CN" w:bidi="hi-IN"/>
    </w:rPr>
  </w:style>
  <w:style w:type="paragraph" w:styleId="Head3">
    <w:name w:val="Head3"/>
    <w:basedOn w:val="Head2"/>
    <w:next w:val="Text"/>
    <w:qFormat/>
    <w:pPr>
      <w:spacing w:before="0" w:after="0"/>
    </w:pPr>
    <w:rPr/>
  </w:style>
  <w:style w:type="paragraph" w:styleId="NewIndustryName">
    <w:name w:val="NewIndustryName"/>
    <w:basedOn w:val="NewIndustry"/>
    <w:qFormat/>
    <w:pPr>
      <w:keepLines w:val="false"/>
      <w:spacing w:before="0" w:after="120"/>
      <w:ind w:hanging="0" w:start="43" w:end="0"/>
      <w:jc w:val="start"/>
    </w:pPr>
    <w:rPr>
      <w:b w:val="false"/>
      <w:sz w:val="16"/>
    </w:rPr>
  </w:style>
  <w:style w:type="paragraph" w:styleId="PlaceHolder">
    <w:name w:val="PlaceHolder"/>
    <w:qFormat/>
    <w:pPr>
      <w:widowControl/>
      <w:bidi w:val="0"/>
      <w:jc w:val="center"/>
    </w:pPr>
    <w:rPr>
      <w:rFonts w:ascii="Arial" w:hAnsi="Arial" w:eastAsia="Times New Roman" w:cs="Arial"/>
      <w:b/>
      <w:caps/>
      <w:vanish/>
      <w:color w:val="FF0000"/>
      <w:sz w:val="16"/>
      <w:szCs w:val="20"/>
      <w:lang w:val="en-US" w:eastAsia="zh-CN" w:bidi="hi-IN"/>
    </w:rPr>
  </w:style>
  <w:style w:type="paragraph" w:styleId="TOC1">
    <w:name w:val="TOC1"/>
    <w:basedOn w:val="Normal"/>
    <w:next w:val="TOC2"/>
    <w:qFormat/>
    <w:pPr>
      <w:keepNext w:val="true"/>
      <w:pBdr>
        <w:bottom w:val="single" w:sz="4" w:space="1" w:color="000000"/>
      </w:pBdr>
      <w:tabs>
        <w:tab w:val="clear" w:pos="720"/>
        <w:tab w:val="right" w:pos="7200" w:leader="none"/>
      </w:tabs>
      <w:suppressAutoHyphens w:val="true"/>
      <w:spacing w:lineRule="exact" w:line="280" w:before="0" w:after="0"/>
      <w:jc w:val="start"/>
    </w:pPr>
    <w:rPr>
      <w:b/>
      <w:sz w:val="22"/>
    </w:rPr>
  </w:style>
  <w:style w:type="paragraph" w:styleId="TOC2">
    <w:name w:val="TOC2"/>
    <w:basedOn w:val="TOC1"/>
    <w:qFormat/>
    <w:pPr>
      <w:keepNext w:val="false"/>
      <w:keepLines/>
      <w:pBdr>
        <w:bottom w:val="single" w:sz="6" w:space="3" w:color="000000"/>
      </w:pBdr>
      <w:ind w:firstLine="202" w:start="0" w:end="0"/>
    </w:pPr>
    <w:rPr>
      <w:b w:val="false"/>
    </w:rPr>
  </w:style>
  <w:style w:type="paragraph" w:styleId="SPC">
    <w:name w:val="SPC"/>
    <w:basedOn w:val="Normal"/>
    <w:qFormat/>
    <w:pPr>
      <w:pBdr>
        <w:bottom w:val="single" w:sz="6" w:space="1" w:color="000000"/>
      </w:pBdr>
      <w:tabs>
        <w:tab w:val="clear" w:pos="720"/>
        <w:tab w:val="right" w:pos="1080" w:leader="none"/>
      </w:tabs>
      <w:spacing w:before="300" w:after="360"/>
      <w:ind w:hanging="72" w:start="72" w:end="-144"/>
      <w:jc w:val="start"/>
    </w:pPr>
    <w:rPr>
      <w:rFonts w:ascii="Arial Narrow" w:hAnsi="Arial Narrow" w:cs="Arial Narrow"/>
      <w:b/>
      <w:sz w:val="22"/>
    </w:rPr>
  </w:style>
  <w:style w:type="paragraph" w:styleId="GraphicTitle">
    <w:name w:val="GraphicTitle"/>
    <w:qFormat/>
    <w:pPr>
      <w:widowControl/>
      <w:bidi w:val="0"/>
      <w:spacing w:before="60" w:after="60"/>
      <w:ind w:hanging="0" w:start="-115" w:end="-115"/>
      <w:jc w:val="center"/>
    </w:pPr>
    <w:rPr>
      <w:rFonts w:ascii="Arial" w:hAnsi="Arial" w:eastAsia="Times New Roman" w:cs="Arial"/>
      <w:b/>
      <w:i/>
      <w:color w:val="auto"/>
      <w:sz w:val="16"/>
      <w:szCs w:val="20"/>
      <w:lang w:val="en-US" w:eastAsia="zh-CN" w:bidi="hi-IN"/>
    </w:rPr>
  </w:style>
  <w:style w:type="paragraph" w:styleId="TableOfContents">
    <w:name w:val="TableOfContents"/>
    <w:basedOn w:val="Normal"/>
    <w:qFormat/>
    <w:pPr>
      <w:keepNext w:val="true"/>
      <w:pageBreakBefore/>
      <w:pBdr>
        <w:bottom w:val="single" w:sz="4" w:space="1" w:color="000000"/>
      </w:pBdr>
      <w:spacing w:before="0" w:after="240"/>
      <w:jc w:val="start"/>
    </w:pPr>
    <w:rPr>
      <w:b/>
      <w:sz w:val="24"/>
    </w:rPr>
  </w:style>
  <w:style w:type="paragraph" w:styleId="Picture">
    <w:name w:val="Picture"/>
    <w:qFormat/>
    <w:pPr>
      <w:widowControl/>
      <w:bidi w:val="0"/>
      <w:spacing w:before="60" w:after="120"/>
    </w:pPr>
    <w:rPr>
      <w:rFonts w:ascii="Arial" w:hAnsi="Arial" w:eastAsia="Times New Roman" w:cs="Arial"/>
      <w:color w:val="auto"/>
      <w:sz w:val="20"/>
      <w:szCs w:val="20"/>
      <w:lang w:val="en-US" w:eastAsia="zh-CN" w:bidi="hi-IN"/>
    </w:rPr>
  </w:style>
  <w:style w:type="paragraph" w:styleId="Price">
    <w:name w:val="Price"/>
    <w:basedOn w:val="Opinion"/>
    <w:qFormat/>
    <w:pPr>
      <w:spacing w:before="0" w:after="0"/>
      <w:ind w:hanging="0" w:start="43" w:end="-115"/>
    </w:pPr>
    <w:rPr/>
  </w:style>
  <w:style w:type="paragraph" w:styleId="InsertTOC">
    <w:name w:val="InsertTOC"/>
    <w:qFormat/>
    <w:pPr>
      <w:widowControl/>
      <w:bidi w:val="0"/>
    </w:pPr>
    <w:rPr>
      <w:rFonts w:ascii="Arial" w:hAnsi="Arial" w:eastAsia="Times New Roman" w:cs="Arial"/>
      <w:b/>
      <w:caps/>
      <w:vanish/>
      <w:color w:val="FF0000"/>
      <w:sz w:val="18"/>
      <w:szCs w:val="20"/>
      <w:lang w:val="en-US" w:eastAsia="zh-CN" w:bidi="hi-IN"/>
    </w:rPr>
  </w:style>
  <w:style w:type="paragraph" w:styleId="GraphicSource">
    <w:name w:val="GraphicSource"/>
    <w:basedOn w:val="GraphicTitle"/>
    <w:qFormat/>
    <w:pPr>
      <w:spacing w:before="60" w:after="0"/>
      <w:ind w:hanging="0" w:start="0" w:end="-115"/>
      <w:jc w:val="start"/>
    </w:pPr>
    <w:rPr>
      <w:b w:val="false"/>
      <w:i w:val="false"/>
    </w:rPr>
  </w:style>
  <w:style w:type="paragraph" w:styleId="HeaderPortrait">
    <w:name w:val="HeaderPortrait"/>
    <w:basedOn w:val="HeaderMain"/>
    <w:qFormat/>
    <w:pPr>
      <w:tabs>
        <w:tab w:val="clear" w:pos="7200"/>
        <w:tab w:val="right" w:pos="9446" w:leader="none"/>
      </w:tabs>
      <w:ind w:hanging="0" w:start="0" w:end="-43"/>
    </w:pPr>
    <w:rPr/>
  </w:style>
  <w:style w:type="paragraph" w:styleId="HeaderTitleEvenPg">
    <w:name w:val="Header Title Even Pg"/>
    <w:basedOn w:val="HeaderMain"/>
    <w:qFormat/>
    <w:pPr>
      <w:spacing w:before="60" w:after="120"/>
      <w:jc w:val="end"/>
    </w:pPr>
    <w:rPr/>
  </w:style>
  <w:style w:type="paragraph" w:styleId="HeaderTitleOddPg">
    <w:name w:val="Header Title OddPg"/>
    <w:basedOn w:val="HeaderTitleEvenPg"/>
    <w:qFormat/>
    <w:pPr>
      <w:jc w:val="start"/>
    </w:pPr>
    <w:rPr/>
  </w:style>
  <w:style w:type="paragraph" w:styleId="Top">
    <w:name w:val="Top"/>
    <w:basedOn w:val="Normal"/>
    <w:qFormat/>
    <w:pPr>
      <w:pBdr>
        <w:top w:val="single" w:sz="6" w:space="1" w:color="000000"/>
      </w:pBdr>
      <w:spacing w:before="0" w:after="0"/>
      <w:jc w:val="start"/>
    </w:pPr>
    <w:rPr>
      <w:caps/>
      <w:sz w:val="16"/>
    </w:rPr>
  </w:style>
  <w:style w:type="paragraph" w:styleId="Region">
    <w:name w:val="Region"/>
    <w:qFormat/>
    <w:pPr>
      <w:widowControl/>
      <w:tabs>
        <w:tab w:val="clear" w:pos="720"/>
        <w:tab w:val="left" w:pos="2367" w:leader="none"/>
      </w:tabs>
      <w:bidi w:val="0"/>
      <w:spacing w:before="120" w:after="0"/>
      <w:ind w:hanging="0" w:start="86" w:end="0"/>
    </w:pPr>
    <w:rPr>
      <w:rFonts w:ascii="Arial Narrow" w:hAnsi="Arial Narrow" w:eastAsia="Times New Roman" w:cs="Arial Narrow"/>
      <w:b/>
      <w:color w:val="auto"/>
      <w:sz w:val="18"/>
      <w:szCs w:val="20"/>
      <w:lang w:val="en-US" w:eastAsia="zh-CN" w:bidi="hi-IN"/>
    </w:rPr>
  </w:style>
  <w:style w:type="paragraph" w:styleId="BranchList">
    <w:name w:val="BranchList"/>
    <w:basedOn w:val="Text"/>
    <w:qFormat/>
    <w:pPr/>
    <w:rPr/>
  </w:style>
  <w:style w:type="paragraph" w:styleId="BlankPage">
    <w:name w:val="BlankPage"/>
    <w:basedOn w:val="Text"/>
    <w:qFormat/>
    <w:pPr/>
    <w:rPr>
      <w:rFonts w:ascii="Palatino" w:hAnsi="Palatino" w:cs="Palatino"/>
      <w:b/>
      <w:vanish/>
      <w:color w:val="FF0000"/>
      <w:sz w:val="28"/>
    </w:rPr>
  </w:style>
  <w:style w:type="paragraph" w:styleId="FooterMain">
    <w:name w:val="FooterMain"/>
    <w:qFormat/>
    <w:pPr>
      <w:widowControl/>
      <w:pBdr>
        <w:top w:val="single" w:sz="4" w:space="1" w:color="000000"/>
      </w:pBdr>
      <w:bidi w:val="0"/>
      <w:ind w:hanging="0" w:start="-2390" w:end="0"/>
      <w:jc w:val="center"/>
    </w:pPr>
    <w:rPr>
      <w:rFonts w:ascii="Arial" w:hAnsi="Arial" w:eastAsia="Times New Roman" w:cs="Arial"/>
      <w:color w:val="auto"/>
      <w:sz w:val="20"/>
      <w:szCs w:val="20"/>
      <w:lang w:val="en-US" w:eastAsia="zh-CN" w:bidi="hi-IN"/>
    </w:rPr>
  </w:style>
  <w:style w:type="paragraph" w:styleId="officename">
    <w:name w:val="officename"/>
    <w:basedOn w:val="Office"/>
    <w:qFormat/>
    <w:pPr>
      <w:pBdr>
        <w:right w:val="single" w:sz="12" w:space="4" w:color="000000"/>
      </w:pBdr>
      <w:tabs>
        <w:tab w:val="clear" w:pos="4320"/>
        <w:tab w:val="right" w:pos="2700" w:leader="dot"/>
        <w:tab w:val="left" w:pos="5760" w:leader="none"/>
        <w:tab w:val="right" w:pos="9450" w:leader="none"/>
      </w:tabs>
      <w:spacing w:before="0" w:after="60"/>
    </w:pPr>
    <w:rPr>
      <w:rFonts w:ascii="Arial Narrow" w:hAnsi="Arial Narrow" w:cs="Arial Narrow"/>
      <w:b/>
    </w:rPr>
  </w:style>
  <w:style w:type="paragraph" w:styleId="FooterPortrait">
    <w:name w:val="FooterPortrait"/>
    <w:basedOn w:val="FooterMain"/>
    <w:qFormat/>
    <w:pPr>
      <w:ind w:hanging="0" w:start="0" w:end="0"/>
    </w:pPr>
    <w:rPr/>
  </w:style>
  <w:style w:type="paragraph" w:styleId="HeaderLandscape">
    <w:name w:val="HeaderLandscape"/>
    <w:basedOn w:val="HeaderPortrait"/>
    <w:qFormat/>
    <w:pPr>
      <w:tabs>
        <w:tab w:val="clear" w:pos="9446"/>
        <w:tab w:val="right" w:pos="13234" w:leader="none"/>
      </w:tabs>
    </w:pPr>
    <w:rPr/>
  </w:style>
  <w:style w:type="paragraph" w:styleId="MarkTable">
    <w:name w:val="MarkTable"/>
    <w:basedOn w:val="TableColHead"/>
    <w:qFormat/>
    <w:pPr/>
    <w:rPr/>
  </w:style>
  <w:style w:type="paragraph" w:styleId="TOC11">
    <w:name w:val="toc 1"/>
    <w:basedOn w:val="Normal"/>
    <w:next w:val="Normal"/>
    <w:pPr>
      <w:spacing w:lineRule="exact" w:line="280" w:before="0" w:after="0"/>
      <w:jc w:val="start"/>
    </w:pPr>
    <w:rPr>
      <w:b/>
      <w:lang w:val="en-GB"/>
    </w:rPr>
  </w:style>
  <w:style w:type="paragraph" w:styleId="AAABulletsSC">
    <w:name w:val="AAA_Bullets_SC"/>
    <w:basedOn w:val="Normal"/>
    <w:qFormat/>
    <w:pPr>
      <w:numPr>
        <w:ilvl w:val="0"/>
        <w:numId w:val="8"/>
      </w:numPr>
      <w:tabs>
        <w:tab w:val="clear" w:pos="720"/>
        <w:tab w:val="left" w:pos="0" w:leader="none"/>
      </w:tabs>
      <w:spacing w:before="60" w:after="60"/>
      <w:ind w:hanging="0" w:start="0" w:end="-14"/>
      <w:jc w:val="start"/>
    </w:pPr>
    <w:rPr>
      <w:sz w:val="22"/>
      <w:lang w:val="en-CA"/>
    </w:rPr>
  </w:style>
  <w:style w:type="paragraph" w:styleId="FootnoteText1">
    <w:name w:val="Footnote Text1"/>
    <w:basedOn w:val="Normal"/>
    <w:qFormat/>
    <w:pPr/>
    <w:rPr/>
  </w:style>
  <w:style w:type="paragraph" w:styleId="BodyTextIndent">
    <w:name w:val="Body Text Indent"/>
    <w:basedOn w:val="Normal"/>
    <w:pPr>
      <w:spacing w:lineRule="auto" w:line="360" w:before="0" w:after="0"/>
      <w:ind w:firstLine="720" w:start="0" w:end="0"/>
      <w:jc w:val="start"/>
    </w:pPr>
    <w:rPr>
      <w:rFonts w:ascii="Times New Roman" w:hAnsi="Times New Roman" w:cs="Times New Roman"/>
    </w:rPr>
  </w:style>
  <w:style w:type="paragraph" w:styleId="BodyText2">
    <w:name w:val="Body Text 2"/>
    <w:basedOn w:val="Normal"/>
    <w:qFormat/>
    <w:pPr>
      <w:spacing w:before="0" w:after="0"/>
      <w:jc w:val="start"/>
    </w:pPr>
    <w:rPr>
      <w:rFonts w:ascii="Times New Roman" w:hAnsi="Times New Roman" w:cs="Times New Roman"/>
      <w:b/>
      <w:sz w:val="24"/>
    </w:rPr>
  </w:style>
  <w:style w:type="paragraph" w:styleId="BodyText3">
    <w:name w:val="Body Text 3"/>
    <w:basedOn w:val="Normal"/>
    <w:qFormat/>
    <w:pPr>
      <w:spacing w:before="0" w:after="0"/>
      <w:jc w:val="start"/>
    </w:pPr>
    <w:rPr>
      <w:rFonts w:ascii="Times New Roman" w:hAnsi="Times New Roman" w:cs="Times New Roman"/>
      <w:i/>
      <w:sz w:val="24"/>
    </w:rPr>
  </w:style>
  <w:style w:type="paragraph" w:styleId="ListBullet">
    <w:name w:val="List Bullet"/>
    <w:basedOn w:val="Normal"/>
    <w:qFormat/>
    <w:pPr>
      <w:numPr>
        <w:ilvl w:val="0"/>
        <w:numId w:val="2"/>
      </w:numPr>
      <w:spacing w:before="0" w:after="0"/>
      <w:jc w:val="start"/>
    </w:pPr>
    <w:rPr/>
  </w:style>
  <w:style w:type="paragraph" w:styleId="BottomBar">
    <w:name w:val="Bottom Bar"/>
    <w:basedOn w:val="Normal"/>
    <w:qFormat/>
    <w:pPr>
      <w:pBdr>
        <w:bottom w:val="single" w:sz="36" w:space="0" w:color="00FFFF"/>
      </w:pBdr>
      <w:spacing w:before="0" w:after="0"/>
      <w:jc w:val="center"/>
    </w:pPr>
    <w:rPr/>
  </w:style>
  <w:style w:type="paragraph" w:styleId="SymbolBox">
    <w:name w:val="SymbolBox"/>
    <w:basedOn w:val="Normal"/>
    <w:qFormat/>
    <w:pPr>
      <w:spacing w:before="0" w:after="0"/>
      <w:jc w:val="center"/>
    </w:pPr>
    <w:rPr>
      <w:sz w:val="8"/>
    </w:rPr>
  </w:style>
  <w:style w:type="paragraph" w:styleId="CompanyInfo">
    <w:name w:val="CompanyInfo"/>
    <w:basedOn w:val="DataBoxTitle"/>
    <w:qFormat/>
    <w:pPr>
      <w:pBdr>
        <w:bottom w:val="single" w:sz="12" w:space="6" w:color="000000"/>
      </w:pBdr>
      <w:spacing w:lineRule="auto" w:line="240" w:before="60" w:after="360"/>
      <w:ind w:hanging="72" w:start="72" w:end="-151"/>
      <w:jc w:val="start"/>
    </w:pPr>
    <w:rPr>
      <w:sz w:val="22"/>
    </w:rPr>
  </w:style>
  <w:style w:type="paragraph" w:styleId="CompanyReport">
    <w:name w:val="Company Report"/>
    <w:basedOn w:val="Head1"/>
    <w:qFormat/>
    <w:pPr/>
    <w:rPr>
      <w:sz w:val="22"/>
    </w:rPr>
  </w:style>
  <w:style w:type="paragraph" w:styleId="Body">
    <w:name w:val="Body"/>
    <w:basedOn w:val="Normal"/>
    <w:qFormat/>
    <w:pPr>
      <w:spacing w:before="0" w:after="0"/>
    </w:pPr>
    <w:rPr>
      <w:kern w:val="2"/>
      <w:sz w:val="14"/>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3492" w:leader="none"/>
        <w:tab w:val="right" w:pos="698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image" Target="media/image7.wmf"/><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image" Target="media/image8.png"/><Relationship Id="rId23" Type="http://schemas.openxmlformats.org/officeDocument/2006/relationships/image" Target="media/image9.wmf"/><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image" Target="media/image10.wmf"/><Relationship Id="rId29" Type="http://schemas.openxmlformats.org/officeDocument/2006/relationships/image" Target="media/image11.wmf"/><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image" Target="media/image12.wmf"/><Relationship Id="rId35" Type="http://schemas.openxmlformats.org/officeDocument/2006/relationships/image" Target="media/image13.wmf"/><Relationship Id="rId36" Type="http://schemas.openxmlformats.org/officeDocument/2006/relationships/header" Target="header12.xml"/><Relationship Id="rId37" Type="http://schemas.openxmlformats.org/officeDocument/2006/relationships/header" Target="header13.xml"/><Relationship Id="rId38" Type="http://schemas.openxmlformats.org/officeDocument/2006/relationships/footer" Target="footer12.xml"/><Relationship Id="rId39" Type="http://schemas.openxmlformats.org/officeDocument/2006/relationships/footer" Target="footer13.xml"/><Relationship Id="rId40" Type="http://schemas.openxmlformats.org/officeDocument/2006/relationships/image" Target="media/image14.wmf"/><Relationship Id="rId41" Type="http://schemas.openxmlformats.org/officeDocument/2006/relationships/header" Target="header14.xml"/><Relationship Id="rId42" Type="http://schemas.openxmlformats.org/officeDocument/2006/relationships/header" Target="header15.xml"/><Relationship Id="rId43" Type="http://schemas.openxmlformats.org/officeDocument/2006/relationships/footer" Target="footer14.xml"/><Relationship Id="rId44" Type="http://schemas.openxmlformats.org/officeDocument/2006/relationships/footer" Target="footer15.xml"/><Relationship Id="rId45" Type="http://schemas.openxmlformats.org/officeDocument/2006/relationships/header" Target="header16.xml"/><Relationship Id="rId46" Type="http://schemas.openxmlformats.org/officeDocument/2006/relationships/header" Target="header17.xml"/><Relationship Id="rId47" Type="http://schemas.openxmlformats.org/officeDocument/2006/relationships/footer" Target="footer16.xml"/><Relationship Id="rId48" Type="http://schemas.openxmlformats.org/officeDocument/2006/relationships/footer" Target="footer17.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16.xml.rels><?xml version="1.0" encoding="UTF-8"?>
<Relationships xmlns="http://schemas.openxmlformats.org/package/2006/relationships"><Relationship Id="rId1" Type="http://schemas.openxmlformats.org/officeDocument/2006/relationships/image" Target="media/image15.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Self99.dot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2001-05-07T09:06:00Z</dcterms:created>
  <dc:creator>Bryan Sifert</dc:creator>
  <dc:description/>
  <dc:language>en-CA</dc:language>
  <cp:lastModifiedBy>Bryan Sifert</cp:lastModifiedBy>
  <cp:lastPrinted>2001-05-07T07:33:00Z</cp:lastPrinted>
  <dcterms:modified xsi:type="dcterms:W3CDTF">2001-05-07T09:24:00Z</dcterms:modified>
  <cp:revision>6</cp:revision>
  <dc:subject>Research Report</dc:subject>
  <dc:title>Self 1997 Template</dc:title>
</cp:coreProperties>
</file>