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ct" ContentType="image/x-pi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eastAsia="Times New Roman"/>
          <w:sz w:val="110"/>
        </w:rPr>
      </w:pPr>
      <w:r>
        <w:rPr>
          <w:rFonts w:eastAsia="Times New Roman"/>
        </w:rPr>
        <w:drawing>
          <wp:inline distT="0" distB="0" distL="0" distR="0">
            <wp:extent cx="1130300" cy="1000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20" t="-1515" r="-1220" b="-1515"/>
                    <a:stretch>
                      <a:fillRect/>
                    </a:stretch>
                  </pic:blipFill>
                  <pic:spPr bwMode="auto">
                    <a:xfrm>
                      <a:off x="0" y="0"/>
                      <a:ext cx="1130300" cy="10001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1051560</wp:posOffset>
                </wp:positionH>
                <wp:positionV relativeFrom="paragraph">
                  <wp:posOffset>635</wp:posOffset>
                </wp:positionV>
                <wp:extent cx="4114800" cy="822960"/>
                <wp:effectExtent l="0" t="0" r="0" b="0"/>
                <wp:wrapNone/>
                <wp:docPr id="2" name="Frame2"/>
                <a:graphic xmlns:a="http://schemas.openxmlformats.org/drawingml/2006/main">
                  <a:graphicData uri="http://schemas.microsoft.com/office/word/2010/wordprocessingShape">
                    <wps:wsp>
                      <wps:cNvSpPr txBox="1"/>
                      <wps:spPr>
                        <a:xfrm>
                          <a:off x="0" y="0"/>
                          <a:ext cx="4114800" cy="822960"/>
                        </a:xfrm>
                        <a:prstGeom prst="rect"/>
                        <a:solidFill>
                          <a:srgbClr val="FFFFFF">
                            <a:alpha val="0"/>
                          </a:srgbClr>
                        </a:solidFill>
                      </wps:spPr>
                      <wps:txbx>
                        <w:txbxContent>
                          <w:p>
                            <w:pPr>
                              <w:pStyle w:val="Heading3"/>
                              <w:spacing w:before="240" w:after="60"/>
                              <w:ind w:hanging="0" w:start="0"/>
                              <w:rPr/>
                            </w:pPr>
                            <w:r>
                              <w:rPr>
                                <w:rFonts w:eastAsia="Times New Roman" w:cs="Times New Roman" w:ascii="Times New Roman" w:hAnsi="Times New Roman"/>
                                <w:sz w:val="60"/>
                              </w:rPr>
                              <w:t xml:space="preserve"> </w:t>
                            </w:r>
                            <w:r>
                              <w:rPr>
                                <w:rFonts w:cs="Times New Roman" w:ascii="Times New Roman" w:hAnsi="Times New Roman"/>
                                <w:i/>
                                <w:sz w:val="96"/>
                              </w:rPr>
                              <w:t>IPPNY</w:t>
                            </w:r>
                          </w:p>
                        </w:txbxContent>
                      </wps:txbx>
                      <wps:bodyPr anchor="t" lIns="92075" tIns="46355" rIns="92075" bIns="46355">
                        <a:noAutofit/>
                      </wps:bodyPr>
                    </wps:wsp>
                  </a:graphicData>
                </a:graphic>
              </wp:anchor>
            </w:drawing>
          </mc:Choice>
          <mc:Fallback>
            <w:pict>
              <v:rect fillcolor="#FFFFFF" style="position:absolute;rotation:-0;width:324pt;height:64.8pt;mso-wrap-distance-left:9.05pt;mso-wrap-distance-right:9.05pt;mso-wrap-distance-top:0pt;mso-wrap-distance-bottom:0pt;margin-top:0pt;mso-position-vertical-relative:text;margin-left:82.8pt;mso-position-horizontal-relative:text">
                <v:fill opacity="0f"/>
                <v:textbox inset="0.100694444444444in,0.0506944444444444in,0.100694444444444in,0.0506944444444444in">
                  <w:txbxContent>
                    <w:p>
                      <w:pPr>
                        <w:pStyle w:val="Heading3"/>
                        <w:spacing w:before="240" w:after="60"/>
                        <w:ind w:hanging="0" w:start="0"/>
                        <w:rPr/>
                      </w:pPr>
                      <w:r>
                        <w:rPr>
                          <w:rFonts w:eastAsia="Times New Roman" w:cs="Times New Roman" w:ascii="Times New Roman" w:hAnsi="Times New Roman"/>
                          <w:sz w:val="60"/>
                        </w:rPr>
                        <w:t xml:space="preserve"> </w:t>
                      </w:r>
                      <w:r>
                        <w:rPr>
                          <w:rFonts w:cs="Times New Roman" w:ascii="Times New Roman" w:hAnsi="Times New Roman"/>
                          <w:i/>
                          <w:sz w:val="96"/>
                        </w:rPr>
                        <w:t>IPPNY</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1143000</wp:posOffset>
                </wp:positionH>
                <wp:positionV relativeFrom="paragraph">
                  <wp:posOffset>457200</wp:posOffset>
                </wp:positionV>
                <wp:extent cx="3017520" cy="731520"/>
                <wp:effectExtent l="0" t="0" r="0" b="0"/>
                <wp:wrapNone/>
                <wp:docPr id="3" name="Frame1"/>
                <a:graphic xmlns:a="http://schemas.openxmlformats.org/drawingml/2006/main">
                  <a:graphicData uri="http://schemas.microsoft.com/office/word/2010/wordprocessingShape">
                    <wps:wsp>
                      <wps:cNvSpPr txBox="1"/>
                      <wps:spPr>
                        <a:xfrm>
                          <a:off x="0" y="0"/>
                          <a:ext cx="3017520" cy="731520"/>
                        </a:xfrm>
                        <a:prstGeom prst="rect"/>
                        <a:solidFill>
                          <a:srgbClr val="FFFFFF">
                            <a:alpha val="0"/>
                          </a:srgbClr>
                        </a:solidFill>
                      </wps:spPr>
                      <wps:txbx>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Independent Power Producers of New York, Inc.</w:t>
                            </w:r>
                          </w:p>
                        </w:txbxContent>
                      </wps:txbx>
                      <wps:bodyPr anchor="t" lIns="92075" tIns="46355" rIns="92075" bIns="46355">
                        <a:noAutofit/>
                      </wps:bodyPr>
                    </wps:wsp>
                  </a:graphicData>
                </a:graphic>
              </wp:anchor>
            </w:drawing>
          </mc:Choice>
          <mc:Fallback>
            <w:pict>
              <v:rect fillcolor="#FFFFFF" style="position:absolute;rotation:-0;width:237.6pt;height:57.6pt;mso-wrap-distance-left:9.05pt;mso-wrap-distance-right:9.05pt;mso-wrap-distance-top:0pt;mso-wrap-distance-bottom:0pt;margin-top:36pt;mso-position-vertical-relative:text;margin-left:90pt;mso-position-horizontal-relative:text">
                <v:fill opacity="0f"/>
                <v:textbox inset="0.100694444444444in,0.0506944444444444in,0.100694444444444in,0.0506944444444444in">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Independent Power Producers of New York, Inc.</w:t>
                      </w:r>
                    </w:p>
                  </w:txbxContent>
                </v:textbox>
                <w10:wrap type="none"/>
              </v:rect>
            </w:pict>
          </mc:Fallback>
        </mc:AlternateContent>
      </w:r>
    </w:p>
    <w:p>
      <w:pPr>
        <w:pStyle w:val="Heading3"/>
        <w:spacing w:before="0" w:after="0"/>
        <w:ind w:hanging="0" w:start="0"/>
        <w:jc w:val="center"/>
        <w:rPr>
          <w:rFonts w:eastAsia="Times New Roman"/>
          <w:sz w:val="110"/>
        </w:rPr>
      </w:pPr>
      <w:r>
        <w:rPr>
          <w:rFonts w:eastAsia="Times New Roman"/>
          <w:sz w:val="110"/>
        </w:rPr>
      </w:r>
    </w:p>
    <w:p>
      <w:pPr>
        <w:pStyle w:val="Heading3"/>
        <w:ind w:hanging="0" w:start="0"/>
        <w:jc w:val="center"/>
        <w:rPr>
          <w:rFonts w:ascii="Times New Roman" w:hAnsi="Times New Roman" w:cs="Times New Roman"/>
          <w:sz w:val="28"/>
        </w:rPr>
      </w:pPr>
      <w:r>
        <w:rPr>
          <w:rFonts w:cs="Times New Roman" w:ascii="Times New Roman" w:hAnsi="Times New Roman"/>
          <w:sz w:val="28"/>
        </w:rPr>
        <w:t>IPPNY’s Energy Solutions Program</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color w:val="000000"/>
        </w:rPr>
      </w:pPr>
      <w:r>
        <w:rPr>
          <w:rFonts w:cs="Times New Roman" w:ascii="Times New Roman" w:hAnsi="Times New Roman"/>
          <w:color w:val="000000"/>
        </w:rPr>
        <w:t>IPPNY’s Energy Solutions Program (ESP) is a five-point program whose implementation by energy companies, and state and federal agencies would help ensure that New York has adequate and reliable energy supplies.</w:t>
      </w:r>
    </w:p>
    <w:p>
      <w:pPr>
        <w:pStyle w:val="Normal"/>
        <w:ind w:start="360" w:end="0"/>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b/>
          <w:color w:val="000000"/>
        </w:rPr>
      </w:pPr>
      <w:r>
        <w:rPr>
          <w:rFonts w:cs="Times New Roman" w:ascii="Times New Roman" w:hAnsi="Times New Roman"/>
          <w:color w:val="000000"/>
        </w:rPr>
        <w:t>The ESP consists of the following components:</w:t>
      </w:r>
    </w:p>
    <w:p>
      <w:pPr>
        <w:pStyle w:val="Normal"/>
        <w:ind w:start="360" w:end="0"/>
        <w:rPr>
          <w:rFonts w:ascii="Times New Roman" w:hAnsi="Times New Roman" w:cs="Times New Roman"/>
          <w:b/>
          <w:color w:val="000000"/>
        </w:rPr>
      </w:pPr>
      <w:r>
        <w:rPr>
          <w:rFonts w:cs="Times New Roman" w:ascii="Times New Roman" w:hAnsi="Times New Roman"/>
          <w:b/>
          <w:color w:val="000000"/>
        </w:rPr>
      </w:r>
    </w:p>
    <w:p>
      <w:pPr>
        <w:pStyle w:val="Normal"/>
        <w:numPr>
          <w:ilvl w:val="0"/>
          <w:numId w:val="2"/>
        </w:numPr>
        <w:rPr>
          <w:rFonts w:ascii="Times New Roman" w:hAnsi="Times New Roman" w:cs="Times New Roman"/>
          <w:b/>
          <w:color w:val="000000"/>
        </w:rPr>
      </w:pPr>
      <w:r>
        <w:rPr>
          <w:rFonts w:cs="Times New Roman" w:ascii="Times New Roman" w:hAnsi="Times New Roman"/>
          <w:b/>
          <w:color w:val="000000"/>
        </w:rPr>
        <w:t>Increased electricity conservation.</w:t>
      </w:r>
    </w:p>
    <w:p>
      <w:pPr>
        <w:pStyle w:val="Normal"/>
        <w:rPr>
          <w:rFonts w:ascii="Times New Roman" w:hAnsi="Times New Roman" w:cs="Times New Roman"/>
          <w:b/>
          <w:color w:val="000000"/>
        </w:rPr>
      </w:pPr>
      <w:r>
        <w:rPr>
          <w:rFonts w:cs="Times New Roman" w:ascii="Times New Roman" w:hAnsi="Times New Roman"/>
          <w:b/>
          <w:color w:val="000000"/>
        </w:rPr>
      </w:r>
    </w:p>
    <w:p>
      <w:pPr>
        <w:pStyle w:val="Normal"/>
        <w:ind w:start="90" w:end="0"/>
        <w:rPr>
          <w:rFonts w:ascii="Times New Roman" w:hAnsi="Times New Roman" w:cs="Times New Roman"/>
          <w:color w:val="000000"/>
        </w:rPr>
      </w:pPr>
      <w:r>
        <w:rPr>
          <w:rFonts w:cs="Times New Roman" w:ascii="Times New Roman" w:hAnsi="Times New Roman"/>
          <w:color w:val="000000"/>
        </w:rPr>
        <w:t>Energy conservation, particularly by large electricity users, can help reduce New York’s power needs in the short term, as well as produce long-term price stability.</w:t>
      </w:r>
    </w:p>
    <w:p>
      <w:pPr>
        <w:pStyle w:val="Normal"/>
        <w:ind w:start="1440" w:end="0"/>
        <w:rPr>
          <w:rFonts w:ascii="Times New Roman" w:hAnsi="Times New Roman" w:cs="Times New Roman"/>
          <w:color w:val="000000"/>
          <w:u w:val="single"/>
        </w:rPr>
      </w:pPr>
      <w:r>
        <w:rPr>
          <w:rFonts w:cs="Times New Roman" w:ascii="Times New Roman" w:hAnsi="Times New Roman"/>
          <w:color w:val="000000"/>
          <w:u w:val="single"/>
        </w:rPr>
      </w:r>
    </w:p>
    <w:p>
      <w:pPr>
        <w:pStyle w:val="Normal"/>
        <w:ind w:start="90" w:end="0"/>
        <w:rPr>
          <w:rFonts w:ascii="Times New Roman" w:hAnsi="Times New Roman" w:cs="Times New Roman"/>
          <w:color w:val="000000"/>
        </w:rPr>
      </w:pPr>
      <w:r>
        <w:rPr>
          <w:rFonts w:cs="Times New Roman" w:ascii="Times New Roman" w:hAnsi="Times New Roman"/>
          <w:color w:val="000000"/>
        </w:rPr>
        <w:t>The New York Energy Research and Development Authority’s  (NYSERDA) “Energy $mart” program provides energy efficiency information and conducts research and development on energy efficiency, while providing incentives to consumers to purchase energy efficient products. NYSERDA estimates its energy conservation efforts can have the same impact on the state’s power supply as building a 156-megawatt power plant.</w:t>
      </w:r>
    </w:p>
    <w:p>
      <w:pPr>
        <w:pStyle w:val="Normal"/>
        <w:ind w:firstLine="720" w:end="0"/>
        <w:rPr>
          <w:rFonts w:ascii="Times New Roman" w:hAnsi="Times New Roman" w:cs="Times New Roman"/>
          <w:color w:val="000000"/>
        </w:rPr>
      </w:pPr>
      <w:r>
        <w:rPr>
          <w:rFonts w:cs="Times New Roman" w:ascii="Times New Roman" w:hAnsi="Times New Roman"/>
          <w:color w:val="000000"/>
        </w:rPr>
      </w:r>
    </w:p>
    <w:p>
      <w:pPr>
        <w:pStyle w:val="Normal"/>
        <w:ind w:start="90" w:end="0"/>
        <w:rPr>
          <w:rFonts w:ascii="Times New Roman" w:hAnsi="Times New Roman" w:cs="Times New Roman"/>
          <w:color w:val="000000"/>
        </w:rPr>
      </w:pPr>
      <w:r>
        <w:rPr>
          <w:rFonts w:cs="Times New Roman" w:ascii="Times New Roman" w:hAnsi="Times New Roman"/>
          <w:color w:val="000000"/>
        </w:rPr>
        <w:t>Individual efforts to use less electricity and use it at off-peak times, by washing clothes in the early morning and turning off unneeded lights, for example, can save as much as 138 megawatts statewide, the New York Independent System Operator (NYISO) estimates.</w:t>
      </w:r>
    </w:p>
    <w:p>
      <w:pPr>
        <w:pStyle w:val="Normal"/>
        <w:rPr>
          <w:rFonts w:ascii="Times New Roman" w:hAnsi="Times New Roman" w:cs="Times New Roman"/>
          <w:color w:val="000000"/>
        </w:rPr>
      </w:pPr>
      <w:r>
        <w:rPr>
          <w:rFonts w:cs="Times New Roman" w:ascii="Times New Roman" w:hAnsi="Times New Roman"/>
          <w:color w:val="000000"/>
        </w:rPr>
      </w:r>
    </w:p>
    <w:p>
      <w:pPr>
        <w:pStyle w:val="BodyText2"/>
        <w:numPr>
          <w:ilvl w:val="0"/>
          <w:numId w:val="2"/>
        </w:numPr>
        <w:rPr/>
      </w:pPr>
      <w:r>
        <w:rPr/>
        <w:t xml:space="preserve">Encouraging utilities to employ a blend of short-term and longer-term forward contracts and risk management techniques that result in stable, predictable electricity prices for consumers. </w:t>
      </w:r>
    </w:p>
    <w:p>
      <w:pPr>
        <w:pStyle w:val="BodyText2"/>
        <w:rPr>
          <w:b w:val="false"/>
        </w:rPr>
      </w:pPr>
      <w:r>
        <w:rPr>
          <w:b w:val="false"/>
        </w:rPr>
      </w:r>
    </w:p>
    <w:p>
      <w:pPr>
        <w:pStyle w:val="BodyText2"/>
        <w:rPr>
          <w:b w:val="false"/>
        </w:rPr>
      </w:pPr>
      <w:r>
        <w:rPr>
          <w:b w:val="false"/>
        </w:rPr>
        <w:t>Consumers should not be overly exposed to the prices in New York's spot markets.</w:t>
      </w:r>
    </w:p>
    <w:p>
      <w:pPr>
        <w:pStyle w:val="Normal"/>
        <w:rPr>
          <w:rFonts w:ascii="Times New Roman" w:hAnsi="Times New Roman" w:cs="Times New Roman"/>
          <w:b/>
          <w:color w:val="000000"/>
        </w:rPr>
      </w:pPr>
      <w:r>
        <w:rPr>
          <w:rFonts w:cs="Times New Roman" w:ascii="Times New Roman" w:hAnsi="Times New Roman"/>
          <w:b/>
          <w:color w:val="000000"/>
        </w:rPr>
      </w:r>
    </w:p>
    <w:p>
      <w:pPr>
        <w:pStyle w:val="BodyText"/>
        <w:rPr/>
      </w:pPr>
      <w:r>
        <w:rPr/>
        <w:t>There has been an over-emphasis on the effect to consumers from prices in the day-to-day “spot” market. Daily spot-market prices sometimes fluctuate significantly — both up and down — as the ISO brings on supply to satisfy demand.  Utilities that supply electricity can insulate consumers from abrupt and significant price changes by employing proven portfolio risk management techniques and enter into a blend of short-term and long-term contracts that provide price stability for consumers. Utilities can also employ contracts, which work like an insurance policy to hedge volatile price increases.</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rPr>
      </w:pPr>
      <w:r>
        <w:rPr>
          <w:rFonts w:cs="Times New Roman" w:ascii="Times New Roman" w:hAnsi="Times New Roman"/>
        </w:rPr>
        <w:t xml:space="preserve">For example, companies can enter into contracts to buy “options” on electricity. If a company believes it might have to buy more electricity than planned, and doesn’t want to pay higher next-day or real time market rates, the company can buy a “call option” which provides a right, but not an obligation, to purchase power at a fixed rate.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Utilities that enter into these types of contracts can obtain lower wholesale rates, thereby avoiding price spikes and the need to pass on increased costs to customers.  Unlike California, New York State permits its electric utilities to enter into these types of contracts.</w:t>
      </w:r>
    </w:p>
    <w:p>
      <w:pPr>
        <w:pStyle w:val="Normal"/>
        <w:rPr>
          <w:rFonts w:ascii="Times New Roman" w:hAnsi="Times New Roman" w:cs="Times New Roman"/>
          <w:color w:val="000000"/>
        </w:rPr>
      </w:pPr>
      <w:r>
        <w:rPr>
          <w:rFonts w:cs="Times New Roman" w:ascii="Times New Roman" w:hAnsi="Times New Roman"/>
          <w:color w:val="000000"/>
        </w:rPr>
      </w:r>
    </w:p>
    <w:p>
      <w:pPr>
        <w:pStyle w:val="Normal"/>
        <w:numPr>
          <w:ilvl w:val="0"/>
          <w:numId w:val="2"/>
        </w:numPr>
        <w:tabs>
          <w:tab w:val="clear" w:pos="720"/>
          <w:tab w:val="left" w:pos="0" w:leader="none"/>
        </w:tabs>
        <w:rPr>
          <w:rFonts w:ascii="Times New Roman" w:hAnsi="Times New Roman" w:cs="Times New Roman"/>
          <w:b/>
          <w:color w:val="000000"/>
        </w:rPr>
      </w:pPr>
      <w:r>
        <w:rPr>
          <w:rFonts w:cs="Times New Roman" w:ascii="Times New Roman" w:hAnsi="Times New Roman"/>
          <w:b/>
          <w:color w:val="000000"/>
        </w:rPr>
        <w:t>Accelerating the Article X siting process so that new, cleaner generating plants, powered by a diverse fuel mix, can be built, while protecting the environment.</w:t>
      </w:r>
    </w:p>
    <w:p>
      <w:pPr>
        <w:pStyle w:val="Normal"/>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0" w:leader="none"/>
        </w:tabs>
        <w:rPr>
          <w:rFonts w:ascii="Times New Roman" w:hAnsi="Times New Roman" w:cs="Times New Roman"/>
          <w:color w:val="000000"/>
        </w:rPr>
      </w:pPr>
      <w:r>
        <w:rPr>
          <w:rFonts w:cs="Times New Roman" w:ascii="Times New Roman" w:hAnsi="Times New Roman"/>
          <w:color w:val="000000"/>
        </w:rPr>
        <w:t>The New York Independent System Operator, the non-profit corporation that oversees New York’s power grid, says the state needs to construct plants capable of producing 8,600 megawatts of power by 2005. One of the reasons California has had rolling outages is that the state did not construct new power plants during the 1990s, relying instead on importing power from neighboring Western states.</w:t>
      </w:r>
    </w:p>
    <w:p>
      <w:pPr>
        <w:pStyle w:val="Normal"/>
        <w:ind w:start="1440" w:end="0"/>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t>New York’s last new, major power plant went on line in 1995, although construction will begin soon on a 1,080-megawatt plant in Athens, Greene County.</w:t>
      </w:r>
    </w:p>
    <w:p>
      <w:pPr>
        <w:pStyle w:val="Normal"/>
        <w:ind w:start="1440" w:end="0"/>
        <w:rPr>
          <w:rFonts w:ascii="Times New Roman" w:hAnsi="Times New Roman" w:cs="Times New Roman"/>
          <w:color w:val="000000"/>
        </w:rPr>
      </w:pPr>
      <w:r>
        <w:rPr>
          <w:rFonts w:cs="Times New Roman" w:ascii="Times New Roman" w:hAnsi="Times New Roman"/>
          <w:color w:val="000000"/>
        </w:rPr>
      </w:r>
    </w:p>
    <w:p>
      <w:pPr>
        <w:pStyle w:val="BodyTextIndent"/>
        <w:ind w:start="0" w:end="0"/>
        <w:rPr/>
      </w:pPr>
      <w:r>
        <w:rPr/>
        <w:t>Additional power plants increase the available supply of electricity and increase competition and efficiency in the wholesale electricity market. In western New York, where there are an adequate number of power plants, wholesale electric rates are lower than they are elsewhere in New York.</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t>In most cases, it takes applicants more than two years to complete the New York permitting process. Once a permit is granted, it takes at least 18 to 24 months to build a new power plant. That means New York State must act quickly to ensure a safe reliable supply of electricity.</w:t>
      </w:r>
    </w:p>
    <w:p>
      <w:pPr>
        <w:pStyle w:val="Normal"/>
        <w:ind w:firstLine="360" w:end="0"/>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t xml:space="preserve">Currently, about 30 percent of New York’s power is generated by natural gas-fired plants, 15 percent of the state’s electricity is generated with coal, and 24 percent of New York’s power comes from nuclear plants. As New York’s power system further develops, it’s important that the state’s fuel mix remain diverse. New York’s power system should not become dependent on one source of fuel. A mix of fuel sources — natural gas, hydropower, wind energy, solar power, biomass, waste-to-energy, nuclear, and coal — ensures that price and supply fluctuations of one type of fuel don’t unduly impact New York’s energy system. </w:t>
      </w:r>
    </w:p>
    <w:p>
      <w:pPr>
        <w:pStyle w:val="BodyTextIndent3"/>
        <w:ind w:start="0" w:end="0"/>
        <w:rPr>
          <w:rFonts w:ascii="Times New Roman" w:hAnsi="Times New Roman" w:cs="Times New Roman"/>
          <w:color w:val="000000"/>
        </w:rPr>
      </w:pPr>
      <w:r>
        <w:rPr>
          <w:rFonts w:cs="Times New Roman"/>
          <w:color w:val="000000"/>
        </w:rPr>
      </w:r>
    </w:p>
    <w:p>
      <w:pPr>
        <w:pStyle w:val="BodyTextIndent3"/>
        <w:numPr>
          <w:ilvl w:val="0"/>
          <w:numId w:val="2"/>
        </w:numPr>
        <w:rPr/>
      </w:pPr>
      <w:r>
        <w:rPr/>
        <w:t>Fostering an efficient, multi-state, regional energy market that allows power to move easily into and out of New York and the surrounding states.</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t>Current administrative and regulatory differences between New York, New England and the PJM ISO, which encompasses Pennsylvania, New Jersey and Maryland, prevent power from flowing smoothly between the three ISOs. It’s like trying to land a plane with three different sets of tower controllers talking the pilot down. These differences can make it difficult to transmit power throughout the three regions in an efficient way.</w:t>
      </w:r>
    </w:p>
    <w:p>
      <w:pPr>
        <w:pStyle w:val="Normal"/>
        <w:ind w:firstLine="720" w:start="720" w:end="0"/>
        <w:rPr>
          <w:rFonts w:ascii="Times New Roman" w:hAnsi="Times New Roman" w:cs="Times New Roman"/>
          <w:color w:val="000000"/>
        </w:rPr>
      </w:pPr>
      <w:r>
        <w:rPr>
          <w:rFonts w:cs="Times New Roman" w:ascii="Times New Roman" w:hAnsi="Times New Roman"/>
          <w:color w:val="000000"/>
        </w:rPr>
      </w:r>
    </w:p>
    <w:p>
      <w:pPr>
        <w:pStyle w:val="BodyText"/>
        <w:tabs>
          <w:tab w:val="clear" w:pos="720"/>
          <w:tab w:val="left" w:pos="0" w:leader="none"/>
        </w:tabs>
        <w:rPr/>
      </w:pPr>
      <w:r>
        <w:rPr/>
        <w:t>The three ISOs and other interested parties should expedite ongoing efforts aimed at eliminating these differences. The recent agreement between the NYISO and ISO New England on sharing operating reserves is an example of how this cooperation can work.</w:t>
      </w:r>
    </w:p>
    <w:p>
      <w:pPr>
        <w:pStyle w:val="BodyText"/>
        <w:rPr>
          <w:b/>
        </w:rPr>
      </w:pPr>
      <w:r>
        <w:rPr>
          <w:b/>
        </w:rPr>
      </w:r>
    </w:p>
    <w:p>
      <w:pPr>
        <w:pStyle w:val="BodyText"/>
        <w:numPr>
          <w:ilvl w:val="0"/>
          <w:numId w:val="2"/>
        </w:numPr>
        <w:rPr>
          <w:b/>
        </w:rPr>
      </w:pPr>
      <w:r>
        <w:rPr>
          <w:b/>
        </w:rPr>
        <w:t>Upgrading transmission lines so power can efficiently flow from where it is produced to where it is needed.</w:t>
      </w:r>
    </w:p>
    <w:p>
      <w:pPr>
        <w:pStyle w:val="BodyText"/>
        <w:rPr>
          <w:b/>
        </w:rPr>
      </w:pPr>
      <w:r>
        <w:rPr>
          <w:b/>
        </w:rPr>
      </w:r>
    </w:p>
    <w:p>
      <w:pPr>
        <w:pStyle w:val="BodyText"/>
        <w:rPr/>
      </w:pPr>
      <w:r>
        <w:rPr/>
        <w:t>New York’s existing transmission infrastructure is aging, and in many cases it is inadequate. In addition, transmission bottlenecks limit the amount of power that can be sent into New York City and Long Island from outside that region.  These bottlenecks result in higher prices downstate and a requirement that a substantial percentage of New York City’s power be generated from within the city.</w:t>
      </w:r>
    </w:p>
    <w:p>
      <w:pPr>
        <w:pStyle w:val="BodyText"/>
        <w:rPr/>
      </w:pPr>
      <w:r>
        <w:rPr/>
      </w:r>
    </w:p>
    <w:p>
      <w:pPr>
        <w:pStyle w:val="Normal"/>
        <w:rPr>
          <w:rFonts w:ascii="Times New Roman" w:hAnsi="Times New Roman" w:cs="Times New Roman"/>
          <w:color w:val="000000"/>
        </w:rPr>
      </w:pPr>
      <w:r>
        <w:rPr>
          <w:rFonts w:cs="Times New Roman" w:ascii="Times New Roman" w:hAnsi="Times New Roman"/>
          <w:color w:val="000000"/>
        </w:rPr>
        <w:t>In other areas of the state, like Western New York, good transmission interconnections with ISOs outside of New York State, including Ontario and PJM, help keep power rates down.</w:t>
      </w:r>
    </w:p>
    <w:p>
      <w:pPr>
        <w:pStyle w:val="Normal"/>
        <w:rPr>
          <w:rFonts w:ascii="Times New Roman" w:hAnsi="Times New Roman" w:cs="Times New Roman"/>
          <w:color w:val="000000"/>
        </w:rPr>
      </w:pPr>
      <w:r>
        <w:rPr>
          <w:rFonts w:cs="Times New Roman" w:ascii="Times New Roman" w:hAnsi="Times New Roman"/>
          <w:color w:val="000000"/>
        </w:rPr>
      </w:r>
    </w:p>
    <w:p>
      <w:pPr>
        <w:pStyle w:val="BodyText"/>
        <w:rPr/>
      </w:pPr>
      <w:r>
        <w:rPr/>
        <w:t>High -technology generating stations proposed for New York seek to use natural gas to produce clean, reliable power on demand. The state needs to ensure that the natural gas pipeline system will support those needed plants. NYSERDA is commissioning a study on the impact of this increased natural gas usage and the state should adopt policies encouraging the development of adequate natural-gas infrastructure.</w:t>
      </w:r>
    </w:p>
    <w:p>
      <w:pPr>
        <w:pStyle w:val="BodyText"/>
        <w:rPr/>
      </w:pPr>
      <w:r>
        <w:rPr/>
      </w:r>
    </w:p>
    <w:p>
      <w:pPr>
        <w:pStyle w:val="Normal"/>
        <w:rPr>
          <w:rFonts w:ascii="Times New Roman" w:hAnsi="Times New Roman" w:cs="Times New Roman"/>
          <w:color w:val="000000"/>
        </w:rPr>
      </w:pPr>
      <w:r>
        <w:rPr>
          <w:rFonts w:cs="Times New Roman" w:ascii="Times New Roman" w:hAnsi="Times New Roman"/>
          <w:color w:val="000000"/>
        </w:rPr>
        <w:t>Finally, policymakers must determine how all of these infrastructure upgrades will be funded.</w:t>
      </w:r>
    </w:p>
    <w:p>
      <w:pPr>
        <w:pStyle w:val="Normal"/>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rPr>
      </w:pPr>
      <w:r>
        <w:rPr>
          <w:rFonts w:cs="Times New Roman" w:ascii="Times New Roman" w:hAnsi="Times New Roman"/>
          <w:color w:val="000000"/>
        </w:rPr>
        <w:t># # #</w:t>
      </w:r>
    </w:p>
    <w:p>
      <w:pPr>
        <w:pStyle w:val="Normal"/>
        <w:rPr>
          <w:rFonts w:ascii="Times New Roman" w:hAnsi="Times New Roman" w:cs="Times New Roman"/>
          <w:color w:val="000000"/>
        </w:rPr>
      </w:pPr>
      <w:r>
        <w:rPr>
          <w:rFonts w:cs="Times New Roman" w:ascii="Times New Roman" w:hAnsi="Times New Roman"/>
          <w:color w:val="000000"/>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360"/>
      </w:pPr>
      <w:rPr/>
    </w:lvl>
    <w:lvl w:ilvl="1">
      <w:start w:val="1"/>
      <w:numFmt w:val="lowerLetter"/>
      <w:lvlText w:val="%2."/>
      <w:lvlJc w:val="start"/>
      <w:pPr>
        <w:tabs>
          <w:tab w:val="num" w:pos="1170"/>
        </w:tabs>
        <w:ind w:start="1170" w:hanging="360"/>
      </w:pPr>
    </w:lvl>
    <w:lvl w:ilvl="2">
      <w:start w:val="1"/>
      <w:numFmt w:val="lowerRoman"/>
      <w:lvlText w:val="%3."/>
      <w:lvlJc w:val="end"/>
      <w:pPr>
        <w:tabs>
          <w:tab w:val="num" w:pos="1890"/>
        </w:tabs>
        <w:ind w:start="1890" w:hanging="180"/>
      </w:pPr>
    </w:lvl>
    <w:lvl w:ilvl="3">
      <w:start w:val="1"/>
      <w:numFmt w:val="decimal"/>
      <w:lvlText w:val="%4."/>
      <w:lvlJc w:val="start"/>
      <w:pPr>
        <w:tabs>
          <w:tab w:val="num" w:pos="2610"/>
        </w:tabs>
        <w:ind w:start="2610" w:hanging="360"/>
      </w:pPr>
    </w:lvl>
    <w:lvl w:ilvl="4">
      <w:start w:val="1"/>
      <w:numFmt w:val="lowerLetter"/>
      <w:lvlText w:val="%5."/>
      <w:lvlJc w:val="start"/>
      <w:pPr>
        <w:tabs>
          <w:tab w:val="num" w:pos="3330"/>
        </w:tabs>
        <w:ind w:start="3330" w:hanging="360"/>
      </w:pPr>
    </w:lvl>
    <w:lvl w:ilvl="5">
      <w:start w:val="1"/>
      <w:numFmt w:val="lowerRoman"/>
      <w:lvlText w:val="%6."/>
      <w:lvlJc w:val="end"/>
      <w:pPr>
        <w:tabs>
          <w:tab w:val="num" w:pos="4050"/>
        </w:tabs>
        <w:ind w:start="4050" w:hanging="180"/>
      </w:pPr>
    </w:lvl>
    <w:lvl w:ilvl="6">
      <w:start w:val="1"/>
      <w:numFmt w:val="decimal"/>
      <w:lvlText w:val="%7."/>
      <w:lvlJc w:val="start"/>
      <w:pPr>
        <w:tabs>
          <w:tab w:val="num" w:pos="4770"/>
        </w:tabs>
        <w:ind w:start="4770" w:hanging="360"/>
      </w:pPr>
    </w:lvl>
    <w:lvl w:ilvl="7">
      <w:start w:val="1"/>
      <w:numFmt w:val="lowerLetter"/>
      <w:lvlText w:val="%8."/>
      <w:lvlJc w:val="start"/>
      <w:pPr>
        <w:tabs>
          <w:tab w:val="num" w:pos="5490"/>
        </w:tabs>
        <w:ind w:start="5490" w:hanging="360"/>
      </w:pPr>
    </w:lvl>
    <w:lvl w:ilvl="8">
      <w:start w:val="1"/>
      <w:numFmt w:val="lowerRoman"/>
      <w:lvlText w:val="%9."/>
      <w:lvlJc w:val="end"/>
      <w:pPr>
        <w:tabs>
          <w:tab w:val="num" w:pos="6210"/>
        </w:tabs>
        <w:ind w:start="621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color w:val="000000"/>
      <w:sz w:val="28"/>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sz w:val="28"/>
    </w:rPr>
  </w:style>
  <w:style w:type="paragraph" w:styleId="Heading3">
    <w:name w:val="heading 3"/>
    <w:basedOn w:val="Normal"/>
    <w:next w:val="Normal"/>
    <w:qFormat/>
    <w:pPr>
      <w:keepNext w:val="true"/>
      <w:numPr>
        <w:ilvl w:val="2"/>
        <w:numId w:val="1"/>
      </w:numPr>
      <w:spacing w:before="240" w:after="60"/>
      <w:outlineLvl w:val="2"/>
    </w:pPr>
    <w:rPr>
      <w:rFonts w:ascii="Helvetica" w:hAnsi="Helvetica" w:cs="Helvetica"/>
      <w:b/>
      <w:sz w:val="26"/>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Times" w:hAnsi="Times" w:cs="Times"/>
      <w:color w:val="000000"/>
    </w:rPr>
  </w:style>
  <w:style w:type="character" w:styleId="WW8Num5z0">
    <w:name w:val="WW8Num5z0"/>
    <w:qFormat/>
    <w:rPr>
      <w:rFonts w:ascii="Times" w:hAnsi="Times" w:cs="Times"/>
      <w:color w:val="000000"/>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Times New Roman" w:hAnsi="Times New Roman" w:cs="Times New Roman"/>
      <w:color w:val="000000"/>
    </w:rPr>
  </w:style>
  <w:style w:type="paragraph" w:styleId="BodyTextIndent2">
    <w:name w:val="Body Text Indent 2"/>
    <w:basedOn w:val="Normal"/>
    <w:qFormat/>
    <w:pPr>
      <w:ind w:firstLine="720" w:start="720" w:end="0"/>
    </w:pPr>
    <w:rPr>
      <w:rFonts w:ascii="Times New Roman" w:hAnsi="Times New Roman" w:cs="Times New Roman"/>
      <w:b/>
      <w:i/>
      <w:color w:val="000000"/>
      <w:sz w:val="28"/>
    </w:rPr>
  </w:style>
  <w:style w:type="paragraph" w:styleId="BodyTextIndent3">
    <w:name w:val="Body Text Indent 3"/>
    <w:basedOn w:val="Normal"/>
    <w:qFormat/>
    <w:pPr>
      <w:ind w:hanging="0" w:start="720" w:end="0"/>
    </w:pPr>
    <w:rPr>
      <w:rFonts w:ascii="Times New Roman" w:hAnsi="Times New Roman" w:cs="Times New Roman"/>
      <w:b/>
      <w:color w:val="000000"/>
    </w:rPr>
  </w:style>
  <w:style w:type="paragraph" w:styleId="BodyText2">
    <w:name w:val="Body Text 2"/>
    <w:basedOn w:val="Normal"/>
    <w:qFormat/>
    <w:pPr/>
    <w:rPr>
      <w:rFonts w:ascii="Times New Roman" w:hAnsi="Times New Roman" w:cs="Times New Roman"/>
      <w:b/>
      <w:color w:val="00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2001-07-01T15:18:00Z</dcterms:created>
  <dc:creator>Carolyn M. Brown</dc:creator>
  <dc:description/>
  <dc:language>en-CA</dc:language>
  <cp:lastModifiedBy>SSK</cp:lastModifiedBy>
  <cp:lastPrinted>2001-06-29T12:52:00Z</cp:lastPrinted>
  <dcterms:modified xsi:type="dcterms:W3CDTF">2001-07-01T18:55:00Z</dcterms:modified>
  <cp:revision>10</cp:revision>
  <dc:subject/>
  <dc:title>IPPNY’s Energy Solutions Program-</dc:title>
</cp:coreProperties>
</file>