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360" w:after="240"/>
        <w:ind w:hanging="0" w:start="0"/>
        <w:rPr>
          <w:u w:val="none"/>
        </w:rPr>
      </w:pPr>
      <w:r>
        <w:rPr>
          <w:u w:val="none"/>
        </w:rPr>
        <w:t>united states of america</w:t>
        <w:br/>
        <w:t xml:space="preserve"> before the</w:t>
        <w:br/>
        <w:t>federal energy regulatory commission</w:t>
      </w:r>
    </w:p>
    <w:p>
      <w:pPr>
        <w:pStyle w:val="HEADING1TITLE"/>
        <w:spacing w:lineRule="exact" w:line="240"/>
        <w:rPr>
          <w:u w:val="none"/>
        </w:rPr>
      </w:pPr>
      <w:r>
        <w:rPr>
          <w:u w:val="none"/>
        </w:rPr>
      </w:r>
    </w:p>
    <w:p>
      <w:pPr>
        <w:pStyle w:val="Normal"/>
        <w:rPr/>
      </w:pPr>
      <w:r>
        <w:rPr/>
      </w:r>
    </w:p>
    <w:p>
      <w:pPr>
        <w:pStyle w:val="Normal"/>
        <w:tabs>
          <w:tab w:val="clear" w:pos="720"/>
          <w:tab w:val="left" w:pos="3600" w:leader="none"/>
          <w:tab w:val="left" w:pos="5040" w:leader="none"/>
        </w:tabs>
        <w:rPr/>
      </w:pPr>
      <w:r>
        <w:rPr/>
        <w:t>Consolidated Edison Company of</w:t>
        <w:tab/>
        <w:tab/>
        <w:t>Docket No. ER01-1385-000</w:t>
        <w:br/>
        <w:t xml:space="preserve">   New York, Inc.</w:t>
        <w:tab/>
        <w:tab/>
        <w:t>Docket No. EL01-45-000</w:t>
      </w:r>
    </w:p>
    <w:p>
      <w:pPr>
        <w:pStyle w:val="Normal"/>
        <w:rPr/>
      </w:pPr>
      <w:r>
        <w:rPr/>
        <w:tab/>
        <w:tab/>
        <w:tab/>
        <w:tab/>
        <w:tab/>
      </w:r>
    </w:p>
    <w:p>
      <w:pPr>
        <w:pStyle w:val="Normal"/>
        <w:rPr/>
      </w:pPr>
      <w:r>
        <w:rPr/>
        <w:tab/>
        <w:tab/>
        <w:tab/>
        <w:tab/>
        <w:tab/>
      </w:r>
    </w:p>
    <w:p>
      <w:pPr>
        <w:pStyle w:val="Normal"/>
        <w:rPr/>
      </w:pPr>
      <w:r>
        <w:rPr/>
      </w:r>
    </w:p>
    <w:p>
      <w:pPr>
        <w:pStyle w:val="Heading1"/>
        <w:ind w:hanging="0" w:start="0"/>
        <w:rPr>
          <w:u w:val="none"/>
        </w:rPr>
      </w:pPr>
      <w:r>
        <w:rPr>
          <w:u w:val="none"/>
        </w:rPr>
        <w:t xml:space="preserve">motion to intervene and protest of </w:t>
        <w:br/>
        <w:t xml:space="preserve">independent power producers of new york, Inc. </w:t>
        <w:br/>
        <w:t>and Electric power supply association</w:t>
      </w:r>
    </w:p>
    <w:p>
      <w:pPr>
        <w:pStyle w:val="Normal"/>
        <w:rPr>
          <w:u w:val="none"/>
        </w:rPr>
      </w:pPr>
      <w:r>
        <w:rPr>
          <w:u w:val="none"/>
        </w:rPr>
      </w:r>
    </w:p>
    <w:p>
      <w:pPr>
        <w:pStyle w:val="REGULAR2"/>
        <w:rPr/>
      </w:pPr>
      <w:r>
        <w:rPr/>
        <w:t>On March 1, 2001, Consolidated Edison Company of New York, Inc. (“Con Edison”), filed with the Federal Energy Regulatory Commission (“Commission”), pursuant to Sections 205, 206 and 309 of the Federal Power Act, a request to revise the Localized Market Power Mitigation Measures Applicable to Sales of Capacity, Energy, and Certain Ancillary Services from Specified Generating Units in New York City (“Mitigation Measures”).  Pursuant to Rules 211 and 214 of the Commission’s Rules of Practice and Procedure, 18 C.F.R. §§ 385.211 and 385.214 (2000), and the Secretary’s March 7, 2001, Notice of Filing, the Independent Power Producers of New York, Inc. ("IPPNY"), and the Electric Power Supply Association (“EPSA”) hereby move to intervene and protest in the above-captioned proceeding.</w:t>
      </w:r>
    </w:p>
    <w:p>
      <w:pPr>
        <w:pStyle w:val="REGULAR2"/>
        <w:rPr/>
      </w:pPr>
      <w:r>
        <w:rPr/>
        <w:t>IPPNY and ESPA state the following in support of their Motion to Intervene and Protest:</w:t>
      </w:r>
    </w:p>
    <w:p>
      <w:pPr>
        <w:pStyle w:val="Heading3"/>
        <w:rPr/>
      </w:pPr>
      <w:r>
        <w:rPr/>
        <w:t>I.</w:t>
        <w:tab/>
        <w:t>communications</w:t>
      </w:r>
    </w:p>
    <w:p>
      <w:pPr>
        <w:pStyle w:val="REGULAR2"/>
        <w:rPr/>
      </w:pPr>
      <w:r>
        <w:rPr/>
        <w:t>The persons who should be included on the official service list in this proceeding and to whom communications concerning this motion should be addressed are:</w:t>
      </w:r>
    </w:p>
    <w:p>
      <w:pPr>
        <w:pStyle w:val="REGULAR2"/>
        <w:spacing w:lineRule="exact" w:line="240"/>
        <w:ind w:hanging="0" w:end="0"/>
        <w:rPr/>
      </w:pPr>
      <w:r>
        <w:rPr/>
        <w:t>David B. Johnson</w:t>
        <w:tab/>
        <w:tab/>
        <w:t>Glenn Haake</w:t>
        <w:tab/>
        <w:tab/>
        <w:tab/>
        <w:tab/>
        <w:t>Julie Simon</w:t>
        <w:br/>
        <w:t>Read and Laniado, LLP</w:t>
        <w:tab/>
        <w:t xml:space="preserve">General Counsel </w:t>
        <w:tab/>
        <w:tab/>
        <w:tab/>
        <w:t xml:space="preserve">Electric Power Supply </w:t>
        <w:br/>
        <w:t>25 Eagle Street</w:t>
        <w:tab/>
        <w:tab/>
        <w:t>Independent Power Producers</w:t>
        <w:tab/>
        <w:tab/>
        <w:t>Association</w:t>
        <w:br/>
        <w:t xml:space="preserve">Albany, New York 12207      </w:t>
        <w:tab/>
        <w:t>of New York, Inc.</w:t>
        <w:tab/>
        <w:tab/>
        <w:tab/>
        <w:t>1401 New York Ave. NW</w:t>
        <w:br/>
        <w:t>Tel:</w:t>
        <w:tab/>
        <w:t>518-465-9313</w:t>
        <w:tab/>
        <w:tab/>
        <w:t>291 Hudson Avenue</w:t>
        <w:tab/>
        <w:tab/>
        <w:tab/>
        <w:t>11</w:t>
      </w:r>
      <w:r>
        <w:rPr>
          <w:vertAlign w:val="superscript"/>
        </w:rPr>
        <w:t>th</w:t>
      </w:r>
      <w:r>
        <w:rPr/>
        <w:t xml:space="preserve"> Floor</w:t>
        <w:br/>
        <w:t>Fax:</w:t>
        <w:tab/>
        <w:t>518-465-9315</w:t>
        <w:tab/>
        <w:tab/>
        <w:t>Albany, New York 12210</w:t>
        <w:tab/>
        <w:tab/>
        <w:t>Washington, D.C. 20005</w:t>
        <w:br/>
        <w:tab/>
        <w:tab/>
        <w:tab/>
        <w:tab/>
        <w:t>Tel:</w:t>
        <w:tab/>
        <w:t>518-436-3749</w:t>
        <w:tab/>
        <w:tab/>
        <w:tab/>
        <w:t>Tel:</w:t>
        <w:tab/>
        <w:t>202-628-8200</w:t>
        <w:br/>
        <w:tab/>
        <w:tab/>
        <w:tab/>
        <w:tab/>
        <w:t>Fax:</w:t>
        <w:tab/>
        <w:t>518-436-0369</w:t>
        <w:tab/>
        <w:tab/>
        <w:tab/>
        <w:t>Fax:</w:t>
        <w:tab/>
        <w:t>202-628-8260</w:t>
      </w:r>
    </w:p>
    <w:p>
      <w:pPr>
        <w:pStyle w:val="Heading3"/>
        <w:rPr/>
      </w:pPr>
      <w:r>
        <w:rPr/>
        <w:t>II.</w:t>
        <w:tab/>
        <w:t>background</w:t>
      </w:r>
    </w:p>
    <w:p>
      <w:pPr>
        <w:pStyle w:val="REGULAR2"/>
        <w:rPr/>
      </w:pPr>
      <w:r>
        <w:rPr/>
        <w:t>In its March 1 filing, Con Edison states that revisions to the Mitigation Measures are necessary to “close certain loopholes in their coverage” that it believes have become apparent since the NYISO commenced operations.  March 1 filing at 1.  Con Edison claims that New York City consumers have been excessively charged tens of millions of dollars because the Mitigation Measures have failed to prevent the exercise of localized market power.  Con Edison proposes revisions to the Mitigation Measures that would expand the application of mitigation to:  1. the real-time market; 2. all instances where generation must be operated out of merit due to local reliability requirements; 3. start-up and minimum generation bids whenever mitigation would apply to a unit’s incremental energy bid; 4. all in-City units, rather than only the facilities divested by Con Edison.  Con Edison requests that the revised Mitigation Measures become effective May 1, 2001.</w:t>
      </w:r>
    </w:p>
    <w:p>
      <w:pPr>
        <w:pStyle w:val="REGULAR2"/>
        <w:rPr/>
      </w:pPr>
      <w:r>
        <w:rPr/>
        <w:t xml:space="preserve">As discussed below, Con Edison has failed to meet its burden imposed under Sections 205 and 206 of the Federal Power Act of proving that the revisions to the Mitigation Measures are just and reasonable or that the existing Mitigation Measures are unjust, unreasonable, unduly discriminatory or preferential.  Con Edison’s proposed revisions are unnecessary because the New York Independent System Operator’s mitigation measures administered by its Market Monitoring Unit (“MMU”) are adequate to detect and mitigate localized market power in New York City.  In addition, the proposed revisions will harm the development of a robust competitive market by inhibiting the entry of critically needed supply in New York City and by undermining incentives for Con Edison to implement prudent demand response options, such as hedging and bilateral arrangements.           </w:t>
      </w:r>
    </w:p>
    <w:p>
      <w:pPr>
        <w:pStyle w:val="Heading3"/>
        <w:rPr/>
      </w:pPr>
      <w:r>
        <w:rPr/>
        <w:t>iiI.</w:t>
        <w:tab/>
        <w:t>motion to intervene</w:t>
      </w:r>
    </w:p>
    <w:p>
      <w:pPr>
        <w:pStyle w:val="REGULAR2"/>
        <w:rPr/>
      </w:pPr>
      <w:r>
        <w:rPr/>
        <w:t>IPPNY is a not-for-profit trade association represent</w:t>
        <w:softHyphen/>
        <w:t>ing the independent power industry in New York State.  Its members include more than 100 companies involved in the development, operation, marketing and sale of electric power in New York.  IPPNY's principal place of business is located at 291 Hudson Avenue, Albany, New York 12210.  IPPNY’s members include generating facilities and power marketers that seek to compete in the NYISO’s administered markets and thus may be adversely affected by the Commission’s approval of Con Edison’s request to revise the Mitigation Measures.</w:t>
      </w:r>
    </w:p>
    <w:p>
      <w:pPr>
        <w:pStyle w:val="REGULAR2"/>
        <w:rPr/>
      </w:pPr>
      <w:r>
        <w:rPr/>
        <w:t xml:space="preserve">EPSA is the national trade association representing competitive power suppliers active in the U.S. and global power markets.  EPSA’s members, which include power generators, power marketers, and suppliers of goods and services in the electric power supply industry, share a commitment to bringing the benefits of competition to all electric customers.     </w:t>
        <w:tab/>
      </w:r>
    </w:p>
    <w:p>
      <w:pPr>
        <w:pStyle w:val="REGULAR2"/>
        <w:rPr/>
      </w:pPr>
      <w:r>
        <w:rPr/>
        <w:t>IPPNY’s and EPSA’s intervention is in the public interest because the approval of Con Edison’s requested relief in its March 1 filing could discourage the development of critically needed generating capacity in the New York City region and decrease reliability during times of peak demand.  Thus, IPPNY and EPSA, by and through their members, have a direct stake in the outcome of this proceeding and may be bound or adversely affected by the Commission’s final determination of this matter.</w:t>
      </w:r>
    </w:p>
    <w:p>
      <w:pPr>
        <w:pStyle w:val="Heading3"/>
        <w:rPr/>
      </w:pPr>
      <w:r>
        <w:rPr/>
        <w:t>IV.</w:t>
        <w:tab/>
        <w:t>protest</w:t>
      </w:r>
    </w:p>
    <w:p>
      <w:pPr>
        <w:pStyle w:val="Heading4"/>
        <w:numPr>
          <w:ilvl w:val="0"/>
          <w:numId w:val="2"/>
        </w:numPr>
        <w:rPr/>
      </w:pPr>
      <w:r>
        <w:rPr/>
        <w:t>Con Edison Has Failed To justify its proposed revisions to the mitigation measures.</w:t>
      </w:r>
    </w:p>
    <w:p>
      <w:pPr>
        <w:pStyle w:val="REGULAR2"/>
        <w:rPr/>
      </w:pPr>
      <w:r>
        <w:rPr/>
        <w:t>Pursuant to Section 205 of the Federal Power Act, 16 U.S.C. § 824d, Con Edison must prove that its proposed revisions to the Mitigation Measures are just and reasonable before the Commission can approve them.  16 U.S.C. § 824(d) (1984).  Pursuant to Section 206, Con Edison has the additional burden of proving that the existing Mitigation Measures are unjust and unreasonable before it can receive the Commission’s approval.  16 U.S.C. § 824(e) (1984).</w:t>
      </w:r>
      <w:r>
        <w:rPr>
          <w:rStyle w:val="FootnoteCharacters"/>
          <w:rStyle w:val="FootnoteReference"/>
        </w:rPr>
        <w:footnoteReference w:id="2"/>
      </w:r>
      <w:r>
        <w:rPr/>
        <w:t xml:space="preserve">  For the reasons discussed below, the NYISO has failed to meet its burden of proof under either Section 205 or 206.   </w:t>
      </w:r>
    </w:p>
    <w:p>
      <w:pPr>
        <w:pStyle w:val="REGULAR2"/>
        <w:rPr/>
      </w:pPr>
      <w:r>
        <w:rPr/>
        <w:t>Con Edison alleges that New York City consumers have been excessively charged tens of millions of dollars as a result of localized market power.  Con Edison’s claim is unconvincing because the NYISO’s MMU, the independent entity charged with ensuring that high prices are not the result of the exercise of market power, has made no findings, to IPPNY’s knowledge, of localized market power in New York City.</w:t>
      </w:r>
      <w:r>
        <w:rPr>
          <w:rStyle w:val="FootnoteCharacters"/>
          <w:rStyle w:val="FootnoteReference"/>
        </w:rPr>
        <w:footnoteReference w:id="3"/>
      </w:r>
      <w:r>
        <w:rPr/>
        <w:t xml:space="preserve">  Nor did Con Edison, to IPPNY’s knowledge, file any formal complaints to the NYISO’s MMU to seek the MMU’s assistance in mitigating the alleged exercise of localized market power in New York City.  Con Edison’s proposed</w:t>
      </w:r>
      <w:r>
        <w:rPr>
          <w:b/>
        </w:rPr>
        <w:t xml:space="preserve"> </w:t>
      </w:r>
      <w:r>
        <w:rPr/>
        <w:t>revisions to the Mitigation Measures are simply unnecessary because the NYISO’s MMU already has the tools to address localized market power that may result in improper prices.</w:t>
      </w:r>
      <w:r>
        <w:rPr>
          <w:rStyle w:val="FootnoteCharacters"/>
          <w:rStyle w:val="FootnoteReference"/>
        </w:rPr>
        <w:footnoteReference w:id="4"/>
      </w:r>
      <w:r>
        <w:rPr/>
        <w:t xml:space="preserve"> </w:t>
      </w:r>
    </w:p>
    <w:p>
      <w:pPr>
        <w:pStyle w:val="REGULAR2"/>
        <w:rPr/>
      </w:pPr>
      <w:r>
        <w:rPr/>
        <w:t xml:space="preserve">The NYISO has ample authority under its Market Monitoring Plan and Market Power Mitigation Plan (“MPMP”) to address localized market power issues in New York City.  In approving the NYISO’s MPMP, the Commission determined that the NYISO’s ability to mitigate market participants’ conduct “will help to remedy market power quickly and deter participants from exercising market power.”  </w:t>
      </w:r>
      <w:r>
        <w:rPr>
          <w:i/>
        </w:rPr>
        <w:t>New York Independent System Operator, Inc</w:t>
      </w:r>
      <w:r>
        <w:rPr/>
        <w:t xml:space="preserve">., 89 FERC ¶ 61,196 (1999), </w:t>
      </w:r>
      <w:r>
        <w:rPr>
          <w:i/>
        </w:rPr>
        <w:t>order on rehearing and on compliance filing</w:t>
      </w:r>
      <w:r>
        <w:rPr/>
        <w:t>, 90 FERC ¶ 61,317 (2000</w:t>
      </w:r>
      <w:r>
        <w:rPr>
          <w:b/>
        </w:rPr>
        <w:t>)</w:t>
      </w:r>
      <w:r>
        <w:rPr/>
        <w:t xml:space="preserve">.  The NYISO's MPMP specifies that physical or economic withholding of an electric facility is the type of conduct that may warrant mitigation.  Con Edison’s argument that generators can circumvent the Mitigation Measures by submitting high bids for start-up and minimum generation ignores the fact that the NYISO’s MMU monitors and mitigates this type of conduct.  The NYISO is authorized to impose mitigation for economic withholding when minimum generation bids increase by the lower of 300 percent or $100 per MWh or when start-up cost bids increase 200 percent.  If a generator’s bids do not rise above the thresholds for mitigation but the MMU believes prices are not the result of competitive market conditions, the MPMP authorizes the NYISO to file under Section 205 with the Commission to apply an appropriate mitigation measure.  Thus, if generators are bidding “far above competitive levels,” as Con Edison claims, March 1 filing at 2, the MMU is fully capable of remedying the situation.  </w:t>
      </w:r>
    </w:p>
    <w:p>
      <w:pPr>
        <w:pStyle w:val="REGULAR2"/>
        <w:rPr/>
      </w:pPr>
      <w:r>
        <w:rPr/>
        <w:t>Further, Con Edison’s proposal to extend the Mitigation Measures to all units in New York City is premature</w:t>
      </w:r>
      <w:r>
        <w:rPr>
          <w:b/>
        </w:rPr>
        <w:t>,</w:t>
      </w:r>
      <w:r>
        <w:rPr/>
        <w:t xml:space="preserve"> because the addition of new capacity will likely make the in-City market more competitive.  Market power should decrease as new suppliers enter the market.  Any new units constructed will be required to seek authorization from the Commission to sell energy at market-based rates.  The Commission should decide at the time it reviews the applications for market-based rate authority whether additional Mitigation Measures are appropriate.      </w:t>
      </w:r>
    </w:p>
    <w:p>
      <w:pPr>
        <w:pStyle w:val="REGULAR2"/>
        <w:rPr/>
      </w:pPr>
      <w:r>
        <w:rPr/>
        <w:t>In addition, Con Edison’s proposal to extend the Mitigation Measures to the real-time market is unnecessary</w:t>
      </w:r>
      <w:r>
        <w:rPr>
          <w:b/>
        </w:rPr>
        <w:t>,</w:t>
      </w:r>
      <w:r>
        <w:rPr/>
        <w:t xml:space="preserve"> because it can enter into hedging arrangements that adequately mitigate the impact of high energy prices in the real-time market.  Con Edison can enter into bilateral agreements with suppliers to assure price certainty at known levels.  Con Edison can also bid more of its requirements into the NYISO’s day-ahead market to avoid the potential volatility of the real-time energy market.  Imposing Con Edison’s proposed revisions will only serve to discourage the market from using these hedging alternatives.  If the market is to learn to use these alternative hedging mechanisms properly, it must receive real prices signals.  The Commission should not allow Con Edison to impose new Mitigation Measures just because it fails to avail itself of readily available methods to mitigate high prices.  Thus, the Commission should reject Con Edison’s proposal.</w:t>
      </w:r>
    </w:p>
    <w:p>
      <w:pPr>
        <w:pStyle w:val="Heading4"/>
        <w:rPr/>
      </w:pPr>
      <w:r>
        <w:rPr/>
        <w:t>B.</w:t>
        <w:tab/>
        <w:t>con edison’s proposed revisions to the mitigation measures will harm the development of a robust competitive market by inhibiting the entry of critically needed supply in New York City.</w:t>
      </w:r>
    </w:p>
    <w:p>
      <w:pPr>
        <w:pStyle w:val="REGULAR2"/>
        <w:rPr/>
      </w:pPr>
      <w:r>
        <w:rPr/>
        <w:t>Con Edison’s request to broaden the applicability of the Mitigation Measures is a major step backwards from the Commission’s goal of introducing meaningful competition.  If granted, Con Edison’s request will create unnecessary uncertainty in the market, undercut commercial transactions</w:t>
      </w:r>
      <w:r>
        <w:rPr>
          <w:b/>
        </w:rPr>
        <w:t xml:space="preserve">, </w:t>
      </w:r>
      <w:r>
        <w:rPr/>
        <w:t>stifle the development of forward markets and chill entry of critically needed energy supplies into New York during the critical peak summer demand period.  During times of supply shortages, the Commission should do everything possible to encourage the development of new generation in New York.  Con Edison’s proposals will in fact discourage generators from siting in New York City, increasing the risk that system reliability problems will occur in the future.</w:t>
      </w:r>
    </w:p>
    <w:p>
      <w:pPr>
        <w:pStyle w:val="REGULAR2"/>
        <w:rPr/>
      </w:pPr>
      <w:r>
        <w:rPr>
          <w:rFonts w:cs="CG Times" w:ascii="CG Times" w:hAnsi="CG Times"/>
        </w:rPr>
        <w:t>The Commission’s recently stated policy regarding market mitigation is clear that mitigation should only be applied during the most severe supply/demand imbalances.</w:t>
      </w:r>
      <w:r>
        <w:rPr>
          <w:rStyle w:val="FootnoteCharacters"/>
          <w:rStyle w:val="FootnoteReference"/>
          <w:rFonts w:cs="CG Times" w:ascii="CG Times" w:hAnsi="CG Times"/>
        </w:rPr>
        <w:footnoteReference w:id="5"/>
      </w:r>
      <w:r>
        <w:rPr>
          <w:rFonts w:cs="CG Times" w:ascii="CG Times" w:hAnsi="CG Times"/>
        </w:rPr>
        <w:t xml:space="preserve">  The Commission ruled that mitigation should be applied in the California market only</w:t>
      </w:r>
      <w:r>
        <w:rPr>
          <w:rFonts w:cs="CG Times" w:ascii="CG Times" w:hAnsi="CG Times"/>
          <w:b/>
        </w:rPr>
        <w:t xml:space="preserve"> </w:t>
      </w:r>
      <w:r>
        <w:rPr>
          <w:rFonts w:cs="CG Times" w:ascii="CG Times" w:hAnsi="CG Times"/>
        </w:rPr>
        <w:t xml:space="preserve">during </w:t>
      </w:r>
      <w:r>
        <w:rPr>
          <w:rFonts w:cs="CG Times" w:ascii="CG Times" w:hAnsi="CG Times"/>
          <w:lang w:eastAsia="en-US"/>
        </w:rPr>
        <w:t>Stage 3 Emergencies, which occur when operating reserves are at or below 1.5 percent of load and, “therefore, represent the most severe supply/demand imbalance.”</w:t>
      </w:r>
      <w:r>
        <w:rPr>
          <w:rStyle w:val="FootnoteCharacters"/>
          <w:rStyle w:val="FootnoteReference"/>
          <w:rFonts w:cs="CG Times" w:ascii="CG Times" w:hAnsi="CG Times"/>
          <w:sz w:val="24"/>
          <w:lang w:eastAsia="en-US"/>
        </w:rPr>
        <w:footnoteReference w:id="6"/>
      </w:r>
      <w:r>
        <w:rPr>
          <w:rFonts w:cs="CG Times" w:ascii="CG Times" w:hAnsi="CG Times"/>
          <w:lang w:eastAsia="en-US"/>
        </w:rPr>
        <w:t xml:space="preserve">  The Commission’s Staff espoused the same policy in the “Staff Recommendation on Prospective Market Monitoring and Mitigation for the California Wholesale Electric Power Market” issued March 2001 (“Staff Recommendation”).  Staff recommends that price mitigation be applied in California:</w:t>
      </w:r>
    </w:p>
    <w:p>
      <w:pPr>
        <w:pStyle w:val="QUOTATION"/>
        <w:rPr>
          <w:lang w:eastAsia="en-US"/>
        </w:rPr>
      </w:pPr>
      <w:r>
        <w:rPr>
          <w:lang w:eastAsia="en-US"/>
        </w:rPr>
        <w:t>only for a defined and limited period.  Successful mitigation should permit prices to fulfill their role in the marketplace, providing incentives for the development of new and more efficient infrastructure in electricity supply, transmission and demand reduction.  The marketplace needs confidence that a credible timetable is in place for the removal of this regulatory constraints [sic] to competitive markets.  Simply put, the price mitigation must be limited enough in scope and term that it will not serve as a crutch to delay long-term improvements.  Staff Recommendation at 19-20.</w:t>
      </w:r>
    </w:p>
    <w:p>
      <w:pPr>
        <w:pStyle w:val="REGULAR2"/>
        <w:ind w:hanging="0" w:end="0"/>
        <w:rPr>
          <w:rFonts w:ascii="CG Times" w:hAnsi="CG Times" w:cs="CG Times"/>
        </w:rPr>
      </w:pPr>
      <w:r>
        <w:rPr>
          <w:rFonts w:cs="CG Times" w:ascii="CG Times" w:hAnsi="CG Times"/>
        </w:rPr>
        <w:t xml:space="preserve">Staff strongly recommended that the price mitigation expire within no more than one year.  </w:t>
      </w:r>
    </w:p>
    <w:p>
      <w:pPr>
        <w:pStyle w:val="REGULAR2"/>
        <w:rPr>
          <w:rFonts w:ascii="CG Times" w:hAnsi="CG Times" w:cs="CG Times"/>
        </w:rPr>
      </w:pPr>
      <w:r>
        <w:rPr>
          <w:rFonts w:cs="CG Times" w:ascii="CG Times" w:hAnsi="CG Times"/>
        </w:rPr>
        <w:t xml:space="preserve">Just as in California, long-term improvements in electricity supply, transmission and demand reduction infrastructure are critically needed in New York City.  While the supply/demand balance may be tight in New York City this summer, however, it is unlikely that </w:t>
      </w:r>
      <w:r>
        <w:rPr>
          <w:rFonts w:cs="CG Times" w:ascii="CG Times" w:hAnsi="CG Times"/>
          <w:lang w:eastAsia="en-US"/>
        </w:rPr>
        <w:t>operating reserves will be at or below 1.5 percent of load for many hours.  If reserves do fall below this level, the NYISO’s MMU has the tools necessary to mitigate high prices caused by market power, as discussed in point A above.</w:t>
      </w:r>
    </w:p>
    <w:p>
      <w:pPr>
        <w:pStyle w:val="REGULAR2"/>
        <w:rPr/>
      </w:pPr>
      <w:r>
        <w:rPr/>
        <w:t xml:space="preserve">If the Commission’s goal of encouraging the growth of competitive markets is to succeed, it must allow the natural interplay of supply and demand to determine prices without imposing artificial restraints.  Con Edison’s proposal has the potential to degrade system reliability by chilling the development of badly needed new generation in New York City.  Correct price signals will encourage the development of new generation and assure that generators are fully ready to operate at peak times.  Suppliers of capacity and energy rely on accurate price signals in determining when, or whether, to operate and to finance and develop new generation projects.  Suppliers face uncertain risk because once the revised Mitigation Measures are imposed, there is no guarantee that they will not be extended, or even tightened, in the future or applied more broadly to other aspects of the market.  The solution to reducing high prices in the market is to encourage greater numbers of suppliers to enter the market, not to impose artificial restraints on prices that will drive away beneficial competition.  </w:t>
      </w:r>
    </w:p>
    <w:p>
      <w:pPr>
        <w:pStyle w:val="Heading1"/>
        <w:ind w:hanging="0" w:start="0"/>
        <w:rPr/>
      </w:pPr>
      <w:r>
        <w:rPr/>
        <w:t>CONCLUSION</w:t>
      </w:r>
    </w:p>
    <w:p>
      <w:pPr>
        <w:pStyle w:val="REGULAR2"/>
        <w:rPr/>
      </w:pPr>
      <w:r>
        <w:rPr/>
        <w:t xml:space="preserve">In light of the foregoing, IPPNY and EPSA respectfully requests that the Commission reject Con Edison’s proposed revisions to the Mitigation Measures.    </w:t>
      </w:r>
    </w:p>
    <w:p>
      <w:pPr>
        <w:pStyle w:val="CLOSING"/>
        <w:rPr/>
      </w:pPr>
      <w:r>
        <w:rPr/>
        <w:t>Respectfully submitted,</w:t>
        <w:br/>
        <w:br/>
        <w:t>Julie Simon</w:t>
        <w:br/>
        <w:t>Electric Power Supply Association</w:t>
        <w:br/>
        <w:t>1401 New York Ave. NW</w:t>
        <w:br/>
        <w:t>11</w:t>
      </w:r>
      <w:r>
        <w:rPr>
          <w:vertAlign w:val="superscript"/>
        </w:rPr>
        <w:t>th</w:t>
      </w:r>
      <w:r>
        <w:rPr/>
        <w:t xml:space="preserve"> Floor</w:t>
        <w:br/>
        <w:t>Washington, D.C. 20005</w:t>
        <w:br/>
        <w:br/>
        <w:t>READ AND LANIADO, LLP</w:t>
        <w:br/>
        <w:t>25 Eagle Street</w:t>
        <w:br/>
        <w:t>Albany, New York  12207</w:t>
        <w:br/>
        <w:t xml:space="preserve">Attorneys for </w:t>
        <w:br/>
        <w:t>Independent Power Producers</w:t>
        <w:br/>
        <w:t>of New York, Inc.</w:t>
      </w:r>
    </w:p>
    <w:p>
      <w:pPr>
        <w:pStyle w:val="BY"/>
        <w:rPr/>
      </w:pPr>
      <w:r>
        <w:rPr/>
        <w:t>By:</w:t>
        <w:tab/>
        <w:tab/>
        <w:br/>
        <w:t xml:space="preserve">   David B. Johnson</w:t>
        <w:br/>
      </w:r>
    </w:p>
    <w:p>
      <w:pPr>
        <w:pStyle w:val="DATED"/>
        <w:rPr>
          <w:rFonts w:ascii="Times;Times New Roman" w:hAnsi="Times;Times New Roman" w:cs="Times;Times New Roman"/>
        </w:rPr>
      </w:pPr>
      <w:r>
        <w:rPr/>
        <w:t>Dated:</w:t>
        <w:tab/>
        <w:t>March 17, 2001</w:t>
        <w:br/>
        <w:t>Albany, New York.</w:t>
      </w:r>
    </w:p>
    <w:p>
      <w:pPr>
        <w:pStyle w:val="CLOSING"/>
        <w:rPr>
          <w:rFonts w:ascii="Times;Times New Roman" w:hAnsi="Times;Times New Roman" w:cs="Times;Times New Roman"/>
        </w:rPr>
      </w:pPr>
      <w:r>
        <w:rPr>
          <w:rFonts w:cs="Times;Times New Roman" w:ascii="Times;Times New Roman" w:hAnsi="Times;Times New Roman"/>
        </w:rPr>
      </w:r>
    </w:p>
    <w:p>
      <w:pPr>
        <w:pStyle w:val="CLOSING"/>
        <w:rPr/>
      </w:pPr>
      <w:r>
        <w:rPr/>
      </w:r>
    </w:p>
    <w:p>
      <w:pPr>
        <w:pStyle w:val="BY"/>
        <w:rPr/>
      </w:pPr>
      <w:r>
        <w:rPr/>
        <w:tab/>
        <w:tab/>
      </w:r>
    </w:p>
    <w:p>
      <w:pPr>
        <w:pStyle w:val="Normal"/>
        <w:ind w:start="5040" w:end="0"/>
        <w:rPr>
          <w:rFonts w:ascii="Times;Times New Roman" w:hAnsi="Times;Times New Roman" w:cs="Times;Times New Roman"/>
        </w:rPr>
      </w:pPr>
      <w:r>
        <w:rPr/>
        <w:br/>
        <w:br/>
      </w:r>
    </w:p>
    <w:p>
      <w:pPr>
        <w:pStyle w:val="Normal"/>
        <w:rPr>
          <w:rFonts w:ascii="Times;Times New Roman" w:hAnsi="Times;Times New Roman" w:cs="Times;Times New Roman"/>
        </w:rPr>
      </w:pPr>
      <w:r>
        <w:rPr>
          <w:rFonts w:cs="Times;Times New Roman" w:ascii="Times;Times New Roman" w:hAnsi="Times;Times New Roman"/>
        </w:rPr>
      </w:r>
    </w:p>
    <w:p>
      <w:pPr>
        <w:pStyle w:val="Normal"/>
        <w:rPr>
          <w:rFonts w:ascii="Times;Times New Roman" w:hAnsi="Times;Times New Roman" w:cs="Times;Times New Roman"/>
        </w:rPr>
      </w:pPr>
      <w:r>
        <w:rPr>
          <w:rFonts w:cs="Times;Times New Roman" w:ascii="Times;Times New Roman" w:hAnsi="Times;Times New Roman"/>
        </w:rPr>
      </w:r>
    </w:p>
    <w:p>
      <w:pPr>
        <w:pStyle w:val="Normal"/>
        <w:rPr>
          <w:rFonts w:ascii="Times;Times New Roman" w:hAnsi="Times;Times New Roman" w:cs="Times;Times New Roman"/>
        </w:rPr>
      </w:pPr>
      <w:r>
        <w:rPr>
          <w:rFonts w:cs="Times;Times New Roman" w:ascii="Times;Times New Roman" w:hAnsi="Times;Times New Roman"/>
        </w:rPr>
      </w:r>
    </w:p>
    <w:p>
      <w:pPr>
        <w:pStyle w:val="Normal"/>
        <w:rPr>
          <w:rFonts w:ascii="Times;Times New Roman" w:hAnsi="Times;Times New Roman" w:cs="Times;Times New Roman"/>
        </w:rPr>
      </w:pPr>
      <w:r>
        <w:rPr>
          <w:rFonts w:cs="Times;Times New Roman" w:ascii="Times;Times New Roman" w:hAnsi="Times;Times New Roman"/>
        </w:rPr>
      </w:r>
    </w:p>
    <w:p>
      <w:pPr>
        <w:pStyle w:val="Normal"/>
        <w:rPr>
          <w:rFonts w:ascii="Times;Times New Roman" w:hAnsi="Times;Times New Roman" w:cs="Times;Times New Roman"/>
        </w:rPr>
      </w:pPr>
      <w:r>
        <w:rPr>
          <w:rFonts w:cs="Times;Times New Roman" w:ascii="Times;Times New Roman" w:hAnsi="Times;Times New Roman"/>
        </w:rPr>
      </w:r>
    </w:p>
    <w:p>
      <w:pPr>
        <w:pStyle w:val="Normal"/>
        <w:rPr>
          <w:rFonts w:ascii="Times;Times New Roman" w:hAnsi="Times;Times New Roman" w:cs="Times;Times New Roman"/>
        </w:rPr>
      </w:pPr>
      <w:r>
        <w:rPr>
          <w:rFonts w:cs="Times;Times New Roman" w:ascii="Times;Times New Roman" w:hAnsi="Times;Times New Roman"/>
        </w:rPr>
      </w:r>
    </w:p>
    <w:p>
      <w:pPr>
        <w:pStyle w:val="Normal"/>
        <w:rPr>
          <w:rFonts w:ascii="Times;Times New Roman" w:hAnsi="Times;Times New Roman" w:cs="Times;Times New Roman"/>
        </w:rPr>
      </w:pPr>
      <w:r>
        <w:rPr>
          <w:rFonts w:cs="Times;Times New Roman" w:ascii="Times;Times New Roman" w:hAnsi="Times;Times New Roman"/>
        </w:rPr>
      </w:r>
    </w:p>
    <w:p>
      <w:pPr>
        <w:pStyle w:val="Normal"/>
        <w:rPr>
          <w:rFonts w:ascii="Times;Times New Roman" w:hAnsi="Times;Times New Roman" w:cs="Times;Times New Roman"/>
        </w:rPr>
      </w:pPr>
      <w:r>
        <w:rPr>
          <w:rFonts w:cs="Times;Times New Roman" w:ascii="Times;Times New Roman" w:hAnsi="Times;Times New Roman"/>
        </w:rPr>
      </w:r>
    </w:p>
    <w:p>
      <w:pPr>
        <w:pStyle w:val="Normal"/>
        <w:rPr>
          <w:rFonts w:ascii="Times;Times New Roman" w:hAnsi="Times;Times New Roman" w:cs="Times;Times New Roman"/>
        </w:rPr>
      </w:pPr>
      <w:r>
        <w:rPr>
          <w:rFonts w:cs="Times;Times New Roman" w:ascii="Times;Times New Roman" w:hAnsi="Times;Times New Roman"/>
        </w:rPr>
      </w:r>
    </w:p>
    <w:p>
      <w:pPr>
        <w:pStyle w:val="Normal"/>
        <w:rPr>
          <w:rFonts w:ascii="Times;Times New Roman" w:hAnsi="Times;Times New Roman" w:cs="Times;Times New Roman"/>
        </w:rPr>
      </w:pPr>
      <w:r>
        <w:rPr>
          <w:rFonts w:cs="Times;Times New Roman" w:ascii="Times;Times New Roman" w:hAnsi="Times;Times New Roman"/>
        </w:rPr>
      </w:r>
    </w:p>
    <w:p>
      <w:pPr>
        <w:pStyle w:val="Normal"/>
        <w:rPr>
          <w:rFonts w:ascii="Times;Times New Roman" w:hAnsi="Times;Times New Roman" w:cs="Times;Times New Roman"/>
        </w:rPr>
      </w:pPr>
      <w:r>
        <w:rPr>
          <w:rFonts w:cs="Times;Times New Roman" w:ascii="Times;Times New Roman" w:hAnsi="Times;Times New Roman"/>
        </w:rPr>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CG Times">
    <w:charset w:val="00" w:characterSet="windows-1252"/>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5240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5240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2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uto" w:line="240" w:before="0" w:after="240"/>
        <w:rPr/>
      </w:pPr>
      <w:r>
        <w:rPr>
          <w:rStyle w:val="FootnoteCharacters"/>
        </w:rPr>
        <w:footnoteRef/>
      </w:r>
      <w:r>
        <w:rPr/>
        <w:t xml:space="preserve"> </w:t>
      </w:r>
      <w:r>
        <w:rPr/>
        <w:t xml:space="preserve">While Con Edison filed its request for relief under both Sections 205 and 206 of the FPA, the Commission should require Con Edison to meet the higher burden of proof under Section 206.  When the Commission approved the Mitigation Measures in 1998, </w:t>
      </w:r>
      <w:r>
        <w:rPr>
          <w:i/>
        </w:rPr>
        <w:t>Consolidated Edison Co. of New York, Inc</w:t>
      </w:r>
      <w:r>
        <w:rPr/>
        <w:t xml:space="preserve">., 84 FERC ¶ 61,287 (1998), the NYISO had not yet commenced operating and Con Edison had not yet divested its generating assets.  Since the NYISO is now responsible for administering the Mitigation Measures as part of its own Market Power Mitigation Plan, Con Edison should only be allowed to seek revisions pursuant to Section 206.  Con Edison should be treated no differently than any other market participant that seeks changes to the NYISO’s market rules.  Only the NYISO should be able to seek revisions to the Mitigation Measures pursuant to Section 205 after receiving concurrence from its Management Committee.   </w:t>
      </w:r>
    </w:p>
  </w:footnote>
  <w:footnote w:id="3">
    <w:p>
      <w:pPr>
        <w:pStyle w:val="FootnoteText"/>
        <w:spacing w:lineRule="auto" w:line="240" w:before="0" w:after="240"/>
        <w:rPr/>
      </w:pPr>
      <w:r>
        <w:rPr>
          <w:rStyle w:val="FootnoteCharacters"/>
        </w:rPr>
        <w:footnoteRef/>
      </w:r>
      <w:r>
        <w:rPr/>
        <w:t xml:space="preserve">  </w:t>
      </w:r>
      <w:r>
        <w:rPr/>
        <w:t>Con Edison’s request to revise the Mitigation Measures was filed soon after the Commission rejected Con Edison request to lower the MPMP thresholds.  Con Edison’s pattern of seeking regulatory control over market prices may stem from its incentive plan with the New York State Public Service Commission which rewards the company’s shareholders for “</w:t>
      </w:r>
      <w:r>
        <w:rPr>
          <w:rFonts w:cs="Times New Roman" w:ascii="Times New Roman" w:hAnsi="Times New Roman"/>
        </w:rPr>
        <w:t xml:space="preserve">substantial good faith efforts to mitigate prices and price volatility in the ISO market.  Such efforts will include Company proposals and active support for mitigation measures such as circuit breakers, price caps, NYC mitigation, corrections of market flaws, modifications of software and systems to improve efficiency.”  Cite Excessive Earnings Incentive. </w:t>
      </w:r>
      <w:r>
        <w:rPr/>
        <w:t xml:space="preserve">  </w:t>
      </w:r>
    </w:p>
  </w:footnote>
  <w:footnote w:id="4">
    <w:p>
      <w:pPr>
        <w:pStyle w:val="FootnoteText"/>
        <w:spacing w:lineRule="auto" w:line="240" w:before="0" w:after="240"/>
        <w:rPr/>
      </w:pPr>
      <w:r>
        <w:rPr>
          <w:rStyle w:val="FootnoteCharacters"/>
        </w:rPr>
        <w:footnoteRef/>
      </w:r>
      <w:r>
        <w:rPr/>
        <w:t xml:space="preserve"> </w:t>
      </w:r>
      <w:r>
        <w:rPr/>
        <w:t xml:space="preserve">Con Edison’s claim that the Mitigation Measures “contain unanticipated loopholes” because the NYISO’s market rules have changed to allow suppliers to offer higher bids in the real-time market is disingenuous.  Before Con Edison filed the Mitigation Measures with the Commission on June 1, 1998, the proposed NYISO market rules allowed suppliers to raise their bids in the real-time market for additional energy from generators that were committed by the NYISO in the day-ahead market.  Supplemental Filing to the Comprehensive Proposal to Restructure the New York Wholesale Electric Market, Volume III, Section 4.17, Original Sheet Nos. 16-17 (filed December 19, 1997).  As Con Edison was one of the drafters of the NYISO’s market rules, it must have been aware that suppliers would be able to raise bids into the real-time market if they were only partially committed in the day-ahead market. </w:t>
      </w:r>
    </w:p>
  </w:footnote>
  <w:footnote w:id="5">
    <w:p>
      <w:pPr>
        <w:pStyle w:val="FootnoteText"/>
        <w:spacing w:lineRule="auto" w:line="240" w:before="0" w:after="240"/>
        <w:rPr/>
      </w:pPr>
      <w:r>
        <w:rPr>
          <w:rStyle w:val="FootnoteCharacters"/>
        </w:rPr>
        <w:footnoteRef/>
      </w:r>
      <w:r>
        <w:rPr/>
        <w:t xml:space="preserve"> </w:t>
      </w:r>
      <w:r>
        <w:rPr>
          <w:i/>
        </w:rPr>
        <w:t>San Diego Gas &amp; Electric Company</w:t>
      </w:r>
      <w:r>
        <w:rPr/>
        <w:t>, 94 FERC ¶ 61,245 (2001).</w:t>
      </w:r>
    </w:p>
  </w:footnote>
  <w:footnote w:id="6">
    <w:p>
      <w:pPr>
        <w:pStyle w:val="FootnoteText"/>
        <w:spacing w:lineRule="auto" w:line="240" w:before="0" w:after="240"/>
        <w:rPr/>
      </w:pPr>
      <w:r>
        <w:rPr>
          <w:rStyle w:val="FootnoteCharacters"/>
        </w:rPr>
        <w:footnoteRef/>
      </w:r>
      <w:r>
        <w:rPr/>
        <w:t xml:space="preserve"> </w:t>
      </w:r>
      <w:r>
        <w:rPr/>
        <w:t>94 FERC ¶ 61,245 slip op. at 4.</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CONFIDENTIAL DRAFT</w:t>
      <w:tab/>
    </w:r>
    <w:r>
      <w:rPr/>
      <w:fldChar w:fldCharType="begin"/>
    </w:r>
    <w:r>
      <w:rPr/>
      <w:instrText xml:space="preserve"> CREATEDATE \@"dd/MM/yyyy\ HH:mm:ss" </w:instrText>
    </w:r>
    <w:r>
      <w:rPr/>
      <w:fldChar w:fldCharType="separate"/>
    </w:r>
    <w:r>
      <w:rPr/>
      <w:t>03/18/01 7:50 AM</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CONFIDENTIAL DRAFT</w:t>
      <w:tab/>
    </w:r>
    <w:r>
      <w:rPr/>
      <w:fldChar w:fldCharType="begin"/>
    </w:r>
    <w:r>
      <w:rPr/>
      <w:instrText xml:space="preserve"> CREATEDATE \@"dd/MM/yyyy\ HH:mm:ss" </w:instrText>
    </w:r>
    <w:r>
      <w:rPr/>
      <w:fldChar w:fldCharType="separate"/>
    </w:r>
    <w:r>
      <w:rPr/>
      <w:t>03/18/01 7:50 AM</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440"/>
        </w:tabs>
        <w:ind w:start="1440" w:hanging="720"/>
      </w:pPr>
      <w:r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40"/>
    </w:pPr>
    <w:rPr>
      <w:rFonts w:ascii="CG Times (W1);Times New Roman" w:hAnsi="CG Times (W1);Times New Roman" w:eastAsia="Times New Roman" w:cs="CG Times (W1);Times New Roman"/>
      <w:color w:val="auto"/>
      <w:sz w:val="24"/>
      <w:szCs w:val="20"/>
      <w:lang w:val="en-US" w:eastAsia="zh-CN" w:bidi="hi-IN"/>
    </w:rPr>
  </w:style>
  <w:style w:type="paragraph" w:styleId="Heading1">
    <w:name w:val="heading 1"/>
    <w:basedOn w:val="Normal"/>
    <w:next w:val="Normal"/>
    <w:qFormat/>
    <w:pPr>
      <w:keepNext w:val="true"/>
      <w:numPr>
        <w:ilvl w:val="0"/>
        <w:numId w:val="1"/>
      </w:numPr>
      <w:suppressAutoHyphens w:val="true"/>
      <w:spacing w:before="360" w:after="240"/>
      <w:jc w:val="center"/>
      <w:outlineLvl w:val="0"/>
    </w:pPr>
    <w:rPr>
      <w:caps/>
      <w:kern w:val="2"/>
      <w:u w:val="single"/>
    </w:rPr>
  </w:style>
  <w:style w:type="paragraph" w:styleId="Heading2">
    <w:name w:val="heading 2"/>
    <w:basedOn w:val="Normal"/>
    <w:next w:val="Normal"/>
    <w:qFormat/>
    <w:pPr>
      <w:keepNext w:val="true"/>
      <w:numPr>
        <w:ilvl w:val="1"/>
        <w:numId w:val="1"/>
      </w:numPr>
      <w:suppressAutoHyphens w:val="true"/>
      <w:spacing w:before="240" w:after="240"/>
      <w:jc w:val="center"/>
      <w:outlineLvl w:val="1"/>
    </w:pPr>
    <w:rPr>
      <w:u w:val="single"/>
    </w:rPr>
  </w:style>
  <w:style w:type="paragraph" w:styleId="Heading3">
    <w:name w:val="heading 3"/>
    <w:basedOn w:val="Normal"/>
    <w:next w:val="Normal"/>
    <w:qFormat/>
    <w:pPr>
      <w:keepNext w:val="true"/>
      <w:numPr>
        <w:ilvl w:val="2"/>
        <w:numId w:val="1"/>
      </w:numPr>
      <w:tabs>
        <w:tab w:val="clear" w:pos="720"/>
        <w:tab w:val="left" w:pos="1440" w:leader="none"/>
      </w:tabs>
      <w:suppressAutoHyphens w:val="true"/>
      <w:spacing w:lineRule="exact" w:line="360" w:before="240" w:after="240"/>
      <w:ind w:hanging="1440" w:start="1440" w:end="1440"/>
      <w:outlineLvl w:val="2"/>
    </w:pPr>
    <w:rPr>
      <w:b/>
      <w:caps/>
    </w:rPr>
  </w:style>
  <w:style w:type="paragraph" w:styleId="Heading4">
    <w:name w:val="heading 4"/>
    <w:basedOn w:val="Normal"/>
    <w:next w:val="Normal"/>
    <w:qFormat/>
    <w:pPr>
      <w:keepNext w:val="true"/>
      <w:numPr>
        <w:ilvl w:val="3"/>
        <w:numId w:val="1"/>
      </w:numPr>
      <w:suppressAutoHyphens w:val="true"/>
      <w:spacing w:before="240" w:after="240"/>
      <w:ind w:hanging="720" w:start="1440" w:end="1440"/>
      <w:outlineLvl w:val="3"/>
    </w:pPr>
    <w:rPr>
      <w:caps/>
    </w:rPr>
  </w:style>
  <w:style w:type="paragraph" w:styleId="Heading5">
    <w:name w:val="heading 5"/>
    <w:basedOn w:val="Normal"/>
    <w:next w:val="Normal"/>
    <w:qFormat/>
    <w:pPr>
      <w:numPr>
        <w:ilvl w:val="4"/>
        <w:numId w:val="1"/>
      </w:numPr>
      <w:spacing w:before="240" w:after="60"/>
      <w:ind w:hanging="720" w:start="2160" w:end="1440"/>
      <w:outlineLvl w:val="4"/>
    </w:pPr>
    <w:rPr/>
  </w:style>
  <w:style w:type="paragraph" w:styleId="Heading6">
    <w:name w:val="heading 6"/>
    <w:basedOn w:val="Normal"/>
    <w:next w:val="Normal"/>
    <w:qFormat/>
    <w:pPr>
      <w:numPr>
        <w:ilvl w:val="5"/>
        <w:numId w:val="1"/>
      </w:numPr>
      <w:tabs>
        <w:tab w:val="clear" w:pos="720"/>
        <w:tab w:val="left" w:pos="3312" w:leader="none"/>
      </w:tabs>
      <w:spacing w:before="0" w:after="120"/>
      <w:ind w:hanging="1152" w:start="3312" w:end="720"/>
      <w:outlineLvl w:val="5"/>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FootnoteCharacters">
    <w:name w:val="Footnote Characters"/>
    <w:basedOn w:val="DefaultParagraphFont"/>
    <w:qFormat/>
    <w:rPr>
      <w:rFonts w:ascii="CG Times (W1);Times New Roman" w:hAnsi="CG Times (W1);Times New Roman" w:cs="CG Times (W1);Times New Roman"/>
      <w:sz w:val="22"/>
      <w:vertAlign w:val="superscript"/>
    </w:rPr>
  </w:style>
  <w:style w:type="character" w:styleId="PageNumber">
    <w:name w:val="page number"/>
    <w:basedOn w:val="DefaultParagraphFont"/>
    <w:rPr>
      <w:rFonts w:ascii="CG Times (W1);Times New Roman" w:hAnsi="CG Times (W1);Times New Roman" w:cs="CG Times (W1);Times New Roman"/>
      <w:position w:val="0"/>
      <w:sz w:val="24"/>
      <w:sz w:val="24"/>
      <w:vertAlign w:val="baselin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auto" w:line="240"/>
      <w:jc w:val="center"/>
    </w:pPr>
    <w:rPr>
      <w:rFonts w:ascii="Times New Roman" w:hAnsi="Times New Roman" w:cs="Times New Roman"/>
      <w:b/>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lineRule="auto" w:line="240" w:before="0" w:after="240"/>
    </w:pPr>
    <w:rPr/>
  </w:style>
  <w:style w:type="paragraph" w:styleId="QUOTATION">
    <w:name w:val="QUOTATION"/>
    <w:basedOn w:val="Normal"/>
    <w:qFormat/>
    <w:pPr>
      <w:keepNext w:val="true"/>
      <w:spacing w:before="120" w:after="120"/>
      <w:ind w:hanging="0" w:start="1440" w:end="1440"/>
    </w:pPr>
    <w:rPr/>
  </w:style>
  <w:style w:type="paragraph" w:styleId="REGULAR2">
    <w:name w:val="REGULAR 2"/>
    <w:basedOn w:val="Normal"/>
    <w:qFormat/>
    <w:pPr>
      <w:spacing w:lineRule="exact" w:line="480" w:before="120" w:after="120"/>
      <w:ind w:firstLine="720" w:start="0" w:end="0"/>
    </w:pPr>
    <w:rPr/>
  </w:style>
  <w:style w:type="paragraph" w:styleId="REGULAR1">
    <w:name w:val="REGULAR 1"/>
    <w:basedOn w:val="REGULAR2"/>
    <w:qFormat/>
    <w:pPr/>
    <w:rPr>
      <w:caps/>
    </w:rPr>
  </w:style>
  <w:style w:type="paragraph" w:styleId="TITLE-DOCUMENT">
    <w:name w:val="TITLE-DOCUMENT"/>
    <w:basedOn w:val="Normal"/>
    <w:qFormat/>
    <w:pPr>
      <w:suppressAutoHyphens w:val="true"/>
      <w:spacing w:lineRule="exact" w:line="480" w:before="480" w:after="0"/>
      <w:ind w:hanging="0" w:start="1440" w:end="1440"/>
      <w:jc w:val="center"/>
    </w:pPr>
    <w:rPr>
      <w:b/>
      <w:caps/>
      <w:u w:val="single"/>
    </w:rPr>
  </w:style>
  <w:style w:type="paragraph" w:styleId="HEADING1TITLE">
    <w:name w:val="HEADING1 TITLE"/>
    <w:basedOn w:val="TITLE-DOCUMENT"/>
    <w:qFormat/>
    <w:pPr>
      <w:spacing w:before="360" w:after="0"/>
    </w:pPr>
    <w:rPr>
      <w:b w:val="false"/>
    </w:rPr>
  </w:style>
  <w:style w:type="paragraph" w:styleId="HEADING2SUBTITLE">
    <w:name w:val="HEADING2 SUBTITLE"/>
    <w:basedOn w:val="HEADING1TITLE"/>
    <w:qFormat/>
    <w:pPr>
      <w:spacing w:before="240" w:after="0"/>
    </w:pPr>
    <w:rPr>
      <w:caps w:val="false"/>
      <w:smallCaps w:val="false"/>
    </w:rPr>
  </w:style>
  <w:style w:type="paragraph" w:styleId="ListNumber5">
    <w:name w:val="List Number 5"/>
    <w:basedOn w:val="Normal"/>
    <w:qFormat/>
    <w:pPr>
      <w:numPr>
        <w:ilvl w:val="0"/>
        <w:numId w:val="3"/>
      </w:numPr>
      <w:ind w:hanging="360" w:start="180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NEUTRAL">
    <w:name w:val="NEUTRAL"/>
    <w:basedOn w:val="Normal"/>
    <w:qFormat/>
    <w:pPr>
      <w:spacing w:lineRule="exact" w:line="480" w:before="120" w:after="120"/>
    </w:pPr>
    <w:rPr/>
  </w:style>
  <w:style w:type="paragraph" w:styleId="Footer">
    <w:name w:val="footer"/>
    <w:basedOn w:val="Normal"/>
    <w:pPr>
      <w:tabs>
        <w:tab w:val="clear" w:pos="720"/>
        <w:tab w:val="center" w:pos="4320" w:leader="none"/>
        <w:tab w:val="right" w:pos="8640" w:leader="none"/>
      </w:tabs>
    </w:pPr>
    <w:rPr/>
  </w:style>
  <w:style w:type="paragraph" w:styleId="TableofAuthorities">
    <w:name w:val="Table of Authorities"/>
    <w:basedOn w:val="Normal"/>
    <w:next w:val="Normal"/>
    <w:qFormat/>
    <w:pPr>
      <w:tabs>
        <w:tab w:val="clear" w:pos="720"/>
        <w:tab w:val="right" w:pos="9360" w:leader="dot"/>
      </w:tabs>
      <w:spacing w:lineRule="auto" w:line="240"/>
      <w:ind w:hanging="240" w:start="240" w:end="0"/>
    </w:pPr>
    <w:rPr>
      <w:sz w:val="22"/>
    </w:rPr>
  </w:style>
  <w:style w:type="paragraph" w:styleId="CC">
    <w:name w:val="CC"/>
    <w:basedOn w:val="Normal"/>
    <w:qFormat/>
    <w:pPr>
      <w:spacing w:before="240" w:after="0"/>
      <w:ind w:hanging="720" w:start="720" w:end="0"/>
    </w:pPr>
    <w:rPr/>
  </w:style>
  <w:style w:type="paragraph" w:styleId="DATED">
    <w:name w:val="DATED"/>
    <w:basedOn w:val="Normal"/>
    <w:qFormat/>
    <w:pPr>
      <w:keepLines/>
      <w:widowControl w:val="false"/>
      <w:spacing w:before="240" w:after="0"/>
      <w:ind w:hanging="1440" w:start="1440" w:end="0"/>
    </w:pPr>
    <w:rPr/>
  </w:style>
  <w:style w:type="paragraph" w:styleId="BY">
    <w:name w:val="BY"/>
    <w:basedOn w:val="Normal"/>
    <w:qFormat/>
    <w:pPr>
      <w:keepLines/>
      <w:widowControl w:val="false"/>
      <w:tabs>
        <w:tab w:val="clear" w:pos="720"/>
        <w:tab w:val="left" w:pos="5040" w:leader="none"/>
        <w:tab w:val="right" w:pos="7920" w:leader="underscore"/>
        <w:tab w:val="right" w:pos="8640" w:leader="underscore"/>
        <w:tab w:val="right" w:pos="9360" w:leader="underscore"/>
      </w:tabs>
      <w:ind w:hanging="720" w:start="5040" w:end="0"/>
    </w:pPr>
    <w:rPr/>
  </w:style>
  <w:style w:type="paragraph" w:styleId="CLOSING">
    <w:name w:val="CLOSING"/>
    <w:basedOn w:val="Normal"/>
    <w:qFormat/>
    <w:pPr>
      <w:keepLines/>
      <w:widowControl w:val="false"/>
      <w:tabs>
        <w:tab w:val="clear" w:pos="720"/>
        <w:tab w:val="right" w:pos="7920" w:leader="none"/>
        <w:tab w:val="right" w:pos="8640" w:leader="none"/>
        <w:tab w:val="right" w:pos="9360" w:leader="underscore"/>
      </w:tabs>
      <w:spacing w:before="240" w:after="720"/>
      <w:ind w:hanging="0" w:start="5040" w:end="0"/>
    </w:pPr>
    <w:rPr/>
  </w:style>
  <w:style w:type="paragraph" w:styleId="QUOTECITE">
    <w:name w:val="QUOTE CITE"/>
    <w:basedOn w:val="QUOTATION"/>
    <w:next w:val="REGULAR1"/>
    <w:qFormat/>
    <w:pPr>
      <w:ind w:hanging="0" w:start="0" w:end="0"/>
    </w:pPr>
    <w:rPr/>
  </w:style>
  <w:style w:type="paragraph" w:styleId="TOC1">
    <w:name w:val="toc 1"/>
    <w:basedOn w:val="Normal"/>
    <w:next w:val="Normal"/>
    <w:pPr>
      <w:tabs>
        <w:tab w:val="clear" w:pos="720"/>
        <w:tab w:val="right" w:pos="9360" w:leader="dot"/>
      </w:tabs>
      <w:spacing w:before="240" w:after="0"/>
    </w:pPr>
    <w:rPr>
      <w:b/>
      <w:caps/>
    </w:rPr>
  </w:style>
  <w:style w:type="paragraph" w:styleId="TOC3">
    <w:name w:val="toc 3"/>
    <w:basedOn w:val="Normal"/>
    <w:next w:val="Normal"/>
    <w:pPr>
      <w:tabs>
        <w:tab w:val="clear" w:pos="720"/>
        <w:tab w:val="left" w:pos="1440" w:leader="none"/>
        <w:tab w:val="right" w:pos="9360" w:leader="none"/>
      </w:tabs>
      <w:spacing w:before="120" w:after="120"/>
      <w:ind w:hanging="720" w:start="1440" w:end="720"/>
    </w:pPr>
    <w:rPr>
      <w:b/>
    </w:rPr>
  </w:style>
  <w:style w:type="paragraph" w:styleId="TOC4">
    <w:name w:val="toc 4"/>
    <w:basedOn w:val="Normal"/>
    <w:next w:val="Normal"/>
    <w:pPr>
      <w:tabs>
        <w:tab w:val="clear" w:pos="720"/>
        <w:tab w:val="left" w:pos="2160" w:leader="none"/>
        <w:tab w:val="right" w:pos="9360" w:leader="none"/>
      </w:tabs>
      <w:spacing w:before="120" w:after="120"/>
      <w:ind w:hanging="720" w:start="2160" w:end="720"/>
    </w:pPr>
    <w:rPr/>
  </w:style>
  <w:style w:type="paragraph" w:styleId="TOAHeading">
    <w:name w:val="TOA Heading"/>
    <w:basedOn w:val="Normal"/>
    <w:next w:val="Normal"/>
    <w:qFormat/>
    <w:pPr>
      <w:spacing w:lineRule="auto" w:line="240" w:before="120" w:after="120"/>
    </w:pPr>
    <w:rPr>
      <w:b/>
      <w:caps/>
    </w:rPr>
  </w:style>
  <w:style w:type="paragraph" w:styleId="NEUTRAL1">
    <w:name w:val="NEUTRAL 1"/>
    <w:basedOn w:val="Normal"/>
    <w:qFormat/>
    <w:pPr>
      <w:spacing w:before="120" w:after="120"/>
    </w:pPr>
    <w:rPr/>
  </w:style>
  <w:style w:type="paragraph" w:styleId="NEUTRAL2">
    <w:name w:val="NEUTRAL 2"/>
    <w:basedOn w:val="Normal"/>
    <w:qFormat/>
    <w:pPr>
      <w:spacing w:lineRule="exact" w:line="480" w:before="120" w:after="120"/>
    </w:pPr>
    <w:rPr/>
  </w:style>
  <w:style w:type="paragraph" w:styleId="Style11">
    <w:name w:val="Style1"/>
    <w:basedOn w:val="Normal"/>
    <w:qFormat/>
    <w:pPr/>
    <w:rPr>
      <w:sz w:val="22"/>
    </w:rPr>
  </w:style>
  <w:style w:type="paragraph" w:styleId="REGULARPARAGRAPH">
    <w:name w:val="REGULAR PARAGRAPH"/>
    <w:qFormat/>
    <w:pPr>
      <w:widowControl/>
      <w:bidi w:val="0"/>
      <w:spacing w:lineRule="exact" w:line="480"/>
      <w:ind w:firstLine="720" w:start="0" w:end="0"/>
    </w:pPr>
    <w:rPr>
      <w:rFonts w:ascii="Courier" w:hAnsi="Courier" w:eastAsia="Times New Roman" w:cs="Courier"/>
      <w:color w:val="auto"/>
      <w:sz w:val="24"/>
      <w:szCs w:val="20"/>
      <w:lang w:val="en-US" w:eastAsia="zh-CN" w:bidi="hi-IN"/>
    </w:rPr>
  </w:style>
  <w:style w:type="paragraph" w:styleId="CLOSINGSIGNATUREPARAGRAPH">
    <w:name w:val="CLOSING SIGNATURE PARAGRAPH"/>
    <w:qFormat/>
    <w:pPr>
      <w:keepLines/>
      <w:widowControl/>
      <w:tabs>
        <w:tab w:val="clear" w:pos="720"/>
        <w:tab w:val="left" w:pos="4320" w:leader="none"/>
        <w:tab w:val="right" w:pos="7920" w:leader="underscore"/>
        <w:tab w:val="right" w:pos="8640" w:leader="underscore"/>
        <w:tab w:val="right" w:pos="9360" w:leader="underscore"/>
      </w:tabs>
      <w:bidi w:val="0"/>
      <w:spacing w:lineRule="exact" w:line="240" w:before="480" w:after="240"/>
      <w:ind w:hanging="0" w:start="4320" w:end="0"/>
    </w:pPr>
    <w:rPr>
      <w:rFonts w:ascii="Courier" w:hAnsi="Courier" w:eastAsia="Times New Roman" w:cs="Courier"/>
      <w:color w:val="auto"/>
      <w:sz w:val="24"/>
      <w:szCs w:val="20"/>
      <w:lang w:val="en-US" w:eastAsia="zh-CN" w:bidi="hi-IN"/>
    </w:rPr>
  </w:style>
  <w:style w:type="paragraph" w:styleId="BYSIGPARA">
    <w:name w:val="BY SIG PARA"/>
    <w:qFormat/>
    <w:pPr>
      <w:keepLines/>
      <w:widowControl/>
      <w:tabs>
        <w:tab w:val="clear" w:pos="720"/>
        <w:tab w:val="left" w:pos="4320" w:leader="none"/>
        <w:tab w:val="right" w:pos="7920" w:leader="underscore"/>
        <w:tab w:val="right" w:pos="8640" w:leader="underscore"/>
        <w:tab w:val="right" w:pos="9360" w:leader="underscore"/>
        <w:tab w:val="right" w:pos="10080" w:leader="underscore"/>
      </w:tabs>
      <w:bidi w:val="0"/>
      <w:spacing w:lineRule="exact" w:line="240" w:before="480" w:after="240"/>
      <w:ind w:hanging="720" w:start="4320" w:end="0"/>
    </w:pPr>
    <w:rPr>
      <w:rFonts w:ascii="Courier" w:hAnsi="Courier" w:eastAsia="Times New Roman" w:cs="Courier"/>
      <w:color w:val="auto"/>
      <w:sz w:val="24"/>
      <w:szCs w:val="20"/>
      <w:lang w:val="en-US" w:eastAsia="zh-CN" w:bidi="hi-IN"/>
    </w:rPr>
  </w:style>
  <w:style w:type="paragraph" w:styleId="LOWERCASETITLEPARAGRAPH">
    <w:name w:val="LOWER CASE TITLE PARAGRAPH"/>
    <w:qFormat/>
    <w:pPr>
      <w:keepNext w:val="true"/>
      <w:keepLines/>
      <w:widowControl/>
      <w:bidi w:val="0"/>
      <w:spacing w:lineRule="exact" w:line="240" w:before="360" w:after="120"/>
      <w:ind w:hanging="0" w:start="720" w:end="720"/>
      <w:jc w:val="center"/>
    </w:pPr>
    <w:rPr>
      <w:rFonts w:ascii="Courier" w:hAnsi="Courier" w:eastAsia="Times New Roman" w:cs="Courier"/>
      <w:color w:val="auto"/>
      <w:sz w:val="24"/>
      <w:szCs w:val="20"/>
      <w:u w:val="single"/>
      <w:lang w:val="en-US" w:eastAsia="zh-CN" w:bidi="hi-IN"/>
    </w:rPr>
  </w:style>
  <w:style w:type="paragraph" w:styleId="MEMO2">
    <w:name w:val="MEMO 2"/>
    <w:basedOn w:val="Normal"/>
    <w:qFormat/>
    <w:pPr>
      <w:tabs>
        <w:tab w:val="left" w:pos="720" w:leader="none"/>
        <w:tab w:val="left" w:pos="1440" w:leader="none"/>
        <w:tab w:val="left" w:pos="2160" w:leader="none"/>
      </w:tabs>
      <w:spacing w:lineRule="exact" w:line="480" w:before="120" w:after="0"/>
      <w:ind w:firstLine="1440" w:start="0" w:end="0"/>
    </w:pPr>
    <w:rPr/>
  </w:style>
  <w:style w:type="paragraph" w:styleId="BodyText2">
    <w:name w:val="Body Text 2"/>
    <w:basedOn w:val="Normal"/>
    <w:qFormat/>
    <w:pPr>
      <w:jc w:val="center"/>
    </w:pPr>
    <w:rPr>
      <w:caps/>
      <w:u w:val="single"/>
    </w:rPr>
  </w:style>
  <w:style w:type="paragraph" w:styleId="TOC2">
    <w:name w:val="toc 2"/>
    <w:basedOn w:val="Normal"/>
    <w:next w:val="Normal"/>
    <w:pPr>
      <w:tabs>
        <w:tab w:val="clear" w:pos="720"/>
        <w:tab w:val="left" w:pos="1440" w:leader="none"/>
        <w:tab w:val="right" w:pos="9350" w:leader="dot"/>
      </w:tabs>
      <w:ind w:hanging="0" w:start="24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3">
    <w:name w:val="Body Text 3"/>
    <w:basedOn w:val="Normal"/>
    <w:qFormat/>
    <w:pPr/>
    <w:rPr>
      <w:rFonts w:ascii="Arial" w:hAnsi="Arial" w:cs="Arial"/>
      <w: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2001-03-19T17:35:00Z</dcterms:created>
  <dc:creator>David B. Johnson</dc:creator>
  <dc:description/>
  <dc:language>en-CA</dc:language>
  <cp:lastModifiedBy>Jackie Gallagher</cp:lastModifiedBy>
  <cp:lastPrinted>2000-07-07T17:33:00Z</cp:lastPrinted>
  <dcterms:modified xsi:type="dcterms:W3CDTF">2001-03-19T17:35:00Z</dcterms:modified>
  <cp:revision>2</cp:revision>
  <dc:subject/>
  <dc:title>Motion to extend time</dc:title>
</cp:coreProperties>
</file>