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Rounded MT Bold" w:hAnsi="Arial Rounded MT Bold" w:eastAsia="Arial Rounded MT Bold" w:cs="Arial Rounded MT Bold"/>
          <w:b/>
          <w:bCs/>
          <w:sz w:val="24"/>
          <w:szCs w:val="24"/>
          <w:lang w:val="en-CA"/>
        </w:rPr>
      </w:pPr>
      <w:r>
        <w:rPr>
          <w:rFonts w:eastAsia="Arial Rounded MT Bold" w:cs="Arial Rounded MT Bold" w:ascii="Arial Rounded MT Bold" w:hAnsi="Arial Rounded MT Bold"/>
          <w:b/>
          <w:bCs/>
          <w:sz w:val="24"/>
          <w:szCs w:val="24"/>
          <w:lang w:val="en-CA"/>
        </w:rPr>
      </w:r>
    </w:p>
    <w:p>
      <w:pPr>
        <w:pStyle w:val="Normal"/>
        <w:rPr/>
      </w:pPr>
      <w:r>
        <w:rPr/>
      </w:r>
      <w:r>
        <mc:AlternateContent>
          <mc:Choice Requires="wps">
            <w:drawing>
              <wp:anchor behindDoc="0" distT="0" distB="0" distL="114300" distR="114300" simplePos="0" locked="0" layoutInCell="0" allowOverlap="1" relativeHeight="2">
                <wp:simplePos x="0" y="0"/>
                <wp:positionH relativeFrom="column">
                  <wp:posOffset>1828800</wp:posOffset>
                </wp:positionH>
                <wp:positionV relativeFrom="paragraph">
                  <wp:posOffset>-365760</wp:posOffset>
                </wp:positionV>
                <wp:extent cx="2287270" cy="527050"/>
                <wp:effectExtent l="0" t="0" r="0" b="0"/>
                <wp:wrapSquare wrapText="bothSides"/>
                <wp:docPr id="1" name="Frame1"/>
                <a:graphic xmlns:a="http://schemas.openxmlformats.org/drawingml/2006/main">
                  <a:graphicData uri="http://schemas.microsoft.com/office/word/2010/wordprocessingShape">
                    <wps:wsp>
                      <wps:cNvSpPr txBox="1"/>
                      <wps:spPr>
                        <a:xfrm>
                          <a:off x="0" y="0"/>
                          <a:ext cx="2287270" cy="527050"/>
                        </a:xfrm>
                        <a:prstGeom prst="rect"/>
                        <a:solidFill>
                          <a:srgbClr val="FFFFFF">
                            <a:alpha val="0"/>
                          </a:srgbClr>
                        </a:solidFill>
                      </wps:spPr>
                      <wps:txbx>
                        <w:txbxContent>
                          <w:p>
                            <w:pPr>
                              <w:pStyle w:val="Normal"/>
                              <w:rPr>
                                <w:rFonts w:ascii="Arial Rounded MT Bold" w:hAnsi="Arial Rounded MT Bold" w:eastAsia="Arial Rounded MT Bold" w:cs="Arial Rounded MT Bold"/>
                                <w:b/>
                                <w:bCs/>
                                <w:sz w:val="24"/>
                                <w:szCs w:val="24"/>
                                <w:lang w:val="en-CA"/>
                              </w:rPr>
                            </w:pPr>
                            <w:r>
                              <w:rPr>
                                <w:rFonts w:eastAsia="Arial Rounded MT Bold" w:cs="Arial Rounded MT Bold" w:ascii="Arial Rounded MT Bold" w:hAnsi="Arial Rounded MT Bold"/>
                                <w:b/>
                                <w:bCs/>
                                <w:lang w:val="en-CA"/>
                              </w:rPr>
                              <w:drawing>
                                <wp:inline distT="0" distB="0" distL="0" distR="0">
                                  <wp:extent cx="2228850" cy="51308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tretch>
                                            <a:fillRect/>
                                          </a:stretch>
                                        </pic:blipFill>
                                        <pic:spPr bwMode="auto">
                                          <a:xfrm>
                                            <a:off x="0" y="0"/>
                                            <a:ext cx="2228850" cy="51308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180.1pt;height:41.5pt;mso-wrap-distance-left:9pt;mso-wrap-distance-right:9pt;mso-wrap-distance-top:0pt;mso-wrap-distance-bottom:0pt;margin-top:-28.8pt;mso-position-vertical-relative:text;margin-left:144pt;mso-position-horizontal-relative:text">
                <v:fill opacity="0f"/>
                <v:textbox inset="0in,0in,0in,0in">
                  <w:txbxContent>
                    <w:p>
                      <w:pPr>
                        <w:pStyle w:val="Normal"/>
                        <w:rPr>
                          <w:rFonts w:ascii="Arial Rounded MT Bold" w:hAnsi="Arial Rounded MT Bold" w:eastAsia="Arial Rounded MT Bold" w:cs="Arial Rounded MT Bold"/>
                          <w:b/>
                          <w:bCs/>
                          <w:sz w:val="24"/>
                          <w:szCs w:val="24"/>
                          <w:lang w:val="en-CA"/>
                        </w:rPr>
                      </w:pPr>
                      <w:r>
                        <w:rPr>
                          <w:rFonts w:eastAsia="Arial Rounded MT Bold" w:cs="Arial Rounded MT Bold" w:ascii="Arial Rounded MT Bold" w:hAnsi="Arial Rounded MT Bold"/>
                          <w:b/>
                          <w:bCs/>
                          <w:lang w:val="en-CA"/>
                        </w:rPr>
                        <w:drawing>
                          <wp:inline distT="0" distB="0" distL="0" distR="0">
                            <wp:extent cx="2228850" cy="51308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tretch>
                                      <a:fillRect/>
                                    </a:stretch>
                                  </pic:blipFill>
                                  <pic:spPr bwMode="auto">
                                    <a:xfrm>
                                      <a:off x="0" y="0"/>
                                      <a:ext cx="2228850" cy="513080"/>
                                    </a:xfrm>
                                    <a:prstGeom prst="rect">
                                      <a:avLst/>
                                    </a:prstGeom>
                                    <a:noFill/>
                                  </pic:spPr>
                                </pic:pic>
                              </a:graphicData>
                            </a:graphic>
                          </wp:inline>
                        </w:drawing>
                      </w:r>
                    </w:p>
                  </w:txbxContent>
                </v:textbox>
                <w10:wrap type="square"/>
              </v:rect>
            </w:pict>
          </mc:Fallback>
        </mc:AlternateContent>
      </w:r>
    </w:p>
    <w:p>
      <w:pPr>
        <w:pStyle w:val="Normal"/>
        <w:rPr/>
      </w:pPr>
      <w:r>
        <w:rPr/>
      </w:r>
    </w:p>
    <w:p>
      <w:pPr>
        <w:pStyle w:val="Normal"/>
        <w:jc w:val="center"/>
        <w:rPr>
          <w:rFonts w:ascii="Arial Rounded MT Bold" w:hAnsi="Arial Rounded MT Bold" w:eastAsia="Arial Rounded MT Bold" w:cs="Arial Rounded MT Bold"/>
          <w:b/>
          <w:bCs/>
          <w:sz w:val="24"/>
          <w:szCs w:val="24"/>
        </w:rPr>
      </w:pPr>
      <w:r>
        <w:rPr>
          <w:rFonts w:eastAsia="Arial Rounded MT Bold" w:cs="Arial Rounded MT Bold" w:ascii="Arial Rounded MT Bold" w:hAnsi="Arial Rounded MT Bold"/>
          <w:b/>
          <w:bCs/>
          <w:sz w:val="24"/>
          <w:szCs w:val="24"/>
        </w:rPr>
      </w:r>
    </w:p>
    <w:tbl>
      <w:tblPr>
        <w:tblW w:w="9630" w:type="dxa"/>
        <w:jc w:val="start"/>
        <w:tblInd w:w="18" w:type="dxa"/>
        <w:tblLayout w:type="fixed"/>
        <w:tblCellMar>
          <w:top w:w="0" w:type="dxa"/>
          <w:start w:w="108" w:type="dxa"/>
          <w:bottom w:w="0" w:type="dxa"/>
          <w:end w:w="108" w:type="dxa"/>
        </w:tblCellMar>
      </w:tblPr>
      <w:tblGrid>
        <w:gridCol w:w="990"/>
        <w:gridCol w:w="8640"/>
      </w:tblGrid>
      <w:tr>
        <w:trPr>
          <w:trHeight w:val="378" w:hRule="atLeast"/>
        </w:trPr>
        <w:tc>
          <w:tcPr>
            <w:tcW w:w="990" w:type="dxa"/>
            <w:tcBorders/>
          </w:tcPr>
          <w:p>
            <w:pPr>
              <w:pStyle w:val="Normal"/>
              <w:rPr/>
            </w:pPr>
            <w:r>
              <w:rPr>
                <w:rFonts w:eastAsia="Arial" w:cs="Arial" w:ascii="Arial" w:hAnsi="Arial"/>
                <w:b/>
                <w:bCs/>
                <w:sz w:val="24"/>
                <w:szCs w:val="24"/>
              </w:rPr>
              <w:t>Date</w:t>
            </w:r>
            <w:r>
              <w:rPr>
                <w:rFonts w:eastAsia="Arial Rounded MT Bold" w:cs="Arial Rounded MT Bold" w:ascii="Arial Rounded MT Bold" w:hAnsi="Arial Rounded MT Bold"/>
                <w:b/>
                <w:bCs/>
                <w:sz w:val="24"/>
                <w:szCs w:val="24"/>
              </w:rPr>
              <w:t>:</w:t>
            </w:r>
          </w:p>
        </w:tc>
        <w:tc>
          <w:tcPr>
            <w:tcW w:w="8640" w:type="dxa"/>
            <w:tcBorders/>
          </w:tcPr>
          <w:p>
            <w:pPr>
              <w:pStyle w:val="Normal"/>
              <w:rPr>
                <w:rFonts w:ascii="Arial Rounded MT Bold" w:hAnsi="Arial Rounded MT Bold" w:eastAsia="Arial Rounded MT Bold" w:cs="Arial Rounded MT Bold"/>
                <w:sz w:val="24"/>
                <w:szCs w:val="24"/>
              </w:rPr>
            </w:pPr>
            <w:r>
              <w:rPr>
                <w:rFonts w:eastAsia="Arial Rounded MT Bold" w:cs="Arial Rounded MT Bold" w:ascii="Arial Rounded MT Bold" w:hAnsi="Arial Rounded MT Bold"/>
                <w:sz w:val="24"/>
                <w:szCs w:val="24"/>
              </w:rPr>
              <w:t>June 7, 2001</w:t>
            </w:r>
          </w:p>
        </w:tc>
      </w:tr>
      <w:tr>
        <w:trPr>
          <w:trHeight w:val="396" w:hRule="atLeast"/>
        </w:trPr>
        <w:tc>
          <w:tcPr>
            <w:tcW w:w="990" w:type="dxa"/>
            <w:tcBorders/>
          </w:tcPr>
          <w:p>
            <w:pPr>
              <w:pStyle w:val="Normal"/>
              <w:rPr>
                <w:rFonts w:ascii="Arial" w:hAnsi="Arial" w:eastAsia="Arial" w:cs="Arial"/>
                <w:b/>
                <w:bCs/>
                <w:sz w:val="24"/>
                <w:szCs w:val="24"/>
              </w:rPr>
            </w:pPr>
            <w:r>
              <w:rPr>
                <w:rFonts w:eastAsia="Arial" w:cs="Arial" w:ascii="Arial" w:hAnsi="Arial"/>
                <w:b/>
                <w:bCs/>
                <w:sz w:val="24"/>
                <w:szCs w:val="24"/>
              </w:rPr>
              <w:t>To</w:t>
            </w:r>
            <w:r>
              <w:rPr>
                <w:rFonts w:eastAsia="Arial Rounded MT Bold" w:cs="Arial Rounded MT Bold" w:ascii="Arial Rounded MT Bold" w:hAnsi="Arial Rounded MT Bold"/>
                <w:b/>
                <w:bCs/>
                <w:sz w:val="24"/>
                <w:szCs w:val="24"/>
              </w:rPr>
              <w:t>:</w:t>
            </w:r>
          </w:p>
        </w:tc>
        <w:tc>
          <w:tcPr>
            <w:tcW w:w="8640" w:type="dxa"/>
            <w:tcBorders/>
          </w:tcPr>
          <w:p>
            <w:pPr>
              <w:pStyle w:val="Normal"/>
              <w:rPr>
                <w:rFonts w:ascii="Arial" w:hAnsi="Arial" w:eastAsia="Arial" w:cs="Arial"/>
                <w:b/>
                <w:bCs/>
                <w:sz w:val="24"/>
                <w:szCs w:val="24"/>
              </w:rPr>
            </w:pPr>
            <w:r>
              <w:rPr>
                <w:rFonts w:eastAsia="Arial" w:cs="Arial" w:ascii="Arial" w:hAnsi="Arial"/>
                <w:b/>
                <w:bCs/>
                <w:sz w:val="24"/>
                <w:szCs w:val="24"/>
              </w:rPr>
              <w:t>Carol St. Clair, ENRON</w:t>
            </w:r>
          </w:p>
        </w:tc>
      </w:tr>
      <w:tr>
        <w:trPr>
          <w:trHeight w:val="414" w:hRule="atLeast"/>
        </w:trPr>
        <w:tc>
          <w:tcPr>
            <w:tcW w:w="990" w:type="dxa"/>
            <w:tcBorders/>
          </w:tcPr>
          <w:p>
            <w:pPr>
              <w:pStyle w:val="Normal"/>
              <w:rPr>
                <w:rFonts w:ascii="Arial" w:hAnsi="Arial" w:eastAsia="Arial" w:cs="Arial"/>
                <w:b/>
                <w:bCs/>
                <w:sz w:val="24"/>
                <w:szCs w:val="24"/>
              </w:rPr>
            </w:pPr>
            <w:r>
              <w:rPr>
                <w:rFonts w:eastAsia="Arial" w:cs="Arial" w:ascii="Arial" w:hAnsi="Arial"/>
                <w:b/>
                <w:bCs/>
                <w:sz w:val="24"/>
                <w:szCs w:val="24"/>
              </w:rPr>
              <w:t>From</w:t>
            </w:r>
            <w:r>
              <w:rPr>
                <w:rFonts w:eastAsia="Arial Rounded MT Bold" w:cs="Arial Rounded MT Bold" w:ascii="Arial Rounded MT Bold" w:hAnsi="Arial Rounded MT Bold"/>
                <w:b/>
                <w:bCs/>
                <w:sz w:val="24"/>
                <w:szCs w:val="24"/>
              </w:rPr>
              <w:t>:</w:t>
            </w:r>
          </w:p>
        </w:tc>
        <w:tc>
          <w:tcPr>
            <w:tcW w:w="8640" w:type="dxa"/>
            <w:tcBorders/>
          </w:tcPr>
          <w:p>
            <w:pPr>
              <w:pStyle w:val="Normal"/>
              <w:rPr>
                <w:rFonts w:ascii="Arial" w:hAnsi="Arial" w:eastAsia="Arial" w:cs="Arial"/>
                <w:b/>
                <w:bCs/>
                <w:sz w:val="24"/>
                <w:szCs w:val="24"/>
              </w:rPr>
            </w:pPr>
            <w:r>
              <w:rPr>
                <w:rFonts w:eastAsia="Arial" w:cs="Arial" w:ascii="Arial" w:hAnsi="Arial"/>
                <w:b/>
                <w:bCs/>
                <w:sz w:val="24"/>
                <w:szCs w:val="24"/>
              </w:rPr>
              <w:t>Jack Falconi, Guaranty Bank/Temple-Inland</w:t>
            </w:r>
          </w:p>
        </w:tc>
      </w:tr>
      <w:tr>
        <w:trPr>
          <w:trHeight w:val="360" w:hRule="atLeast"/>
        </w:trPr>
        <w:tc>
          <w:tcPr>
            <w:tcW w:w="990" w:type="dxa"/>
            <w:tcBorders/>
          </w:tcPr>
          <w:p>
            <w:pPr>
              <w:pStyle w:val="Normal"/>
              <w:rPr/>
            </w:pPr>
            <w:r>
              <w:rPr>
                <w:rFonts w:eastAsia="Arial" w:cs="Arial" w:ascii="Arial" w:hAnsi="Arial"/>
                <w:b/>
                <w:bCs/>
                <w:sz w:val="24"/>
                <w:szCs w:val="24"/>
              </w:rPr>
              <w:t>RE</w:t>
            </w:r>
            <w:r>
              <w:rPr>
                <w:rFonts w:eastAsia="Arial Rounded MT Bold" w:cs="Arial Rounded MT Bold" w:ascii="Arial Rounded MT Bold" w:hAnsi="Arial Rounded MT Bold"/>
                <w:b/>
                <w:bCs/>
                <w:sz w:val="24"/>
                <w:szCs w:val="24"/>
              </w:rPr>
              <w:t>:</w:t>
            </w:r>
          </w:p>
        </w:tc>
        <w:tc>
          <w:tcPr>
            <w:tcW w:w="8640" w:type="dxa"/>
            <w:tcBorders/>
          </w:tcPr>
          <w:p>
            <w:pPr>
              <w:pStyle w:val="Normal"/>
              <w:rPr>
                <w:rFonts w:ascii="Arial" w:hAnsi="Arial" w:eastAsia="Arial" w:cs="Arial"/>
                <w:b/>
                <w:bCs/>
                <w:sz w:val="24"/>
                <w:szCs w:val="24"/>
              </w:rPr>
            </w:pPr>
            <w:r>
              <w:rPr>
                <w:rFonts w:eastAsia="Arial" w:cs="Arial" w:ascii="Arial" w:hAnsi="Arial"/>
                <w:b/>
                <w:bCs/>
                <w:sz w:val="24"/>
                <w:szCs w:val="24"/>
              </w:rPr>
              <w:t>REVIEW OF ENRON CONFIRMS AND ISDA: Fourth Round</w:t>
            </w:r>
          </w:p>
        </w:tc>
      </w:tr>
      <w:tr>
        <w:trPr>
          <w:trHeight w:val="360" w:hRule="atLeast"/>
        </w:trPr>
        <w:tc>
          <w:tcPr>
            <w:tcW w:w="990" w:type="dxa"/>
            <w:tcBorders>
              <w:bottom w:val="single" w:sz="18" w:space="0" w:color="000000"/>
            </w:tcBorders>
          </w:tcPr>
          <w:p>
            <w:pPr>
              <w:pStyle w:val="Normal"/>
              <w:snapToGrid w:val="false"/>
              <w:rPr>
                <w:rFonts w:ascii="Arial" w:hAnsi="Arial" w:eastAsia="Arial" w:cs="Arial"/>
                <w:b/>
                <w:bCs/>
                <w:sz w:val="24"/>
                <w:szCs w:val="24"/>
              </w:rPr>
            </w:pPr>
            <w:r>
              <w:rPr>
                <w:rFonts w:eastAsia="Arial" w:cs="Arial" w:ascii="Arial" w:hAnsi="Arial"/>
                <w:b/>
                <w:bCs/>
                <w:sz w:val="24"/>
                <w:szCs w:val="24"/>
              </w:rPr>
            </w:r>
          </w:p>
        </w:tc>
        <w:tc>
          <w:tcPr>
            <w:tcW w:w="8640" w:type="dxa"/>
            <w:tcBorders>
              <w:bottom w:val="single" w:sz="18" w:space="0" w:color="000000"/>
            </w:tcBorders>
          </w:tcPr>
          <w:p>
            <w:pPr>
              <w:pStyle w:val="Normal"/>
              <w:snapToGrid w:val="false"/>
              <w:rPr>
                <w:rFonts w:ascii="Arial" w:hAnsi="Arial" w:eastAsia="Arial" w:cs="Arial"/>
                <w:b/>
                <w:bCs/>
                <w:sz w:val="24"/>
                <w:szCs w:val="24"/>
              </w:rPr>
            </w:pPr>
            <w:r>
              <w:rPr>
                <w:rFonts w:eastAsia="Arial" w:cs="Arial" w:ascii="Arial" w:hAnsi="Arial"/>
                <w:b/>
                <w:bCs/>
                <w:sz w:val="24"/>
                <w:szCs w:val="24"/>
              </w:rPr>
            </w:r>
          </w:p>
        </w:tc>
      </w:tr>
    </w:tbl>
    <w:p>
      <w:pPr>
        <w:pStyle w:val="Caption"/>
        <w:numPr>
          <w:ilvl w:val="0"/>
          <w:numId w:val="2"/>
        </w:numPr>
        <w:tabs>
          <w:tab w:val="clear" w:pos="720"/>
          <w:tab w:val="left" w:pos="0" w:leader="none"/>
          <w:tab w:val="left" w:pos="360" w:leader="none"/>
        </w:tabs>
        <w:spacing w:before="240" w:after="0"/>
        <w:ind w:hanging="360" w:start="1080" w:end="0"/>
        <w:rPr/>
      </w:pPr>
      <w:r>
        <w:rPr/>
        <w:t>Regarding my item 2 in my May 16</w:t>
      </w:r>
      <w:r>
        <w:rPr>
          <w:vertAlign w:val="superscript"/>
        </w:rPr>
        <w:t>th</w:t>
      </w:r>
      <w:r>
        <w:rPr/>
        <w:t xml:space="preserve"> memo, I am not necessarily looking for the “Potential Event of Default” concept to be deleted from the documents, however as with “materially weaker,” it seems like it would be helpful to both sides if objective criteria could be added.  Even if it is not added to the text of the Agreement, I would like to see some examples of what constitutes a </w:t>
      </w:r>
      <w:r>
        <w:rPr>
          <w:i/>
          <w:iCs/>
        </w:rPr>
        <w:t>Potential</w:t>
      </w:r>
      <w:r>
        <w:rPr/>
        <w:t xml:space="preserve"> Event of Default (differentiated from an Event of Default), and/or language added to the Agreement that allows for some extra forewarning provided by the Non-Defaulting Party to the “potentially” Defaulting Party.</w:t>
      </w:r>
    </w:p>
    <w:p>
      <w:pPr>
        <w:pStyle w:val="WW-BodyText21"/>
        <w:rPr/>
      </w:pPr>
      <w:r>
        <w:rPr/>
        <w:t xml:space="preserve">I went through the documents and I was able to find references to “Potential Event of Default”:  </w:t>
      </w:r>
    </w:p>
    <w:p>
      <w:pPr>
        <w:pStyle w:val="WW-BodyText21"/>
        <w:numPr>
          <w:ilvl w:val="1"/>
          <w:numId w:val="3"/>
        </w:numPr>
        <w:tabs>
          <w:tab w:val="clear" w:pos="720"/>
          <w:tab w:val="left" w:pos="0" w:leader="none"/>
          <w:tab w:val="left" w:pos="1080" w:leader="none"/>
        </w:tabs>
        <w:ind w:hanging="1440" w:start="2520" w:end="0"/>
        <w:rPr/>
      </w:pPr>
      <w:r>
        <w:rPr/>
        <w:t xml:space="preserve">in Confirm Annex B-1, 1.(f), relating to “flows” of Credit Support, </w:t>
      </w:r>
    </w:p>
    <w:p>
      <w:pPr>
        <w:pStyle w:val="WW-BodyText21"/>
        <w:numPr>
          <w:ilvl w:val="1"/>
          <w:numId w:val="3"/>
        </w:numPr>
        <w:tabs>
          <w:tab w:val="clear" w:pos="720"/>
          <w:tab w:val="left" w:pos="0" w:leader="none"/>
          <w:tab w:val="left" w:pos="1080" w:leader="none"/>
        </w:tabs>
        <w:ind w:hanging="1440" w:start="2520" w:end="0"/>
        <w:rPr/>
      </w:pPr>
      <w:r>
        <w:rPr/>
        <w:t xml:space="preserve">in the Representations (3.(b)) section of the Master, </w:t>
      </w:r>
    </w:p>
    <w:p>
      <w:pPr>
        <w:pStyle w:val="WW-BodyText21"/>
        <w:numPr>
          <w:ilvl w:val="1"/>
          <w:numId w:val="3"/>
        </w:numPr>
        <w:tabs>
          <w:tab w:val="clear" w:pos="720"/>
          <w:tab w:val="left" w:pos="0" w:leader="none"/>
          <w:tab w:val="left" w:pos="1080" w:leader="none"/>
        </w:tabs>
        <w:ind w:hanging="1440" w:start="2520" w:end="0"/>
        <w:rPr/>
      </w:pPr>
      <w:r>
        <w:rPr/>
        <w:t xml:space="preserve">in the Conditions Precedent language (Paragraph 4.(a)) of the Credit Annex, relating again to “flows” of Credit Support, </w:t>
      </w:r>
    </w:p>
    <w:p>
      <w:pPr>
        <w:pStyle w:val="WW-BodyText21"/>
        <w:numPr>
          <w:ilvl w:val="1"/>
          <w:numId w:val="3"/>
        </w:numPr>
        <w:tabs>
          <w:tab w:val="clear" w:pos="720"/>
          <w:tab w:val="left" w:pos="0" w:leader="none"/>
          <w:tab w:val="left" w:pos="1080" w:leader="none"/>
        </w:tabs>
        <w:ind w:hanging="1440" w:start="2520" w:end="0"/>
        <w:rPr/>
      </w:pPr>
      <w:r>
        <w:rPr/>
        <w:t xml:space="preserve">in the determination of Thresholds for Credit Support “flows” (Paragraph 13.(b)(iii)(b)) in the Credit Annex), and </w:t>
      </w:r>
    </w:p>
    <w:p>
      <w:pPr>
        <w:pStyle w:val="WW-BodyText21"/>
        <w:numPr>
          <w:ilvl w:val="1"/>
          <w:numId w:val="3"/>
        </w:numPr>
        <w:tabs>
          <w:tab w:val="clear" w:pos="720"/>
          <w:tab w:val="left" w:pos="0" w:leader="none"/>
          <w:tab w:val="left" w:pos="1080" w:leader="none"/>
        </w:tabs>
        <w:ind w:hanging="1440" w:start="2520" w:end="0"/>
        <w:rPr/>
      </w:pPr>
      <w:r>
        <w:rPr/>
        <w:t>in the designation of the Valuation Agent (Paragraph 13.(c)(i) in the Credit Annex), again relating to Credit Support flows.</w:t>
      </w:r>
    </w:p>
    <w:p>
      <w:pPr>
        <w:pStyle w:val="WW-BodyText21"/>
        <w:numPr>
          <w:ilvl w:val="0"/>
          <w:numId w:val="0"/>
        </w:numPr>
        <w:ind w:hanging="0" w:start="720"/>
        <w:rPr/>
      </w:pPr>
      <w:r>
        <w:rPr/>
        <w:t xml:space="preserve">I think you’d agree that it is possible for the “potentially” Defaulting Party to be “blindsided” vis-à-vis Credit Support “flows” if the Non-Defaulting Party decides arbitrarily (but even in good faith) that a “Potential Event of Default,” but not an “Event of Default,” has occurred. </w:t>
      </w:r>
    </w:p>
    <w:p>
      <w:pPr>
        <w:pStyle w:val="Normal"/>
        <w:numPr>
          <w:ilvl w:val="0"/>
          <w:numId w:val="0"/>
        </w:numPr>
        <w:ind w:hanging="0" w:start="720" w:end="0"/>
        <w:rPr/>
      </w:pPr>
      <w:r>
        <w:rPr/>
      </w:r>
    </w:p>
    <w:p>
      <w:pPr>
        <w:pStyle w:val="WW-BodyText21"/>
        <w:numPr>
          <w:ilvl w:val="0"/>
          <w:numId w:val="3"/>
        </w:numPr>
        <w:tabs>
          <w:tab w:val="clear" w:pos="720"/>
          <w:tab w:val="left" w:pos="0" w:leader="none"/>
        </w:tabs>
        <w:ind w:hanging="720" w:start="720" w:end="0"/>
        <w:rPr/>
      </w:pPr>
      <w:r>
        <w:rPr/>
        <w:t>Regarding item 3 of my May 16</w:t>
      </w:r>
      <w:r>
        <w:rPr>
          <w:vertAlign w:val="superscript"/>
        </w:rPr>
        <w:t>th</w:t>
      </w:r>
      <w:r>
        <w:rPr/>
        <w:t xml:space="preserve"> memo, I will have to check with the credit decision-makers at TIN to find out what a suitable “materially weaker” threshold would be for both parties.  Can I assume i) BBB- is the threshold you are suggesting, and ii) it would be the same threshold for both parties ?</w:t>
      </w:r>
    </w:p>
    <w:p>
      <w:pPr>
        <w:pStyle w:val="WW-BodyText21"/>
        <w:numPr>
          <w:ilvl w:val="0"/>
          <w:numId w:val="3"/>
        </w:numPr>
        <w:tabs>
          <w:tab w:val="clear" w:pos="720"/>
          <w:tab w:val="left" w:pos="0" w:leader="none"/>
        </w:tabs>
        <w:ind w:hanging="720" w:start="720" w:end="0"/>
        <w:rPr/>
      </w:pPr>
      <w:r>
        <w:rPr/>
        <w:t>Regarding item 4 of my May 16</w:t>
      </w:r>
      <w:r>
        <w:rPr>
          <w:vertAlign w:val="superscript"/>
        </w:rPr>
        <w:t>th</w:t>
      </w:r>
      <w:r>
        <w:rPr/>
        <w:t xml:space="preserve"> memo, I will await your proposal on an objective “Default Rate.”</w:t>
      </w:r>
    </w:p>
    <w:p>
      <w:pPr>
        <w:pStyle w:val="WW-BodyText21"/>
        <w:numPr>
          <w:ilvl w:val="0"/>
          <w:numId w:val="3"/>
        </w:numPr>
        <w:tabs>
          <w:tab w:val="clear" w:pos="720"/>
          <w:tab w:val="left" w:pos="0" w:leader="none"/>
        </w:tabs>
        <w:ind w:hanging="720" w:start="720" w:end="0"/>
        <w:rPr/>
      </w:pPr>
      <w:r>
        <w:rPr/>
        <w:t>Regarding items 9 and 21 in my May 16</w:t>
      </w:r>
      <w:r>
        <w:rPr>
          <w:vertAlign w:val="superscript"/>
        </w:rPr>
        <w:t>th</w:t>
      </w:r>
      <w:r>
        <w:rPr/>
        <w:t xml:space="preserve"> memo, no changes need to be made to the definition and uses of the term “affiliates” in any of the documents.  This will, however, necessarily preclude Guaranty Bank from entering into derivatives transactions with ENA or any ENA affiliate.</w:t>
      </w:r>
    </w:p>
    <w:p>
      <w:pPr>
        <w:pStyle w:val="WW-BodyText21"/>
        <w:numPr>
          <w:ilvl w:val="0"/>
          <w:numId w:val="3"/>
        </w:numPr>
        <w:tabs>
          <w:tab w:val="clear" w:pos="720"/>
          <w:tab w:val="left" w:pos="0" w:leader="none"/>
        </w:tabs>
        <w:ind w:hanging="720" w:start="720" w:end="0"/>
        <w:rPr/>
      </w:pPr>
      <w:r>
        <w:rPr/>
        <w:t>Regarding item 12 in my May 16</w:t>
      </w:r>
      <w:r>
        <w:rPr>
          <w:vertAlign w:val="superscript"/>
        </w:rPr>
        <w:t>th</w:t>
      </w:r>
      <w:r>
        <w:rPr/>
        <w:t xml:space="preserve"> memo, I can accept your proposed increase of your rounding amount from $250,000 to $500,000 (Credit Annex Paragraph 13.(b)(iv)(D)).  And I can accept keeping frequency of collateral calls to any Local Business Day, rather than once every five Local Business Days.  Keep in mind, however, that we may need to revisit these thresholds in the future, if other derivative positions are entered into and placed under this same ISDA.</w:t>
      </w:r>
    </w:p>
    <w:p>
      <w:pPr>
        <w:pStyle w:val="WW-BodyText21"/>
        <w:numPr>
          <w:ilvl w:val="0"/>
          <w:numId w:val="3"/>
        </w:numPr>
        <w:tabs>
          <w:tab w:val="clear" w:pos="720"/>
          <w:tab w:val="left" w:pos="0" w:leader="none"/>
        </w:tabs>
        <w:ind w:hanging="720" w:start="720" w:end="0"/>
        <w:rPr/>
      </w:pPr>
      <w:r>
        <w:rPr/>
        <w:t>Regarding item 14 in my May 16</w:t>
      </w:r>
      <w:r>
        <w:rPr>
          <w:vertAlign w:val="superscript"/>
        </w:rPr>
        <w:t>th</w:t>
      </w:r>
      <w:r>
        <w:rPr/>
        <w:t xml:space="preserve"> memo, neither party is a depository so each party will have to hold Cash Collateral at a depository, and this Cash can be commingled with each party’s general corporate funds.  Since this depository has to be a Qualified Institution (ie, minimum A+/A1), it appears to me that there is </w:t>
      </w:r>
      <w:r>
        <w:rPr>
          <w:u w:val="single"/>
        </w:rPr>
        <w:t>no</w:t>
      </w:r>
      <w:r>
        <w:rPr/>
        <w:t xml:space="preserve"> circumstance under which Cash Collateral can be held by someone other than a Qualified Institution.  Is my reasoning correct ?  (It sounds like your standard documentation is written to accommodate depositories as signatories to the ISDA.)</w:t>
      </w:r>
    </w:p>
    <w:p>
      <w:pPr>
        <w:pStyle w:val="WW-BodyText21"/>
        <w:numPr>
          <w:ilvl w:val="0"/>
          <w:numId w:val="3"/>
        </w:numPr>
        <w:tabs>
          <w:tab w:val="clear" w:pos="720"/>
          <w:tab w:val="left" w:pos="0" w:leader="none"/>
        </w:tabs>
        <w:ind w:hanging="720" w:start="720" w:end="0"/>
        <w:rPr/>
      </w:pPr>
      <w:r>
        <w:rPr/>
        <w:t>Regarding item 19 in my May 16</w:t>
      </w:r>
      <w:r>
        <w:rPr>
          <w:vertAlign w:val="superscript"/>
        </w:rPr>
        <w:t>th</w:t>
      </w:r>
      <w:r>
        <w:rPr/>
        <w:t xml:space="preserve"> memo, I think we are both interpreting it the same way.</w:t>
      </w:r>
    </w:p>
    <w:p>
      <w:pPr>
        <w:pStyle w:val="WW-BodyText21"/>
        <w:numPr>
          <w:ilvl w:val="0"/>
          <w:numId w:val="3"/>
        </w:numPr>
        <w:tabs>
          <w:tab w:val="clear" w:pos="720"/>
          <w:tab w:val="left" w:pos="0" w:leader="none"/>
        </w:tabs>
        <w:ind w:hanging="720" w:start="720" w:end="0"/>
        <w:rPr/>
      </w:pPr>
      <w:r>
        <w:rPr/>
        <w:t>Regarding item 18 in my May 16</w:t>
      </w:r>
      <w:r>
        <w:rPr>
          <w:vertAlign w:val="superscript"/>
        </w:rPr>
        <w:t>th</w:t>
      </w:r>
      <w:r>
        <w:rPr/>
        <w:t xml:space="preserve"> memo, given your acceptance of my proposed change, the LC-providing bank will have to be a minimum A+/A1 at all times.  I pointed this out as an apparent documentation inconsistency, however I will make sure that this ratings standard is acceptable to TIN.</w:t>
      </w:r>
    </w:p>
    <w:p>
      <w:pPr>
        <w:pStyle w:val="WW-BodyText21"/>
        <w:numPr>
          <w:ilvl w:val="0"/>
          <w:numId w:val="3"/>
        </w:numPr>
        <w:tabs>
          <w:tab w:val="clear" w:pos="720"/>
          <w:tab w:val="left" w:pos="0" w:leader="none"/>
        </w:tabs>
        <w:ind w:hanging="720" w:start="720" w:end="0"/>
        <w:rPr/>
      </w:pPr>
      <w:r>
        <w:rPr/>
        <w:t>Regarding item 17 in my May 16</w:t>
      </w:r>
      <w:r>
        <w:rPr>
          <w:vertAlign w:val="superscript"/>
        </w:rPr>
        <w:t>th</w:t>
      </w:r>
      <w:r>
        <w:rPr/>
        <w:t xml:space="preserve"> memo, please do not over-analyze my comment looking for something complicated.  In the context of the two cited clauses, what happens exactly ON the 20</w:t>
      </w:r>
      <w:r>
        <w:rPr>
          <w:vertAlign w:val="superscript"/>
        </w:rPr>
        <w:t>th</w:t>
      </w:r>
      <w:r>
        <w:rPr/>
        <w:t xml:space="preserve"> Local Business Day ?</w:t>
      </w:r>
    </w:p>
    <w:p>
      <w:pPr>
        <w:pStyle w:val="WW-BodyText21"/>
        <w:numPr>
          <w:ilvl w:val="0"/>
          <w:numId w:val="3"/>
        </w:numPr>
        <w:tabs>
          <w:tab w:val="clear" w:pos="720"/>
          <w:tab w:val="left" w:pos="0" w:leader="none"/>
        </w:tabs>
        <w:ind w:hanging="360" w:start="720" w:end="0"/>
        <w:rPr/>
      </w:pPr>
      <w:r>
        <w:rPr/>
        <w:t>Regarding the form of the parent guarantees, I will make sure the terms are acceptable to TIN.</w:t>
      </w:r>
    </w:p>
    <w:p>
      <w:pPr>
        <w:pStyle w:val="WW-BodyText21"/>
        <w:ind w:start="0" w:end="0"/>
        <w:rPr/>
      </w:pPr>
      <w:r>
        <w:rPr/>
        <w:t>CC:</w:t>
        <w:tab/>
        <w:t>Dave Turpin</w:t>
      </w:r>
    </w:p>
    <w:p>
      <w:pPr>
        <w:pStyle w:val="WW-BodyText21"/>
        <w:ind w:start="0" w:end="0"/>
        <w:rPr/>
      </w:pPr>
      <w:r>
        <w:rPr/>
        <w:tab/>
        <w:t>Julie Beck</w:t>
      </w:r>
    </w:p>
    <w:p>
      <w:pPr>
        <w:pStyle w:val="WW-BodyText21"/>
        <w:ind w:start="0" w:end="0"/>
        <w:rPr/>
      </w:pPr>
      <w:r>
        <w:rPr/>
        <w:tab/>
        <w:t>Grant Adamson</w:t>
      </w:r>
    </w:p>
    <w:p>
      <w:pPr>
        <w:pStyle w:val="WW-BodyText21"/>
        <w:ind w:start="0" w:end="0"/>
        <w:rPr/>
      </w:pPr>
      <w:r>
        <w:rPr/>
        <w:tab/>
        <w:t>Randy Levy</w:t>
      </w:r>
    </w:p>
    <w:p>
      <w:pPr>
        <w:pStyle w:val="WW-BodyText21"/>
        <w:ind w:start="0" w:end="0"/>
        <w:rPr/>
      </w:pPr>
      <w:r>
        <w:rPr/>
        <w:tab/>
        <w:t>Tom Yenne</w:t>
      </w:r>
    </w:p>
    <w:p>
      <w:pPr>
        <w:pStyle w:val="WW-BodyText21"/>
        <w:ind w:start="0" w:end="0"/>
        <w:rPr/>
      </w:pPr>
      <w:r>
        <w:rPr/>
      </w:r>
    </w:p>
    <w:p>
      <w:pPr>
        <w:pStyle w:val="WW-BodyText21"/>
        <w:ind w:start="0" w:end="0"/>
        <w:rPr/>
      </w:pPr>
      <w:r>
        <w:rPr/>
        <w:tab/>
      </w:r>
    </w:p>
    <w:p>
      <w:pPr>
        <w:pStyle w:val="Normal"/>
        <w:ind w:start="720" w:end="0"/>
        <w:rPr/>
      </w:pPr>
      <w:r>
        <w:rPr/>
      </w:r>
    </w:p>
    <w:p>
      <w:pPr>
        <w:pStyle w:val="Normal"/>
        <w:ind w:start="1080" w:end="0"/>
        <w:rPr/>
      </w:pPr>
      <w:r>
        <w:rPr/>
      </w:r>
    </w:p>
    <w:sectPr>
      <w:footerReference w:type="default" r:id="rId4"/>
      <w:footerReference w:type="first" r:id="rId5"/>
      <w:type w:val="nextPage"/>
      <w:pgSz w:w="12240" w:h="15840"/>
      <w:pgMar w:left="1440" w:right="1440" w:gutter="0" w:header="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Rounded MT Bold">
    <w:charset w:val="01"/>
    <w:family w:val="swiss"/>
    <w:pitch w:val="variable"/>
  </w:font>
  <w:font w:name="Arial">
    <w:charset w:val="01"/>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lowerLetter"/>
      <w:lvlText w:val="%1"/>
      <w:lvlJc w:val="start"/>
      <w:pPr>
        <w:tabs>
          <w:tab w:val="num" w:pos="360"/>
        </w:tabs>
        <w:ind w:start="360" w:hanging="360"/>
      </w:pPr>
    </w:lvl>
    <w:lvl w:ilvl="1">
      <w:start w:val="1"/>
      <w:numFmt w:val="lowerRoman"/>
      <w:lvlText w:val="%2"/>
      <w:lvlJc w:val="start"/>
      <w:pPr>
        <w:tabs>
          <w:tab w:val="num" w:pos="720"/>
        </w:tabs>
        <w:ind w:start="720" w:hanging="72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Rounded MT Bold" w:hAnsi="Arial Rounded MT Bold" w:eastAsia="Arial Rounded MT Bold" w:cs="Arial Rounded MT Bold"/>
      <w:b/>
      <w:bCs/>
      <w:sz w:val="24"/>
      <w:szCs w:val="24"/>
    </w:rPr>
  </w:style>
  <w:style w:type="paragraph" w:styleId="Heading2">
    <w:name w:val="heading 2"/>
    <w:basedOn w:val="Normal"/>
    <w:next w:val="Normal"/>
    <w:qFormat/>
    <w:pPr>
      <w:keepNext w:val="true"/>
      <w:numPr>
        <w:ilvl w:val="1"/>
        <w:numId w:val="1"/>
      </w:numPr>
      <w:outlineLvl w:val="1"/>
    </w:pPr>
    <w:rPr>
      <w:rFonts w:ascii="Arial" w:hAnsi="Arial" w:eastAsia="Arial" w:cs="Arial"/>
      <w:sz w:val="24"/>
      <w:szCs w:val="24"/>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qForma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eastAsia="Arial" w:cs="Arial"/>
      <w:sz w:val="24"/>
      <w:szCs w:val="24"/>
    </w:rPr>
  </w:style>
  <w:style w:type="paragraph" w:styleId="List">
    <w:name w:val="List"/>
    <w:basedOn w:val="BodyText"/>
    <w:pPr/>
    <w:rPr>
      <w:rFonts w:cs="NotoSans NF"/>
    </w:rPr>
  </w:style>
  <w:style w:type="paragraph" w:styleId="Caption">
    <w:name w:val="caption"/>
    <w:basedOn w:val="Normal"/>
    <w:next w:val="Normal"/>
    <w:qFormat/>
    <w:pPr/>
    <w:rPr>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eastAsia="Arial" w:cs="Arial"/>
      <w:sz w:val="22"/>
      <w:szCs w:val="22"/>
    </w:rPr>
  </w:style>
  <w:style w:type="paragraph" w:styleId="WW-BodyText2">
    <w:name w:val="WW-Body Text 2"/>
    <w:basedOn w:val="Normal"/>
    <w:qFormat/>
    <w:pPr>
      <w:tabs>
        <w:tab w:val="left" w:pos="720" w:leader="none"/>
      </w:tabs>
      <w:ind w:hanging="0" w:start="360" w:end="0"/>
    </w:pPr>
    <w:rPr>
      <w:i/>
      <w:iCs/>
      <w:sz w:val="24"/>
      <w:szCs w:val="24"/>
    </w:rPr>
  </w:style>
  <w:style w:type="paragraph" w:styleId="WW-BodyText21">
    <w:name w:val="WW-Body Text 21"/>
    <w:basedOn w:val="Normal"/>
    <w:qFormat/>
    <w:pPr>
      <w:spacing w:before="240" w:after="0"/>
      <w:ind w:hanging="0" w:start="720" w:end="0"/>
    </w:pPr>
    <w:rPr>
      <w:sz w:val="24"/>
      <w:szCs w:val="24"/>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image" Target="media/image1.emf"/><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2001-06-06T13:52:00Z</dcterms:created>
  <dc:creator>Jack Falconi</dc:creator>
  <dc:description/>
  <dc:language>en-CA</dc:language>
  <cp:lastModifiedBy>Jack Falconi</cp:lastModifiedBy>
  <cp:lastPrinted>2001-06-07T13:07:00Z</cp:lastPrinted>
  <dcterms:modified xsi:type="dcterms:W3CDTF">2001-06-07T15:39:00Z</dcterms:modified>
  <cp:revision>14</cp:revision>
  <dc:subject/>
  <dc:title> </dc:title>
</cp:coreProperties>
</file>