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Rounded MT Bold" w:hAnsi="Arial Rounded MT Bold" w:eastAsia="Arial Rounded MT Bold" w:cs="Arial Rounded MT Bold"/>
          <w:b/>
          <w:bCs/>
          <w:sz w:val="24"/>
          <w:szCs w:val="24"/>
          <w:lang w:val="en-CA"/>
        </w:rPr>
      </w:pPr>
      <w:r>
        <w:rPr>
          <w:rFonts w:eastAsia="Arial Rounded MT Bold" w:cs="Arial Rounded MT Bold" w:ascii="Arial Rounded MT Bold" w:hAnsi="Arial Rounded MT Bold"/>
          <w:b/>
          <w:bCs/>
          <w:sz w:val="24"/>
          <w:szCs w:val="24"/>
          <w:lang w:val="en-CA"/>
        </w:rPr>
      </w:r>
    </w:p>
    <w:p>
      <w:pPr>
        <w:pStyle w:val="Normal"/>
        <w:rPr/>
      </w:pPr>
      <w:r>
        <w:rPr/>
      </w:r>
      <w:r>
        <mc:AlternateContent>
          <mc:Choice Requires="wps">
            <w:drawing>
              <wp:anchor behindDoc="0" distT="0" distB="0" distL="114300" distR="114300" simplePos="0" locked="0" layoutInCell="0" allowOverlap="1" relativeHeight="2">
                <wp:simplePos x="0" y="0"/>
                <wp:positionH relativeFrom="column">
                  <wp:posOffset>1828800</wp:posOffset>
                </wp:positionH>
                <wp:positionV relativeFrom="paragraph">
                  <wp:posOffset>-365760</wp:posOffset>
                </wp:positionV>
                <wp:extent cx="2287270" cy="527050"/>
                <wp:effectExtent l="0" t="0" r="0" b="0"/>
                <wp:wrapSquare wrapText="bothSides"/>
                <wp:docPr id="1" name="Frame1"/>
                <a:graphic xmlns:a="http://schemas.openxmlformats.org/drawingml/2006/main">
                  <a:graphicData uri="http://schemas.microsoft.com/office/word/2010/wordprocessingShape">
                    <wps:wsp>
                      <wps:cNvSpPr txBox="1"/>
                      <wps:spPr>
                        <a:xfrm>
                          <a:off x="0" y="0"/>
                          <a:ext cx="2287270" cy="527050"/>
                        </a:xfrm>
                        <a:prstGeom prst="rect"/>
                        <a:solidFill>
                          <a:srgbClr val="FFFFFF">
                            <a:alpha val="0"/>
                          </a:srgbClr>
                        </a:solidFill>
                      </wps:spPr>
                      <wps:txbx>
                        <w:txbxContent>
                          <w:p>
                            <w:pPr>
                              <w:pStyle w:val="Normal"/>
                              <w:rPr>
                                <w:rFonts w:ascii="Arial Rounded MT Bold" w:hAnsi="Arial Rounded MT Bold" w:eastAsia="Arial Rounded MT Bold" w:cs="Arial Rounded MT Bold"/>
                                <w:b/>
                                <w:bCs/>
                                <w:sz w:val="24"/>
                                <w:szCs w:val="24"/>
                                <w:lang w:val="en-CA"/>
                              </w:rPr>
                            </w:pPr>
                            <w:r>
                              <w:rPr>
                                <w:rFonts w:eastAsia="Arial Rounded MT Bold" w:cs="Arial Rounded MT Bold" w:ascii="Arial Rounded MT Bold" w:hAnsi="Arial Rounded MT Bold"/>
                                <w:b/>
                                <w:bCs/>
                                <w:lang w:val="en-CA"/>
                              </w:rPr>
                              <w:drawing>
                                <wp:inline distT="0" distB="0" distL="0" distR="0">
                                  <wp:extent cx="2228850" cy="5130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228850" cy="51308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80.1pt;height:41.5pt;mso-wrap-distance-left:9pt;mso-wrap-distance-right:9pt;mso-wrap-distance-top:0pt;mso-wrap-distance-bottom:0pt;margin-top:-28.8pt;mso-position-vertical-relative:text;margin-left:144pt;mso-position-horizontal-relative:text">
                <v:fill opacity="0f"/>
                <v:textbox inset="0in,0in,0in,0in">
                  <w:txbxContent>
                    <w:p>
                      <w:pPr>
                        <w:pStyle w:val="Normal"/>
                        <w:rPr>
                          <w:rFonts w:ascii="Arial Rounded MT Bold" w:hAnsi="Arial Rounded MT Bold" w:eastAsia="Arial Rounded MT Bold" w:cs="Arial Rounded MT Bold"/>
                          <w:b/>
                          <w:bCs/>
                          <w:sz w:val="24"/>
                          <w:szCs w:val="24"/>
                          <w:lang w:val="en-CA"/>
                        </w:rPr>
                      </w:pPr>
                      <w:r>
                        <w:rPr>
                          <w:rFonts w:eastAsia="Arial Rounded MT Bold" w:cs="Arial Rounded MT Bold" w:ascii="Arial Rounded MT Bold" w:hAnsi="Arial Rounded MT Bold"/>
                          <w:b/>
                          <w:bCs/>
                          <w:lang w:val="en-CA"/>
                        </w:rPr>
                        <w:drawing>
                          <wp:inline distT="0" distB="0" distL="0" distR="0">
                            <wp:extent cx="2228850" cy="5130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tretch>
                                      <a:fillRect/>
                                    </a:stretch>
                                  </pic:blipFill>
                                  <pic:spPr bwMode="auto">
                                    <a:xfrm>
                                      <a:off x="0" y="0"/>
                                      <a:ext cx="2228850" cy="513080"/>
                                    </a:xfrm>
                                    <a:prstGeom prst="rect">
                                      <a:avLst/>
                                    </a:prstGeom>
                                    <a:noFill/>
                                  </pic:spPr>
                                </pic:pic>
                              </a:graphicData>
                            </a:graphic>
                          </wp:inline>
                        </w:drawing>
                      </w:r>
                    </w:p>
                  </w:txbxContent>
                </v:textbox>
                <w10:wrap type="square"/>
              </v:rect>
            </w:pict>
          </mc:Fallback>
        </mc:AlternateContent>
      </w:r>
    </w:p>
    <w:p>
      <w:pPr>
        <w:pStyle w:val="Normal"/>
        <w:rPr/>
      </w:pPr>
      <w:r>
        <w:rPr/>
      </w:r>
    </w:p>
    <w:p>
      <w:pPr>
        <w:pStyle w:val="Normal"/>
        <w:jc w:val="center"/>
        <w:rPr>
          <w:rFonts w:ascii="Arial Rounded MT Bold" w:hAnsi="Arial Rounded MT Bold" w:eastAsia="Arial Rounded MT Bold" w:cs="Arial Rounded MT Bold"/>
          <w:b/>
          <w:bCs/>
          <w:sz w:val="24"/>
          <w:szCs w:val="24"/>
        </w:rPr>
      </w:pPr>
      <w:r>
        <w:rPr>
          <w:rFonts w:eastAsia="Arial Rounded MT Bold" w:cs="Arial Rounded MT Bold" w:ascii="Arial Rounded MT Bold" w:hAnsi="Arial Rounded MT Bold"/>
          <w:b/>
          <w:bCs/>
          <w:sz w:val="24"/>
          <w:szCs w:val="24"/>
        </w:rPr>
      </w:r>
    </w:p>
    <w:tbl>
      <w:tblPr>
        <w:tblW w:w="9630" w:type="dxa"/>
        <w:jc w:val="start"/>
        <w:tblInd w:w="18" w:type="dxa"/>
        <w:tblLayout w:type="fixed"/>
        <w:tblCellMar>
          <w:top w:w="0" w:type="dxa"/>
          <w:start w:w="108" w:type="dxa"/>
          <w:bottom w:w="0" w:type="dxa"/>
          <w:end w:w="108" w:type="dxa"/>
        </w:tblCellMar>
      </w:tblPr>
      <w:tblGrid>
        <w:gridCol w:w="990"/>
        <w:gridCol w:w="8640"/>
      </w:tblGrid>
      <w:tr>
        <w:trPr>
          <w:trHeight w:val="378" w:hRule="atLeast"/>
        </w:trPr>
        <w:tc>
          <w:tcPr>
            <w:tcW w:w="990" w:type="dxa"/>
            <w:tcBorders/>
          </w:tcPr>
          <w:p>
            <w:pPr>
              <w:pStyle w:val="Normal"/>
              <w:rPr/>
            </w:pPr>
            <w:r>
              <w:rPr>
                <w:rFonts w:eastAsia="Arial" w:cs="Arial" w:ascii="Arial" w:hAnsi="Arial"/>
                <w:b/>
                <w:bCs/>
                <w:sz w:val="24"/>
                <w:szCs w:val="24"/>
              </w:rPr>
              <w:t>Date</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Rounded MT Bold" w:hAnsi="Arial Rounded MT Bold" w:eastAsia="Arial Rounded MT Bold" w:cs="Arial Rounded MT Bold"/>
                <w:sz w:val="24"/>
                <w:szCs w:val="24"/>
              </w:rPr>
            </w:pPr>
            <w:r>
              <w:rPr>
                <w:rFonts w:eastAsia="Arial Rounded MT Bold" w:cs="Arial Rounded MT Bold" w:ascii="Arial Rounded MT Bold" w:hAnsi="Arial Rounded MT Bold"/>
                <w:sz w:val="24"/>
                <w:szCs w:val="24"/>
              </w:rPr>
              <w:t>June 4, 2001</w:t>
            </w:r>
          </w:p>
        </w:tc>
      </w:tr>
      <w:tr>
        <w:trPr>
          <w:trHeight w:val="396" w:hRule="atLeast"/>
        </w:trPr>
        <w:tc>
          <w:tcPr>
            <w:tcW w:w="990" w:type="dxa"/>
            <w:tcBorders/>
          </w:tcPr>
          <w:p>
            <w:pPr>
              <w:pStyle w:val="Normal"/>
              <w:rPr>
                <w:rFonts w:ascii="Arial" w:hAnsi="Arial" w:eastAsia="Arial" w:cs="Arial"/>
                <w:b/>
                <w:bCs/>
                <w:sz w:val="24"/>
                <w:szCs w:val="24"/>
              </w:rPr>
            </w:pPr>
            <w:r>
              <w:rPr>
                <w:rFonts w:eastAsia="Arial" w:cs="Arial" w:ascii="Arial" w:hAnsi="Arial"/>
                <w:b/>
                <w:bCs/>
                <w:sz w:val="24"/>
                <w:szCs w:val="24"/>
              </w:rPr>
              <w:t>To</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w:hAnsi="Arial" w:eastAsia="Arial" w:cs="Arial"/>
                <w:b/>
                <w:bCs/>
                <w:sz w:val="24"/>
                <w:szCs w:val="24"/>
              </w:rPr>
            </w:pPr>
            <w:r>
              <w:rPr>
                <w:rFonts w:eastAsia="Arial" w:cs="Arial" w:ascii="Arial" w:hAnsi="Arial"/>
                <w:b/>
                <w:bCs/>
                <w:sz w:val="24"/>
                <w:szCs w:val="24"/>
              </w:rPr>
              <w:t>Carol St. Clair, ENRON</w:t>
            </w:r>
          </w:p>
        </w:tc>
      </w:tr>
      <w:tr>
        <w:trPr>
          <w:trHeight w:val="414" w:hRule="atLeast"/>
        </w:trPr>
        <w:tc>
          <w:tcPr>
            <w:tcW w:w="990" w:type="dxa"/>
            <w:tcBorders/>
          </w:tcPr>
          <w:p>
            <w:pPr>
              <w:pStyle w:val="Normal"/>
              <w:rPr>
                <w:rFonts w:ascii="Arial" w:hAnsi="Arial" w:eastAsia="Arial" w:cs="Arial"/>
                <w:b/>
                <w:bCs/>
                <w:sz w:val="24"/>
                <w:szCs w:val="24"/>
              </w:rPr>
            </w:pPr>
            <w:r>
              <w:rPr>
                <w:rFonts w:eastAsia="Arial" w:cs="Arial" w:ascii="Arial" w:hAnsi="Arial"/>
                <w:b/>
                <w:bCs/>
                <w:sz w:val="24"/>
                <w:szCs w:val="24"/>
              </w:rPr>
              <w:t>From</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w:hAnsi="Arial" w:eastAsia="Arial" w:cs="Arial"/>
                <w:b/>
                <w:bCs/>
                <w:sz w:val="24"/>
                <w:szCs w:val="24"/>
              </w:rPr>
            </w:pPr>
            <w:r>
              <w:rPr>
                <w:rFonts w:eastAsia="Arial" w:cs="Arial" w:ascii="Arial" w:hAnsi="Arial"/>
                <w:b/>
                <w:bCs/>
                <w:sz w:val="24"/>
                <w:szCs w:val="24"/>
              </w:rPr>
              <w:t>Jack Falconi, Guaranty Bank/Temple-Inland</w:t>
            </w:r>
          </w:p>
        </w:tc>
      </w:tr>
      <w:tr>
        <w:trPr>
          <w:trHeight w:val="360" w:hRule="atLeast"/>
        </w:trPr>
        <w:tc>
          <w:tcPr>
            <w:tcW w:w="990" w:type="dxa"/>
            <w:tcBorders/>
          </w:tcPr>
          <w:p>
            <w:pPr>
              <w:pStyle w:val="Normal"/>
              <w:rPr/>
            </w:pPr>
            <w:r>
              <w:rPr>
                <w:rFonts w:eastAsia="Arial" w:cs="Arial" w:ascii="Arial" w:hAnsi="Arial"/>
                <w:b/>
                <w:bCs/>
                <w:sz w:val="24"/>
                <w:szCs w:val="24"/>
              </w:rPr>
              <w:t>RE</w:t>
            </w:r>
            <w:r>
              <w:rPr>
                <w:rFonts w:eastAsia="Arial Rounded MT Bold" w:cs="Arial Rounded MT Bold" w:ascii="Arial Rounded MT Bold" w:hAnsi="Arial Rounded MT Bold"/>
                <w:b/>
                <w:bCs/>
                <w:sz w:val="24"/>
                <w:szCs w:val="24"/>
              </w:rPr>
              <w:t>:</w:t>
            </w:r>
          </w:p>
        </w:tc>
        <w:tc>
          <w:tcPr>
            <w:tcW w:w="8640" w:type="dxa"/>
            <w:tcBorders/>
          </w:tcPr>
          <w:p>
            <w:pPr>
              <w:pStyle w:val="Normal"/>
              <w:rPr>
                <w:rFonts w:ascii="Arial" w:hAnsi="Arial" w:eastAsia="Arial" w:cs="Arial"/>
                <w:b/>
                <w:bCs/>
                <w:sz w:val="24"/>
                <w:szCs w:val="24"/>
              </w:rPr>
            </w:pPr>
            <w:r>
              <w:rPr>
                <w:rFonts w:eastAsia="Arial" w:cs="Arial" w:ascii="Arial" w:hAnsi="Arial"/>
                <w:b/>
                <w:bCs/>
                <w:sz w:val="24"/>
                <w:szCs w:val="24"/>
              </w:rPr>
              <w:t>REVIEW OF ENRON CONFIRMS AND ISDA: Third Round</w:t>
            </w:r>
          </w:p>
        </w:tc>
      </w:tr>
      <w:tr>
        <w:trPr>
          <w:trHeight w:val="360" w:hRule="atLeast"/>
        </w:trPr>
        <w:tc>
          <w:tcPr>
            <w:tcW w:w="990" w:type="dxa"/>
            <w:tcBorders>
              <w:bottom w:val="single" w:sz="18" w:space="0" w:color="000000"/>
            </w:tcBorders>
          </w:tcPr>
          <w:p>
            <w:pPr>
              <w:pStyle w:val="Normal"/>
              <w:snapToGrid w:val="false"/>
              <w:rPr>
                <w:rFonts w:ascii="Arial" w:hAnsi="Arial" w:eastAsia="Arial" w:cs="Arial"/>
                <w:b/>
                <w:bCs/>
                <w:sz w:val="24"/>
                <w:szCs w:val="24"/>
              </w:rPr>
            </w:pPr>
            <w:r>
              <w:rPr>
                <w:rFonts w:eastAsia="Arial" w:cs="Arial" w:ascii="Arial" w:hAnsi="Arial"/>
                <w:b/>
                <w:bCs/>
                <w:sz w:val="24"/>
                <w:szCs w:val="24"/>
              </w:rPr>
            </w:r>
          </w:p>
        </w:tc>
        <w:tc>
          <w:tcPr>
            <w:tcW w:w="8640" w:type="dxa"/>
            <w:tcBorders>
              <w:bottom w:val="single" w:sz="18" w:space="0" w:color="000000"/>
            </w:tcBorders>
          </w:tcPr>
          <w:p>
            <w:pPr>
              <w:pStyle w:val="Normal"/>
              <w:snapToGrid w:val="false"/>
              <w:rPr>
                <w:rFonts w:ascii="Arial" w:hAnsi="Arial" w:eastAsia="Arial" w:cs="Arial"/>
                <w:b/>
                <w:bCs/>
                <w:sz w:val="24"/>
                <w:szCs w:val="24"/>
              </w:rPr>
            </w:pPr>
            <w:r>
              <w:rPr>
                <w:rFonts w:eastAsia="Arial" w:cs="Arial" w:ascii="Arial" w:hAnsi="Arial"/>
                <w:b/>
                <w:bCs/>
                <w:sz w:val="24"/>
                <w:szCs w:val="24"/>
              </w:rPr>
            </w:r>
          </w:p>
        </w:tc>
      </w:tr>
    </w:tbl>
    <w:p>
      <w:pPr>
        <w:pStyle w:val="Caption"/>
        <w:numPr>
          <w:ilvl w:val="0"/>
          <w:numId w:val="2"/>
        </w:numPr>
        <w:tabs>
          <w:tab w:val="clear" w:pos="720"/>
          <w:tab w:val="left" w:pos="0" w:leader="none"/>
          <w:tab w:val="left" w:pos="360" w:leader="none"/>
        </w:tabs>
        <w:ind w:hanging="720" w:start="1080" w:end="0"/>
        <w:rPr/>
      </w:pPr>
      <w:r>
        <w:rPr/>
        <w:t>Regarding my item 1 in my May 16</w:t>
      </w:r>
      <w:r>
        <w:rPr>
          <w:vertAlign w:val="superscript"/>
        </w:rPr>
        <w:t>th</w:t>
      </w:r>
      <w:r>
        <w:rPr/>
        <w:t xml:space="preserve"> memo, I would re-write the last sentence to Part 5.(d) of the Schedule as follows:</w:t>
      </w:r>
    </w:p>
    <w:p>
      <w:pPr>
        <w:pStyle w:val="Normal"/>
        <w:numPr>
          <w:ilvl w:val="0"/>
          <w:numId w:val="0"/>
        </w:numPr>
        <w:ind w:hanging="0" w:start="0"/>
        <w:rPr/>
      </w:pPr>
      <w:r>
        <w:rPr/>
      </w:r>
    </w:p>
    <w:p>
      <w:pPr>
        <w:pStyle w:val="WW-BodyText2"/>
        <w:numPr>
          <w:ilvl w:val="0"/>
          <w:numId w:val="0"/>
        </w:numPr>
        <w:ind w:hanging="0" w:start="360"/>
        <w:rPr/>
      </w:pPr>
      <w:r>
        <w:rPr/>
        <w:t>“</w:t>
      </w:r>
      <w:r>
        <w:rPr/>
        <w:t>In the event of any inconsistency between the provisions of this Agreement and any definitions used in any Confirmation entered into after the date of this Agreement, the definitions used in that Confirmation will prevail, but for the purpose of that specific Transaction only.”</w:t>
      </w:r>
    </w:p>
    <w:p>
      <w:pPr>
        <w:pStyle w:val="Normal"/>
        <w:numPr>
          <w:ilvl w:val="0"/>
          <w:numId w:val="0"/>
        </w:numPr>
        <w:tabs>
          <w:tab w:val="left" w:pos="720" w:leader="none"/>
        </w:tabs>
        <w:ind w:hanging="0" w:start="360" w:end="0"/>
        <w:rPr>
          <w:sz w:val="24"/>
          <w:szCs w:val="24"/>
        </w:rPr>
      </w:pPr>
      <w:r>
        <w:rPr>
          <w:sz w:val="24"/>
          <w:szCs w:val="24"/>
        </w:rPr>
      </w:r>
    </w:p>
    <w:p>
      <w:pPr>
        <w:pStyle w:val="Normal"/>
        <w:numPr>
          <w:ilvl w:val="0"/>
          <w:numId w:val="0"/>
        </w:numPr>
        <w:tabs>
          <w:tab w:val="left" w:pos="720" w:leader="none"/>
        </w:tabs>
        <w:ind w:hanging="0" w:start="720" w:end="0"/>
        <w:rPr>
          <w:sz w:val="24"/>
          <w:szCs w:val="24"/>
        </w:rPr>
      </w:pPr>
      <w:r>
        <w:rPr>
          <w:sz w:val="24"/>
          <w:szCs w:val="24"/>
        </w:rPr>
        <w:t>The last sentence of Part 5.(n) of the Schedule would be kept intact, with the following sentence added immediately afterward:</w:t>
      </w:r>
    </w:p>
    <w:p>
      <w:pPr>
        <w:pStyle w:val="Normal"/>
        <w:numPr>
          <w:ilvl w:val="0"/>
          <w:numId w:val="0"/>
        </w:numPr>
        <w:tabs>
          <w:tab w:val="left" w:pos="720" w:leader="none"/>
        </w:tabs>
        <w:ind w:hanging="0" w:start="360" w:end="0"/>
        <w:rPr>
          <w:sz w:val="24"/>
          <w:szCs w:val="24"/>
        </w:rPr>
      </w:pPr>
      <w:r>
        <w:rPr>
          <w:sz w:val="24"/>
          <w:szCs w:val="24"/>
        </w:rPr>
      </w:r>
    </w:p>
    <w:p>
      <w:pPr>
        <w:pStyle w:val="WW-BodyText2"/>
        <w:numPr>
          <w:ilvl w:val="0"/>
          <w:numId w:val="0"/>
        </w:numPr>
        <w:ind w:hanging="0" w:start="360"/>
        <w:rPr/>
      </w:pPr>
      <w:r>
        <w:rPr/>
        <w:t>“</w:t>
      </w:r>
      <w:r>
        <w:rPr/>
        <w:t>In the event of any conflict between the terms and provisions of any Transactions entered into after the date of this Agreement, the terms and provisions of that Transaction shall control, but for the purpose of that specific Transaction only.”</w:t>
      </w:r>
    </w:p>
    <w:p>
      <w:pPr>
        <w:pStyle w:val="Normal"/>
        <w:numPr>
          <w:ilvl w:val="0"/>
          <w:numId w:val="0"/>
        </w:numPr>
        <w:tabs>
          <w:tab w:val="left" w:pos="720" w:leader="none"/>
        </w:tabs>
        <w:ind w:hanging="0" w:start="360" w:end="0"/>
        <w:rPr>
          <w:i/>
          <w:i/>
          <w:iCs/>
          <w:sz w:val="24"/>
          <w:szCs w:val="24"/>
        </w:rPr>
      </w:pPr>
      <w:r>
        <w:rPr>
          <w:i/>
          <w:iCs/>
          <w:sz w:val="24"/>
          <w:szCs w:val="24"/>
        </w:rPr>
      </w:r>
    </w:p>
    <w:p>
      <w:pPr>
        <w:pStyle w:val="Normal"/>
        <w:numPr>
          <w:ilvl w:val="0"/>
          <w:numId w:val="2"/>
        </w:numPr>
        <w:tabs>
          <w:tab w:val="clear" w:pos="720"/>
          <w:tab w:val="left" w:pos="0" w:leader="none"/>
          <w:tab w:val="left" w:pos="360" w:leader="none"/>
        </w:tabs>
        <w:ind w:hanging="720" w:start="1080" w:end="0"/>
        <w:rPr/>
      </w:pPr>
      <w:r>
        <w:rPr>
          <w:sz w:val="24"/>
          <w:szCs w:val="24"/>
        </w:rPr>
        <w:t>Regarding my item 7 in my May 16</w:t>
      </w:r>
      <w:r>
        <w:rPr>
          <w:sz w:val="24"/>
          <w:szCs w:val="24"/>
          <w:vertAlign w:val="superscript"/>
        </w:rPr>
        <w:t>th</w:t>
      </w:r>
      <w:r>
        <w:rPr>
          <w:sz w:val="24"/>
          <w:szCs w:val="24"/>
        </w:rPr>
        <w:t xml:space="preserve"> memo, I can accept the amendment you propose in Part 1.(g).  (Of course there is still the open issue of the definition of “materially weaker.”)</w:t>
      </w:r>
    </w:p>
    <w:p>
      <w:pPr>
        <w:pStyle w:val="Normal"/>
        <w:numPr>
          <w:ilvl w:val="0"/>
          <w:numId w:val="0"/>
        </w:numPr>
        <w:ind w:hanging="0" w:start="360" w:end="0"/>
        <w:rPr>
          <w:sz w:val="24"/>
          <w:szCs w:val="24"/>
        </w:rPr>
      </w:pPr>
      <w:r>
        <w:rPr>
          <w:sz w:val="24"/>
          <w:szCs w:val="24"/>
        </w:rPr>
      </w:r>
    </w:p>
    <w:p>
      <w:pPr>
        <w:pStyle w:val="Normal"/>
        <w:numPr>
          <w:ilvl w:val="0"/>
          <w:numId w:val="2"/>
        </w:numPr>
        <w:tabs>
          <w:tab w:val="clear" w:pos="720"/>
          <w:tab w:val="left" w:pos="0" w:leader="none"/>
          <w:tab w:val="left" w:pos="360" w:leader="none"/>
        </w:tabs>
        <w:ind w:hanging="720" w:start="1080" w:end="0"/>
        <w:rPr/>
      </w:pPr>
      <w:r>
        <w:rPr>
          <w:sz w:val="24"/>
          <w:szCs w:val="24"/>
        </w:rPr>
        <w:t>Regarding my items 9 and 21 in my May 16</w:t>
      </w:r>
      <w:r>
        <w:rPr>
          <w:sz w:val="24"/>
          <w:szCs w:val="24"/>
          <w:vertAlign w:val="superscript"/>
        </w:rPr>
        <w:t>th</w:t>
      </w:r>
      <w:r>
        <w:rPr>
          <w:sz w:val="24"/>
          <w:szCs w:val="24"/>
        </w:rPr>
        <w:t xml:space="preserve"> memo, my concern is from the other perspective – affiliates of </w:t>
      </w:r>
      <w:r>
        <w:rPr>
          <w:sz w:val="24"/>
          <w:szCs w:val="24"/>
          <w:u w:val="single"/>
        </w:rPr>
        <w:t>IPPI</w:t>
      </w:r>
      <w:r>
        <w:rPr>
          <w:sz w:val="24"/>
          <w:szCs w:val="24"/>
        </w:rPr>
        <w:t xml:space="preserve"> entering into unrelated contracts with ENA (or, broader still, ENA or ENA affiliates).  One IPPI affiliate – Guaranty Bank – is an unrated, regulated entity which “stands on its own,” and we go through great lengths to make sure no Guaranty contracts inadvertently “pull in” Temple-Inland (or any TIN affiliate outside the bank) as a de facto guarantor.  However given that this could only happen if Guaranty Bank actively entered into a contract of any kind with ENA/affiliate, which isn’t contemplated (and in any case I would have foreknowledge of), I can accept no modification or qualification to the references to “Affiliate” in these documents.</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 w:val="left" w:pos="360" w:leader="none"/>
        </w:tabs>
        <w:ind w:hanging="720" w:start="1080" w:end="0"/>
        <w:rPr/>
      </w:pPr>
      <w:r>
        <w:rPr>
          <w:sz w:val="24"/>
          <w:szCs w:val="24"/>
        </w:rPr>
        <w:t>Regarding my item 10 in my May 16</w:t>
      </w:r>
      <w:r>
        <w:rPr>
          <w:sz w:val="24"/>
          <w:szCs w:val="24"/>
          <w:vertAlign w:val="superscript"/>
        </w:rPr>
        <w:t>th</w:t>
      </w:r>
      <w:r>
        <w:rPr>
          <w:sz w:val="24"/>
          <w:szCs w:val="24"/>
        </w:rPr>
        <w:t xml:space="preserve"> memo, there appears to be a gap in the legal language concerning what gives rise to the use of a “Fallback Reference Price” (in the body of the Confirm).  The use of the term “Market Disruption Event” (Confirm Annex A.7.) causes Section 7.5 of the Commodity Derivative Definitions to “kick in.”  “Fallback Reference Price” is used in the body of the Confirm, but very clearly, Section 7.5.(c) of the Definitions says that “For the purpose of specifying that it is applicable to a Transaction (by using it </w:t>
      </w:r>
      <w:r>
        <w:rPr>
          <w:i/>
          <w:iCs/>
          <w:sz w:val="24"/>
          <w:szCs w:val="24"/>
        </w:rPr>
        <w:t>in conjunction with</w:t>
      </w:r>
      <w:r>
        <w:rPr>
          <w:sz w:val="24"/>
          <w:szCs w:val="24"/>
        </w:rPr>
        <w:t xml:space="preserve"> the term “Disruption Fallback”) … each of the following is a Disruption Fallback … .” (italics mine)  I don’t </w:t>
      </w:r>
      <w:r>
        <w:rPr>
          <w:sz w:val="24"/>
          <w:szCs w:val="24"/>
          <w:u w:val="single"/>
        </w:rPr>
        <w:t>think</w:t>
      </w:r>
      <w:r>
        <w:rPr>
          <w:sz w:val="24"/>
          <w:szCs w:val="24"/>
        </w:rPr>
        <w:t xml:space="preserve"> the term “Disruption Fallback” is used in the Confirm to bridge the gap between Market Disruption Event and Fallback Reference Price.</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 w:val="left" w:pos="360" w:leader="none"/>
        </w:tabs>
        <w:ind w:hanging="720" w:start="1080" w:end="0"/>
        <w:rPr/>
      </w:pPr>
      <w:r>
        <w:rPr>
          <w:sz w:val="24"/>
          <w:szCs w:val="24"/>
        </w:rPr>
        <w:t>Regarding my item 13 in my May 16</w:t>
      </w:r>
      <w:r>
        <w:rPr>
          <w:sz w:val="24"/>
          <w:szCs w:val="24"/>
          <w:vertAlign w:val="superscript"/>
        </w:rPr>
        <w:t>th</w:t>
      </w:r>
      <w:r>
        <w:rPr>
          <w:sz w:val="24"/>
          <w:szCs w:val="24"/>
        </w:rPr>
        <w:t xml:space="preserve"> memo, I will look for my suggested revision in the final draft.</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 w:val="left" w:pos="360" w:leader="none"/>
        </w:tabs>
        <w:ind w:hanging="720" w:start="1080" w:end="0"/>
        <w:rPr/>
      </w:pPr>
      <w:r>
        <w:rPr>
          <w:sz w:val="24"/>
          <w:szCs w:val="24"/>
        </w:rPr>
        <w:t>Regarding my item 14 in my May 16</w:t>
      </w:r>
      <w:r>
        <w:rPr>
          <w:sz w:val="24"/>
          <w:szCs w:val="24"/>
          <w:vertAlign w:val="superscript"/>
        </w:rPr>
        <w:t>th</w:t>
      </w:r>
      <w:r>
        <w:rPr>
          <w:sz w:val="24"/>
          <w:szCs w:val="24"/>
        </w:rPr>
        <w:t xml:space="preserve"> memo, I will accept only Cash as Eligible Collateral, however I am confused over the mechanics.  The Secured Party cannot </w:t>
      </w:r>
      <w:r>
        <w:rPr>
          <w:sz w:val="24"/>
          <w:szCs w:val="24"/>
          <w:u w:val="single"/>
        </w:rPr>
        <w:t>literally</w:t>
      </w:r>
      <w:r>
        <w:rPr>
          <w:sz w:val="24"/>
          <w:szCs w:val="24"/>
        </w:rPr>
        <w:t xml:space="preserve"> hold Cash collateral, only his bank can.  Will this Cash be commingled with the Secured Party’s general corporate funds or will it be escrowed ?  The “custodian” concept implies to me that it will be escrowed.  And given your response in your 5/29 e-mail (your point 6), it doesn’t sound like an escrow arrangement is mandatory.  Is escrow mandatory ?</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 w:val="left" w:pos="360" w:leader="none"/>
        </w:tabs>
        <w:ind w:hanging="720" w:start="1080" w:end="0"/>
        <w:rPr/>
      </w:pPr>
      <w:r>
        <w:rPr>
          <w:sz w:val="24"/>
          <w:szCs w:val="24"/>
        </w:rPr>
        <w:t>Regarding my item 19 in my May 16</w:t>
      </w:r>
      <w:r>
        <w:rPr>
          <w:sz w:val="24"/>
          <w:szCs w:val="24"/>
          <w:vertAlign w:val="superscript"/>
        </w:rPr>
        <w:t>th</w:t>
      </w:r>
      <w:r>
        <w:rPr>
          <w:sz w:val="24"/>
          <w:szCs w:val="24"/>
        </w:rPr>
        <w:t xml:space="preserve"> memo, and your response (your point 7), regarding an Event Of Default, you said “once we have terminated and established a termination amount, we would only draw to cover that amount if we didn’t draw earlier.”  Since, in an Event Of Default, you would </w:t>
      </w:r>
      <w:r>
        <w:rPr>
          <w:sz w:val="24"/>
          <w:szCs w:val="24"/>
          <w:u w:val="single"/>
        </w:rPr>
        <w:t>immediately</w:t>
      </w:r>
      <w:r>
        <w:rPr>
          <w:sz w:val="24"/>
          <w:szCs w:val="24"/>
        </w:rPr>
        <w:t xml:space="preserve"> draw down the </w:t>
      </w:r>
      <w:r>
        <w:rPr>
          <w:sz w:val="24"/>
          <w:szCs w:val="24"/>
          <w:u w:val="single"/>
        </w:rPr>
        <w:t>entire</w:t>
      </w:r>
      <w:r>
        <w:rPr>
          <w:sz w:val="24"/>
          <w:szCs w:val="24"/>
        </w:rPr>
        <w:t xml:space="preserve"> undrawn portion </w:t>
      </w:r>
      <w:r>
        <w:rPr>
          <w:sz w:val="24"/>
          <w:szCs w:val="24"/>
          <w:u w:val="single"/>
        </w:rPr>
        <w:t>before</w:t>
      </w:r>
      <w:r>
        <w:rPr>
          <w:sz w:val="24"/>
          <w:szCs w:val="24"/>
        </w:rPr>
        <w:t xml:space="preserve"> a termination amount could be calculated, do you really mean to say that, if you determine that you have drawn down </w:t>
      </w:r>
      <w:r>
        <w:rPr>
          <w:sz w:val="24"/>
          <w:szCs w:val="24"/>
          <w:u w:val="single"/>
        </w:rPr>
        <w:t>more than</w:t>
      </w:r>
      <w:r>
        <w:rPr>
          <w:sz w:val="24"/>
          <w:szCs w:val="24"/>
        </w:rPr>
        <w:t xml:space="preserve"> the termination amount would have required, you would reimburse IPPI for the difference (ie, the “overdrawn” amount) ?  In any case, this matter will have to be approved by our people involved in the credit decision-making.</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 w:val="left" w:pos="360" w:leader="none"/>
        </w:tabs>
        <w:ind w:hanging="360" w:start="1080" w:end="0"/>
        <w:rPr/>
      </w:pPr>
      <w:r>
        <w:rPr>
          <w:sz w:val="24"/>
          <w:szCs w:val="24"/>
        </w:rPr>
        <w:t>Regarding my item 20 in my May 16</w:t>
      </w:r>
      <w:r>
        <w:rPr>
          <w:sz w:val="24"/>
          <w:szCs w:val="24"/>
          <w:vertAlign w:val="superscript"/>
        </w:rPr>
        <w:t>th</w:t>
      </w:r>
      <w:r>
        <w:rPr>
          <w:sz w:val="24"/>
          <w:szCs w:val="24"/>
        </w:rPr>
        <w:t xml:space="preserve"> memo, please remove the “or deemed occurrence” phrase from Exhibit A.I.(d)(ii) of paragraph 13 of the Credit Annex.</w:t>
      </w:r>
    </w:p>
    <w:p>
      <w:pPr>
        <w:pStyle w:val="Normal"/>
        <w:rPr>
          <w:sz w:val="24"/>
          <w:szCs w:val="24"/>
        </w:rPr>
      </w:pPr>
      <w:r>
        <w:rPr>
          <w:sz w:val="24"/>
          <w:szCs w:val="24"/>
        </w:rPr>
      </w:r>
    </w:p>
    <w:p>
      <w:pPr>
        <w:pStyle w:val="Normal"/>
        <w:rPr>
          <w:sz w:val="24"/>
          <w:szCs w:val="24"/>
        </w:rPr>
      </w:pPr>
      <w:r>
        <w:rPr>
          <w:sz w:val="24"/>
          <w:szCs w:val="24"/>
        </w:rPr>
        <w:t>I APPRECIATE YOU DELIVERING YOUR COMMENTS IN A WRITTEN FORMAT.  I WAS ABLE TO PONDER YOUR COMMENTS AND GIVE (I HOPE !!) THOUGHTFUL ANSWERS.  I SUSPECT THAT YOUR PERSPECTIVE ON THE “CREDIT” ISSUES DELIVERED IN THE SAME MANNER WOULD BE THE MOST PRODUCTIVE USE OF BOTH MY AND YOUR TIME, ESPECIALLY SINCE CREDIT ISSUES MAY HAVE TO BE CONSIDERED BY A FULL “CHAIN OF COMMAND” HERE, RATHER THAN ONE PERSON AUTONOMOUSLY.  THANX.</w:t>
      </w:r>
    </w:p>
    <w:p>
      <w:pPr>
        <w:pStyle w:val="Normal"/>
        <w:rPr>
          <w:sz w:val="24"/>
          <w:szCs w:val="24"/>
        </w:rPr>
      </w:pPr>
      <w:r>
        <w:rPr>
          <w:sz w:val="24"/>
          <w:szCs w:val="24"/>
        </w:rPr>
      </w:r>
    </w:p>
    <w:p>
      <w:pPr>
        <w:pStyle w:val="Normal"/>
        <w:rPr>
          <w:sz w:val="24"/>
          <w:szCs w:val="24"/>
        </w:rPr>
      </w:pPr>
      <w:r>
        <w:rPr>
          <w:sz w:val="24"/>
          <w:szCs w:val="24"/>
        </w:rPr>
        <w:t>CC:</w:t>
        <w:tab/>
        <w:t>Dave Turpin</w:t>
      </w:r>
    </w:p>
    <w:p>
      <w:pPr>
        <w:pStyle w:val="Normal"/>
        <w:rPr>
          <w:sz w:val="24"/>
          <w:szCs w:val="24"/>
        </w:rPr>
      </w:pPr>
      <w:r>
        <w:rPr>
          <w:sz w:val="24"/>
          <w:szCs w:val="24"/>
        </w:rPr>
        <w:tab/>
        <w:t>Julie Beck</w:t>
      </w:r>
    </w:p>
    <w:p>
      <w:pPr>
        <w:pStyle w:val="Normal"/>
        <w:rPr>
          <w:sz w:val="24"/>
          <w:szCs w:val="24"/>
        </w:rPr>
      </w:pPr>
      <w:r>
        <w:rPr>
          <w:sz w:val="24"/>
          <w:szCs w:val="24"/>
        </w:rPr>
        <w:tab/>
        <w:t>Grant Adamson</w:t>
      </w:r>
    </w:p>
    <w:p>
      <w:pPr>
        <w:pStyle w:val="Normal"/>
        <w:rPr>
          <w:sz w:val="24"/>
          <w:szCs w:val="24"/>
        </w:rPr>
      </w:pPr>
      <w:r>
        <w:rPr>
          <w:sz w:val="24"/>
          <w:szCs w:val="24"/>
        </w:rPr>
        <w:tab/>
        <w:t>Randy Levy</w:t>
      </w:r>
    </w:p>
    <w:p>
      <w:pPr>
        <w:pStyle w:val="Normal"/>
        <w:rPr>
          <w:sz w:val="24"/>
          <w:szCs w:val="24"/>
        </w:rPr>
      </w:pPr>
      <w:r>
        <w:rPr>
          <w:sz w:val="24"/>
          <w:szCs w:val="24"/>
        </w:rPr>
        <w:tab/>
        <w:t>Tom Yenne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left" w:pos="720" w:leader="none"/>
        </w:tabs>
        <w:rPr>
          <w:sz w:val="24"/>
          <w:szCs w:val="24"/>
        </w:rPr>
      </w:pPr>
      <w:r>
        <w:rPr>
          <w:sz w:val="24"/>
          <w:szCs w:val="24"/>
        </w:rPr>
      </w:r>
    </w:p>
    <w:p>
      <w:pPr>
        <w:pStyle w:val="Normal"/>
        <w:tabs>
          <w:tab w:val="left" w:pos="720" w:leader="none"/>
        </w:tabs>
        <w:rPr>
          <w:sz w:val="24"/>
          <w:szCs w:val="24"/>
        </w:rPr>
      </w:pPr>
      <w:r>
        <w:rPr>
          <w:sz w:val="24"/>
          <w:szCs w:val="24"/>
        </w:rPr>
        <w:tab/>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Rounded MT Bold">
    <w:charset w:val="01"/>
    <w:family w:val="swiss"/>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Rounded MT Bold" w:hAnsi="Arial Rounded MT Bold" w:eastAsia="Arial Rounded MT Bold" w:cs="Arial Rounded MT Bold"/>
      <w:b/>
      <w:bCs/>
      <w:sz w:val="24"/>
      <w:szCs w:val="24"/>
    </w:rPr>
  </w:style>
  <w:style w:type="paragraph" w:styleId="Heading2">
    <w:name w:val="heading 2"/>
    <w:basedOn w:val="Normal"/>
    <w:next w:val="Normal"/>
    <w:qFormat/>
    <w:pPr>
      <w:keepNext w:val="true"/>
      <w:numPr>
        <w:ilvl w:val="1"/>
        <w:numId w:val="1"/>
      </w:numPr>
      <w:outlineLvl w:val="1"/>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eastAsia="Arial" w:cs="Arial"/>
      <w:sz w:val="22"/>
      <w:szCs w:val="22"/>
    </w:rPr>
  </w:style>
  <w:style w:type="paragraph" w:styleId="WW-BodyText2">
    <w:name w:val="WW-Body Text 2"/>
    <w:basedOn w:val="Normal"/>
    <w:qFormat/>
    <w:pPr>
      <w:tabs>
        <w:tab w:val="left" w:pos="720" w:leader="none"/>
      </w:tabs>
      <w:ind w:hanging="0" w:start="360" w:end="0"/>
    </w:pPr>
    <w:rPr>
      <w:i/>
      <w:iCs/>
      <w:sz w:val="24"/>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2001-06-05T11:52:00Z</dcterms:created>
  <dc:creator>Jack Falconi</dc:creator>
  <dc:description/>
  <dc:language>en-CA</dc:language>
  <cp:lastModifiedBy>Jack Falconi</cp:lastModifiedBy>
  <cp:lastPrinted>2001-05-16T10:36:00Z</cp:lastPrinted>
  <dcterms:modified xsi:type="dcterms:W3CDTF">2001-06-05T16:36:00Z</dcterms:modified>
  <cp:revision>11</cp:revision>
  <dc:subject/>
  <dc:title> </dc:title>
</cp:coreProperties>
</file>