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SELLER'S REPRESENTATIVE AGREEMENT</w:t>
      </w:r>
    </w:p>
    <w:p>
      <w:pPr>
        <w:pStyle w:val="Normal"/>
        <w:jc w:val="both"/>
        <w:rPr>
          <w:sz w:val="24"/>
        </w:rPr>
      </w:pPr>
      <w:r>
        <w:rPr>
          <w:sz w:val="24"/>
        </w:rPr>
      </w:r>
    </w:p>
    <w:p>
      <w:pPr>
        <w:pStyle w:val="Normal"/>
        <w:jc w:val="both"/>
        <w:rPr>
          <w:sz w:val="24"/>
        </w:rPr>
      </w:pPr>
      <w:r>
        <w:rPr>
          <w:sz w:val="24"/>
        </w:rPr>
      </w:r>
    </w:p>
    <w:p>
      <w:pPr>
        <w:pStyle w:val="BodyText"/>
        <w:rPr/>
      </w:pPr>
      <w:r>
        <w:rPr/>
        <w:t>WHEREAS, Gary Niedigger ("</w:t>
      </w:r>
      <w:r>
        <w:rPr>
          <w:u w:val="single"/>
        </w:rPr>
        <w:t>GN</w:t>
      </w:r>
      <w:r>
        <w:rPr/>
        <w:t>") and Independent Production Company, Inc. ("</w:t>
      </w:r>
      <w:r>
        <w:rPr>
          <w:u w:val="single"/>
        </w:rPr>
        <w:t>IPC</w:t>
      </w:r>
      <w:r>
        <w:rPr/>
        <w:t>") each own undivided working interests in coal bed methane reserves in the Powder River Basin and IPC has found a market at the wellhead for gas production attributable thereto.  Furthermore, IPC has also arranged for (i) field services facilities to be constructed from the wellheads to the inlet of reciprocating compressor(s) (the "</w:t>
      </w:r>
      <w:r>
        <w:rPr>
          <w:u w:val="single"/>
        </w:rPr>
        <w:t>Collection Facilities</w:t>
      </w:r>
      <w:r>
        <w:rPr/>
        <w:t xml:space="preserve">") located adjacent to the Fort Union Gas Gathering, L.L.C. facilities located in Campbell and Converse Counties, Wyoming (the </w:t>
      </w:r>
      <w:r>
        <w:rPr>
          <w:u w:val="single"/>
        </w:rPr>
        <w:t>"Fort Union Header</w:t>
      </w:r>
      <w:r>
        <w:rPr/>
        <w:t>") and (ii) moving such gas production through such reciprocating compressors and the Fort Union Header.</w:t>
      </w:r>
    </w:p>
    <w:p>
      <w:pPr>
        <w:pStyle w:val="Normal"/>
        <w:jc w:val="both"/>
        <w:rPr>
          <w:sz w:val="24"/>
        </w:rPr>
      </w:pPr>
      <w:r>
        <w:rPr>
          <w:sz w:val="24"/>
        </w:rPr>
      </w:r>
    </w:p>
    <w:p>
      <w:pPr>
        <w:pStyle w:val="Normal"/>
        <w:jc w:val="both"/>
        <w:rPr>
          <w:sz w:val="24"/>
        </w:rPr>
      </w:pPr>
      <w:r>
        <w:rPr>
          <w:sz w:val="24"/>
        </w:rPr>
        <w:t>WHEREAS, GN wishes to enter into the same types of arrangements as IPC with respect to its gas production.</w:t>
      </w:r>
    </w:p>
    <w:p>
      <w:pPr>
        <w:pStyle w:val="Normal"/>
        <w:jc w:val="both"/>
        <w:rPr>
          <w:sz w:val="24"/>
        </w:rPr>
      </w:pPr>
      <w:r>
        <w:rPr>
          <w:sz w:val="24"/>
        </w:rPr>
      </w:r>
    </w:p>
    <w:p>
      <w:pPr>
        <w:pStyle w:val="Normal"/>
        <w:jc w:val="both"/>
        <w:rPr>
          <w:sz w:val="24"/>
        </w:rPr>
      </w:pPr>
      <w:r>
        <w:rPr>
          <w:sz w:val="24"/>
        </w:rPr>
        <w:t>NOW, THEREFORE, the undersigned each agree as follows:</w:t>
      </w:r>
    </w:p>
    <w:p>
      <w:pPr>
        <w:pStyle w:val="Normal"/>
        <w:jc w:val="both"/>
        <w:rPr>
          <w:sz w:val="24"/>
        </w:rPr>
      </w:pPr>
      <w:r>
        <w:rPr>
          <w:sz w:val="24"/>
        </w:rPr>
      </w:r>
    </w:p>
    <w:p>
      <w:pPr>
        <w:pStyle w:val="Normal"/>
        <w:jc w:val="both"/>
        <w:rPr>
          <w:sz w:val="24"/>
        </w:rPr>
      </w:pPr>
      <w:r>
        <w:rPr>
          <w:sz w:val="24"/>
        </w:rPr>
        <w:t>1.</w:t>
        <w:tab/>
        <w:t xml:space="preserve">GN hereby appoints IPC to immediately commit its working interests, for a primary term of 10 years (commencing on the "in-service date" of the Wyoming Interstate Company's Medicine Bow Lateral interconnection with the Fort Union Header) and ending on the 10th anniversary thereof, to purchasing and field service arrangements respectively with Enron Capital &amp; Trade Resources Corp. ("ECT") and Enron Midstream Services, L.L.C. ("EMS").  Such purchasing and field service arrangements shall be on the same terms and conditions for both the parties hereto.  </w:t>
      </w:r>
    </w:p>
    <w:p>
      <w:pPr>
        <w:pStyle w:val="Normal"/>
        <w:jc w:val="both"/>
        <w:rPr>
          <w:sz w:val="24"/>
        </w:rPr>
      </w:pPr>
      <w:r>
        <w:rPr>
          <w:sz w:val="24"/>
        </w:rPr>
      </w:r>
    </w:p>
    <w:p>
      <w:pPr>
        <w:pStyle w:val="Normal"/>
        <w:jc w:val="both"/>
        <w:rPr>
          <w:sz w:val="24"/>
        </w:rPr>
      </w:pPr>
      <w:r>
        <w:rPr>
          <w:sz w:val="24"/>
        </w:rPr>
        <w:t>2.</w:t>
        <w:tab/>
        <w:t>Each of the parties hereto understand and agree that ECT and EMS are each relying on this agreement as an inducement to take certain actions including the building of, or funding of the building of, the Collection Facilities and other facilities related to the respective parties.  Each of the parties hereto further agrees that ECT and EMS are third party beneficiaries of this agreement.</w:t>
      </w:r>
    </w:p>
    <w:p>
      <w:pPr>
        <w:pStyle w:val="Normal"/>
        <w:jc w:val="both"/>
        <w:rPr>
          <w:sz w:val="24"/>
        </w:rPr>
      </w:pPr>
      <w:r>
        <w:rPr>
          <w:sz w:val="24"/>
        </w:rPr>
      </w:r>
    </w:p>
    <w:p>
      <w:pPr>
        <w:pStyle w:val="Normal"/>
        <w:jc w:val="both"/>
        <w:rPr>
          <w:b/>
          <w:sz w:val="24"/>
        </w:rPr>
      </w:pPr>
      <w:r>
        <w:rPr>
          <w:b/>
          <w:sz w:val="24"/>
        </w:rPr>
        <w:t>INDEPENDENT PRODUCTION COMPANY, INC.</w:t>
      </w:r>
    </w:p>
    <w:p>
      <w:pPr>
        <w:pStyle w:val="Normal"/>
        <w:jc w:val="both"/>
        <w:rPr>
          <w:b/>
          <w:sz w:val="24"/>
        </w:rPr>
      </w:pPr>
      <w:r>
        <w:rPr>
          <w:b/>
          <w:sz w:val="24"/>
        </w:rPr>
      </w:r>
    </w:p>
    <w:p>
      <w:pPr>
        <w:pStyle w:val="Normal"/>
        <w:jc w:val="both"/>
        <w:rPr>
          <w:sz w:val="24"/>
        </w:rPr>
      </w:pPr>
      <w:r>
        <w:rPr>
          <w:sz w:val="24"/>
        </w:rPr>
        <w:t>By:</w:t>
      </w:r>
      <w:r>
        <w:rPr>
          <w:sz w:val="24"/>
          <w:u w:val="single"/>
        </w:rPr>
        <w:tab/>
        <w:tab/>
        <w:tab/>
        <w:tab/>
        <w:tab/>
        <w:tab/>
        <w:tab/>
      </w:r>
    </w:p>
    <w:p>
      <w:pPr>
        <w:pStyle w:val="Normal"/>
        <w:jc w:val="both"/>
        <w:rPr>
          <w:sz w:val="24"/>
        </w:rPr>
      </w:pPr>
      <w:r>
        <w:rPr>
          <w:sz w:val="24"/>
        </w:rPr>
        <w:t>Name:</w:t>
      </w:r>
      <w:r>
        <w:rPr>
          <w:sz w:val="24"/>
          <w:u w:val="single"/>
        </w:rPr>
        <w:tab/>
        <w:tab/>
        <w:tab/>
        <w:tab/>
        <w:tab/>
        <w:tab/>
        <w:tab/>
      </w:r>
    </w:p>
    <w:p>
      <w:pPr>
        <w:pStyle w:val="Normal"/>
        <w:jc w:val="both"/>
        <w:rPr>
          <w:sz w:val="24"/>
        </w:rPr>
      </w:pPr>
      <w:r>
        <w:rPr>
          <w:sz w:val="24"/>
        </w:rPr>
        <w:t>Title:</w:t>
      </w:r>
      <w:r>
        <w:rPr>
          <w:sz w:val="24"/>
          <w:u w:val="single"/>
        </w:rPr>
        <w:tab/>
        <w:tab/>
        <w:tab/>
        <w:tab/>
        <w:tab/>
        <w:tab/>
        <w:tab/>
      </w:r>
    </w:p>
    <w:p>
      <w:pPr>
        <w:pStyle w:val="Normal"/>
        <w:jc w:val="both"/>
        <w:rPr>
          <w:sz w:val="24"/>
        </w:rPr>
      </w:pPr>
      <w:r>
        <w:rPr>
          <w:sz w:val="24"/>
        </w:rPr>
      </w:r>
    </w:p>
    <w:p>
      <w:pPr>
        <w:pStyle w:val="Normal"/>
        <w:jc w:val="both"/>
        <w:rPr>
          <w:sz w:val="24"/>
        </w:rPr>
      </w:pPr>
      <w:r>
        <w:rPr>
          <w:sz w:val="24"/>
        </w:rPr>
        <w:t>Agreed and Accepted this ___ day of August, 1999</w:t>
      </w:r>
    </w:p>
    <w:p>
      <w:pPr>
        <w:pStyle w:val="Normal"/>
        <w:jc w:val="both"/>
        <w:rPr>
          <w:sz w:val="24"/>
        </w:rPr>
      </w:pPr>
      <w:r>
        <w:rPr>
          <w:sz w:val="24"/>
        </w:rPr>
      </w:r>
    </w:p>
    <w:p>
      <w:pPr>
        <w:pStyle w:val="Normal"/>
        <w:jc w:val="both"/>
        <w:rPr>
          <w:b/>
          <w:sz w:val="24"/>
        </w:rPr>
      </w:pPr>
      <w:r>
        <w:rPr>
          <w:b/>
          <w:sz w:val="24"/>
        </w:rPr>
        <w:t>GARY NIEDIGGER (Entity type???)</w:t>
      </w:r>
    </w:p>
    <w:p>
      <w:pPr>
        <w:pStyle w:val="Normal"/>
        <w:jc w:val="both"/>
        <w:rPr>
          <w:b/>
          <w:sz w:val="24"/>
        </w:rPr>
      </w:pPr>
      <w:r>
        <w:rPr>
          <w:b/>
          <w:sz w:val="24"/>
        </w:rPr>
      </w:r>
    </w:p>
    <w:p>
      <w:pPr>
        <w:pStyle w:val="Normal"/>
        <w:jc w:val="both"/>
        <w:rPr>
          <w:sz w:val="24"/>
        </w:rPr>
      </w:pPr>
      <w:r>
        <w:rPr>
          <w:sz w:val="24"/>
        </w:rPr>
        <w:t>By:</w:t>
      </w:r>
      <w:r>
        <w:rPr>
          <w:sz w:val="24"/>
          <w:u w:val="single"/>
        </w:rPr>
        <w:tab/>
        <w:tab/>
        <w:tab/>
        <w:tab/>
        <w:tab/>
        <w:tab/>
        <w:tab/>
      </w:r>
    </w:p>
    <w:p>
      <w:pPr>
        <w:pStyle w:val="Normal"/>
        <w:jc w:val="both"/>
        <w:rPr>
          <w:sz w:val="24"/>
        </w:rPr>
      </w:pPr>
      <w:r>
        <w:rPr>
          <w:sz w:val="24"/>
        </w:rPr>
        <w:t>Name:</w:t>
      </w:r>
      <w:r>
        <w:rPr>
          <w:sz w:val="24"/>
          <w:u w:val="single"/>
        </w:rPr>
        <w:tab/>
        <w:tab/>
        <w:tab/>
        <w:tab/>
        <w:tab/>
        <w:tab/>
        <w:tab/>
      </w:r>
    </w:p>
    <w:p>
      <w:pPr>
        <w:pStyle w:val="Normal"/>
        <w:jc w:val="both"/>
        <w:rPr/>
      </w:pPr>
      <w:r>
        <w:rPr>
          <w:sz w:val="24"/>
        </w:rPr>
        <w:t>Title:</w:t>
      </w:r>
      <w:r>
        <w:rPr>
          <w:sz w:val="24"/>
          <w:u w:val="single"/>
        </w:rPr>
        <w:tab/>
        <w:tab/>
        <w:tab/>
        <w:tab/>
        <w:tab/>
        <w:tab/>
        <w:tab/>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GNEMEC\Powder River\</w:t>
    </w:r>
    <w:r>
      <w:rPr>
        <w:sz w:val="14"/>
        <w:lang w:eastAsia="en-US"/>
      </w:rPr>
      <w:fldChar w:fldCharType="begin"/>
    </w:r>
    <w:r>
      <w:rPr>
        <w:sz w:val="14"/>
        <w:lang w:eastAsia="en-US"/>
      </w:rPr>
      <w:instrText xml:space="preserve"> FILENAME </w:instrText>
    </w:r>
    <w:r>
      <w:rPr>
        <w:sz w:val="14"/>
        <w:lang w:eastAsia="en-US"/>
      </w:rPr>
      <w:fldChar w:fldCharType="separate"/>
    </w:r>
    <w:r>
      <w:rPr>
        <w:sz w:val="14"/>
        <w:lang w:eastAsia="en-US"/>
      </w:rPr>
      <w:t>IPC_Agreement1.doc</w:t>
    </w:r>
    <w:r>
      <w:rPr>
        <w:sz w:val="14"/>
        <w:lang w:eastAsia="en-US"/>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sz w:val="24"/>
      <w:u w:val="single"/>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1999-08-03T12:01:00Z</dcterms:created>
  <dc:creator>Pat Radford</dc:creator>
  <dc:description/>
  <dc:language>en-CA</dc:language>
  <cp:lastModifiedBy>gnemec</cp:lastModifiedBy>
  <cp:lastPrinted>1999-08-03T09:42:00Z</cp:lastPrinted>
  <dcterms:modified xsi:type="dcterms:W3CDTF">1999-08-03T12:29:00Z</dcterms:modified>
  <cp:revision>7</cp:revision>
  <dc:subject/>
  <dc:title>AGREEMENT</dc:title>
</cp:coreProperties>
</file>