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 xml:space="preserve"> </w:t>
      </w:r>
    </w:p>
    <w:p>
      <w:pPr>
        <w:pStyle w:val="Normal"/>
        <w:spacing w:before="0" w:after="0"/>
        <w:jc w:val="center"/>
        <w:rPr>
          <w:b/>
          <w:u w:val="single"/>
        </w:rPr>
      </w:pPr>
      <w:r>
        <w:rPr>
          <w:b/>
          <w:u w:val="single"/>
        </w:rPr>
        <w:t>ANNEX TO</w:t>
        <w:br/>
        <w:t>ELECTRONIC SERVICES AGREEMENT</w:t>
      </w:r>
    </w:p>
    <w:p>
      <w:pPr>
        <w:pStyle w:val="Normal"/>
        <w:spacing w:before="0" w:after="0"/>
        <w:jc w:val="center"/>
        <w:rPr>
          <w:b/>
          <w:u w:val="single"/>
        </w:rPr>
      </w:pPr>
      <w:r>
        <w:rPr>
          <w:b/>
          <w:u w:val="single"/>
        </w:rPr>
        <w:t>FOR</w:t>
      </w:r>
    </w:p>
    <w:p>
      <w:pPr>
        <w:pStyle w:val="Normal"/>
        <w:spacing w:before="0" w:after="0"/>
        <w:jc w:val="center"/>
        <w:rPr>
          <w:b/>
          <w:u w:val="single"/>
        </w:rPr>
      </w:pPr>
      <w:r>
        <w:rPr>
          <w:b/>
          <w:u w:val="single"/>
        </w:rPr>
        <w:t>I/OLOGIC MODULE</w:t>
      </w:r>
    </w:p>
    <w:p>
      <w:pPr>
        <w:pStyle w:val="Normal"/>
        <w:spacing w:before="0" w:after="0"/>
        <w:jc w:val="center"/>
        <w:rPr>
          <w:b/>
          <w:u w:val="single"/>
        </w:rPr>
      </w:pPr>
      <w:r>
        <w:rPr>
          <w:b/>
          <w:u w:val="single"/>
        </w:rPr>
      </w:r>
    </w:p>
    <w:p>
      <w:pPr>
        <w:pStyle w:val="Normal"/>
        <w:spacing w:before="0" w:after="0"/>
        <w:jc w:val="center"/>
        <w:rPr>
          <w:b/>
          <w:u w:val="single"/>
        </w:rPr>
      </w:pPr>
      <w:r>
        <w:rPr>
          <w:b/>
          <w:u w:val="single"/>
        </w:rPr>
      </w:r>
    </w:p>
    <w:p>
      <w:pPr>
        <w:pStyle w:val="Normal"/>
        <w:ind w:firstLine="720" w:end="0"/>
        <w:jc w:val="both"/>
        <w:rPr/>
      </w:pPr>
      <w:r>
        <w:rPr/>
        <w:t>This Annex to Electronic Services Agreement for I/OLogic (this "</w:t>
      </w:r>
      <w:r>
        <w:rPr>
          <w:u w:val="single"/>
        </w:rPr>
        <w:t>Annex</w:t>
      </w:r>
      <w:r>
        <w:rPr/>
        <w:t>") is and shall be deemed to be an attachment to the Electronic Services Agreement (the "</w:t>
      </w:r>
      <w:r>
        <w:rPr>
          <w:u w:val="single"/>
        </w:rPr>
        <w:t>ESA</w:t>
      </w:r>
      <w:r>
        <w:rPr/>
        <w:t>") between CommodityLogic and User through which access to and use of the Website has been granted.  The terms and conditions of this Annex are in addition to, but not in replacement of, the terms and conditions of the ESA and Password Application previously agreed to by User, which terms and conditions are as follows:</w:t>
      </w:r>
    </w:p>
    <w:p>
      <w:pPr>
        <w:pStyle w:val="Normal"/>
        <w:jc w:val="both"/>
        <w:rPr>
          <w:b/>
          <w:bCs/>
        </w:rPr>
      </w:pPr>
      <w:r>
        <w:rPr>
          <w:b/>
          <w:bCs/>
        </w:rPr>
        <w:t>1.</w:t>
        <w:tab/>
      </w:r>
      <w:r>
        <w:rPr>
          <w:b/>
          <w:bCs/>
          <w:u w:val="single"/>
        </w:rPr>
        <w:t>GENERAL.</w:t>
      </w:r>
    </w:p>
    <w:p>
      <w:pPr>
        <w:pStyle w:val="Normal"/>
        <w:ind w:firstLine="720" w:end="0"/>
        <w:jc w:val="both"/>
        <w:rPr/>
      </w:pPr>
      <w:r>
        <w:rPr/>
        <w:t>(a)  To the extent applicable, the terms and conditions of the ESA are hereby incorporated into and made a part of this Annex by reference.</w:t>
      </w:r>
    </w:p>
    <w:p>
      <w:pPr>
        <w:pStyle w:val="Normal"/>
        <w:ind w:firstLine="720" w:end="0"/>
        <w:jc w:val="both"/>
        <w:rPr/>
      </w:pPr>
      <w:r>
        <w:rPr/>
        <w:t>(b)  By clicking on the “I ACCEPT” area below this Annex to the I/OLogic Module (the "</w:t>
      </w:r>
      <w:r>
        <w:rPr>
          <w:u w:val="single"/>
        </w:rPr>
        <w:t>Module</w:t>
      </w:r>
      <w:r>
        <w:rPr/>
        <w:t xml:space="preserve">"), User is hereby expressing its intention to enter into this Annex on the terms and conditions set forth herein and to be legally bound by the terms and conditions of this Annex to the same extent and with the same force and effect as if User had manually executed this Annex.   </w:t>
      </w:r>
    </w:p>
    <w:p>
      <w:pPr>
        <w:pStyle w:val="Normal"/>
        <w:ind w:firstLine="720" w:end="0"/>
        <w:jc w:val="both"/>
        <w:rPr/>
      </w:pPr>
      <w:r>
        <w:rPr/>
        <w:t>(c) This Annex, taken together, where applicable, with (i) any relevant Other Agreements, (ii) procedures established by CommodityLogic on the Website and (iii) other terms and conditions specified or referred to on the Website from time to time, will govern the access and utilization of the Module. In the event of any inconsistency between this Annex and the ESA, the Password Application or the Other Agreements, this Annex shall govern with respect to the Module.</w:t>
      </w:r>
    </w:p>
    <w:p>
      <w:pPr>
        <w:pStyle w:val="Normal"/>
        <w:ind w:firstLine="720" w:end="0"/>
        <w:jc w:val="both"/>
        <w:rPr/>
      </w:pPr>
      <w:r>
        <w:rPr/>
        <w:t xml:space="preserve">(d)  Terms not otherwise defined in this Annex, in the Website (including the general glossary of definitions) or in the Module shall have the meaning set forth for such terms in the ESA and the Password Application. </w:t>
      </w:r>
    </w:p>
    <w:p>
      <w:pPr>
        <w:pStyle w:val="Normal"/>
        <w:jc w:val="both"/>
        <w:rPr/>
      </w:pPr>
      <w:r>
        <w:rPr>
          <w:b/>
        </w:rPr>
        <w:t>2.</w:t>
        <w:tab/>
      </w:r>
      <w:r>
        <w:rPr>
          <w:b/>
          <w:u w:val="single"/>
        </w:rPr>
        <w:t>MODULE AND MODULE PROCEDURES.</w:t>
      </w:r>
    </w:p>
    <w:p>
      <w:pPr>
        <w:pStyle w:val="Normal"/>
        <w:ind w:firstLine="720" w:end="0"/>
        <w:jc w:val="both"/>
        <w:rPr/>
      </w:pPr>
      <w:r>
        <w:rPr/>
        <w:t>(a) The Module is intended to enable User to input to and extract from the Commodity Hub certain Commodity Information relative to User’s Commodity Transactions.  The Commodity Information input into the Commodity Hub can be used by User (and those of User’s designated Counterparites) in other modules available on the Website.  The output of Commodity Information from the Commodity Hub will enable User to store, use and manipulate the Commodity Information within User’s own internal information management and records retention systems (the “</w:t>
      </w:r>
      <w:r>
        <w:rPr>
          <w:u w:val="single"/>
        </w:rPr>
        <w:t>User’s Systems</w:t>
      </w:r>
      <w:r>
        <w:rPr/>
        <w:t>”).</w:t>
      </w:r>
    </w:p>
    <w:p>
      <w:pPr>
        <w:pStyle w:val="Normal"/>
        <w:ind w:firstLine="720" w:end="0"/>
        <w:jc w:val="both"/>
        <w:rPr/>
      </w:pPr>
      <w:r>
        <w:rPr/>
        <w:t>(b) Commodity Information input into the Commodity Hub must be formatted in a CommodityLogic standard format, which format will, at a minimum, require certain specific information relative to each Commodity Transaction, including, but not limited to, User’s name, the classification of the Commodity which is the subject of the Commodity Transaction, the details of the Commodity Transaction and other pertinent information relative to each specific Commodity Transaction.  Upon input of the Commodity Information, User will receive status messages indicating either (i) the confirmation of the input of the Commodity Information into the Commodity Hub or (ii) that an error has occurred in the input of the Commodity Information such that it has not been fully accepted into the Commodity Hub.  Upon receipt of this latter status message, User shall be responsible for determining the reason for the error and ensuring, if User so desires, that properly formatted Commodity Information is resubmitted for input into the Commodity Hub.  Information that has not been properly input into the Commodity Hub will not be available to User (and its designated Counterparties) within any of the other modules available on the Website.</w:t>
      </w:r>
    </w:p>
    <w:p>
      <w:pPr>
        <w:pStyle w:val="Normal"/>
        <w:ind w:firstLine="720" w:end="0"/>
        <w:jc w:val="both"/>
        <w:rPr/>
      </w:pPr>
      <w:r>
        <w:rPr/>
        <w:t>(c) Once the original Commodity Information input into the Commodity Hub has been manipulated by User or its authorized Counterparty(ies), it will be stored in the Commodity Hub and, through this Module, made available to User for output to User’s Systems.  In order to obtain an output from the Commodity Hub through the Module, User must have previously provided CommodityLogic with a method of enabling the Commodity Hub to “speak” to the User’s Systems.  If this method is in place, Commodity Information from the Commodity Hub will be transferred to the User’s Systems.</w:t>
      </w:r>
    </w:p>
    <w:p>
      <w:pPr>
        <w:pStyle w:val="Normal"/>
        <w:jc w:val="both"/>
        <w:rPr>
          <w:b/>
        </w:rPr>
      </w:pPr>
      <w:r>
        <w:rPr>
          <w:b/>
          <w:bCs/>
        </w:rPr>
        <w:t>3.</w:t>
        <w:tab/>
      </w:r>
      <w:r>
        <w:rPr>
          <w:b/>
          <w:bCs/>
          <w:u w:val="single"/>
        </w:rPr>
        <w:t>DISCLAIMER/</w:t>
      </w:r>
      <w:r>
        <w:rPr>
          <w:b/>
          <w:u w:val="single"/>
        </w:rPr>
        <w:t xml:space="preserve"> ARCHIVES AND RECORDS RETENTION.</w:t>
      </w:r>
    </w:p>
    <w:p>
      <w:pPr>
        <w:pStyle w:val="Normal"/>
        <w:ind w:firstLine="720" w:end="0"/>
        <w:jc w:val="both"/>
        <w:rPr/>
      </w:pPr>
      <w:r>
        <w:rPr>
          <w:b/>
          <w:bCs/>
        </w:rPr>
        <w:t>(a)</w:t>
      </w:r>
      <w:r>
        <w:rPr/>
        <w:t xml:space="preserve"> </w:t>
      </w:r>
      <w:r>
        <w:rPr>
          <w:b/>
          <w:bCs/>
        </w:rPr>
        <w:t>User agrees that CommodityLogic is merely providing the Module as a means of enabling User to input Commodity Information into and obtain output of Commodity Information from the Commodity Hub.  All Commodity Information put into or obtained from the Commodity Hub by User is information (i) generated by either User and/or its Counterparty to specific Commodity Transactions or (ii) which User and/or its Counterparty to specific Commodity Transactions have manipulated through other modules made available on the Website, and is not information for which CommodityLogic bears any responsibility to verify or otherwise determine the accuracy or validity thereof.  CommodityLogic is not responsible to User for User’s inability to input to or obtain output from the Commodity Hub where a force majeure event (as indicated in the ESA) has caused the Commodity Hub to be unavailable or otherwise inaccessible.</w:t>
      </w:r>
    </w:p>
    <w:p>
      <w:pPr>
        <w:pStyle w:val="Normal"/>
        <w:spacing w:before="100" w:after="100"/>
        <w:ind w:firstLine="720" w:end="0"/>
        <w:jc w:val="both"/>
        <w:rPr/>
      </w:pPr>
      <w:r>
        <w:rPr/>
        <w:t>(b) Archiving and retention of Commodity Information input to or available for output from the Commodity Hub will be subject to the archive and retention periods set forth in the ESA.</w:t>
      </w:r>
      <w:r>
        <mc:AlternateContent>
          <mc:Choice Requires="wps">
            <w:drawing>
              <wp:anchor behindDoc="0" distT="0" distB="0" distL="114935" distR="114935" simplePos="0" locked="0" layoutInCell="1" allowOverlap="1" relativeHeight="3">
                <wp:simplePos x="0" y="0"/>
                <wp:positionH relativeFrom="column">
                  <wp:posOffset>5875020</wp:posOffset>
                </wp:positionH>
                <wp:positionV relativeFrom="paragraph">
                  <wp:posOffset>2278380</wp:posOffset>
                </wp:positionV>
                <wp:extent cx="831215" cy="237490"/>
                <wp:effectExtent l="0" t="0" r="0" b="0"/>
                <wp:wrapNone/>
                <wp:docPr id="1" name="Frame1"/>
                <a:graphic xmlns:a="http://schemas.openxmlformats.org/drawingml/2006/main">
                  <a:graphicData uri="http://schemas.microsoft.com/office/word/2010/wordprocessingShape">
                    <wps:wsp>
                      <wps:cNvSpPr txBox="1"/>
                      <wps:spPr>
                        <a:xfrm>
                          <a:off x="0" y="0"/>
                          <a:ext cx="831215" cy="237490"/>
                        </a:xfrm>
                        <a:prstGeom prst="rect"/>
                        <a:solidFill>
                          <a:srgbClr val="FFFFFF">
                            <a:alpha val="0"/>
                          </a:srgbClr>
                        </a:solidFill>
                      </wps:spPr>
                      <wps:txbx>
                        <w:txbxContent>
                          <w:p>
                            <w:pPr>
                              <w:pStyle w:val="Normal"/>
                              <w:spacing w:before="100" w:after="100"/>
                              <w:rPr>
                                <w:sz w:val="14"/>
                              </w:rPr>
                            </w:pPr>
                            <w:r>
                              <w:rPr>
                                <w:sz w:val="14"/>
                              </w:rPr>
                              <w:t>Version 07-01</w:t>
                            </w:r>
                          </w:p>
                        </w:txbxContent>
                      </wps:txbx>
                      <wps:bodyPr anchor="t" lIns="92075" tIns="46355" rIns="92075" bIns="46355">
                        <a:noAutofit/>
                      </wps:bodyPr>
                    </wps:wsp>
                  </a:graphicData>
                </a:graphic>
              </wp:anchor>
            </w:drawing>
          </mc:Choice>
          <mc:Fallback>
            <w:pict>
              <v:rect fillcolor="#FFFFFF" style="position:absolute;rotation:-0;width:65.45pt;height:18.7pt;mso-wrap-distance-left:9.05pt;mso-wrap-distance-right:9.05pt;mso-wrap-distance-top:0pt;mso-wrap-distance-bottom:0pt;margin-top:179.4pt;mso-position-vertical-relative:text;margin-left:462.6pt;mso-position-horizontal-relative:text">
                <v:fill opacity="0f"/>
                <v:textbox inset="0.100694444444444in,0.0506944444444444in,0.100694444444444in,0.0506944444444444in">
                  <w:txbxContent>
                    <w:p>
                      <w:pPr>
                        <w:pStyle w:val="Normal"/>
                        <w:spacing w:before="100" w:after="100"/>
                        <w:rPr>
                          <w:sz w:val="14"/>
                        </w:rPr>
                      </w:pPr>
                      <w:r>
                        <w:rPr>
                          <w:sz w:val="14"/>
                        </w:rPr>
                        <w:t>Version 07-01</w:t>
                      </w:r>
                    </w:p>
                  </w:txbxContent>
                </v:textbox>
                <w10:wrap type="none"/>
              </v:rect>
            </w:pict>
          </mc:Fallback>
        </mc:AlternateContent>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2387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238760"/>
                      </a:xfrm>
                      <a:prstGeom prst="rect"/>
                      <a:solidFill>
                        <a:srgbClr val="FFFFFF">
                          <a:alpha val="0"/>
                        </a:srgbClr>
                      </a:solidFill>
                    </wps:spPr>
                    <wps:txbx>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8.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b/>
        <w:sz w:val="20"/>
        <w:u w:val="single"/>
      </w:rPr>
    </w:pPr>
    <w:r>
      <w:rPr>
        <w:b/>
        <w:sz w:val="20"/>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u w:val="single"/>
      </w:rPr>
    </w:pPr>
    <w:r>
      <w:rPr>
        <w:b/>
        <w:sz w:val="20"/>
        <w:u w:val="single"/>
      </w:rPr>
    </w:r>
  </w:p>
  <w:p>
    <w:pPr>
      <w:pStyle w:val="Header"/>
      <w:spacing w:before="0" w:after="0"/>
      <w:jc w:val="end"/>
      <w:rPr>
        <w:b/>
        <w:sz w:val="20"/>
        <w:u w:val="single"/>
      </w:rPr>
    </w:pPr>
    <w:r>
      <w:rPr>
        <w:b/>
        <w:sz w:val="20"/>
        <w:u w:val="single"/>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2001-07-05T20:25:00Z</dcterms:created>
  <dc:creator>Alan B. Aronowitz</dc:creator>
  <dc:description/>
  <dc:language>en-CA</dc:language>
  <cp:lastModifiedBy>akoehle</cp:lastModifiedBy>
  <cp:lastPrinted>2001-03-23T10:33:00Z</cp:lastPrinted>
  <dcterms:modified xsi:type="dcterms:W3CDTF">2001-07-11T14:09:00Z</dcterms:modified>
  <cp:revision>3</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