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sz w:val="22"/>
          <w:szCs w:val="22"/>
        </w:rPr>
      </w:pPr>
      <w:r>
        <w:rPr>
          <w:rFonts w:eastAsia="Arial" w:cs="Arial" w:ascii="Arial" w:hAnsi="Arial"/>
          <w:sz w:val="22"/>
          <w:szCs w:val="22"/>
        </w:rPr>
        <w:t>Transwestern Pipeline Company</w:t>
      </w:r>
    </w:p>
    <w:p>
      <w:pPr>
        <w:pStyle w:val="Normal"/>
        <w:jc w:val="center"/>
        <w:rPr>
          <w:rFonts w:ascii="Arial" w:hAnsi="Arial" w:eastAsia="Arial" w:cs="Arial"/>
          <w:sz w:val="22"/>
          <w:szCs w:val="22"/>
        </w:rPr>
      </w:pPr>
      <w:r>
        <w:rPr>
          <w:rFonts w:eastAsia="Arial" w:cs="Arial" w:ascii="Arial" w:hAnsi="Arial"/>
          <w:sz w:val="22"/>
          <w:szCs w:val="22"/>
        </w:rPr>
        <w:t>Interactive Open Season</w:t>
      </w:r>
    </w:p>
    <w:p>
      <w:pPr>
        <w:pStyle w:val="Normal"/>
        <w:jc w:val="center"/>
        <w:rPr>
          <w:rFonts w:ascii="Arial" w:hAnsi="Arial" w:eastAsia="Arial" w:cs="Arial"/>
          <w:sz w:val="22"/>
          <w:szCs w:val="22"/>
        </w:rPr>
      </w:pPr>
      <w:r>
        <w:rPr>
          <w:rFonts w:eastAsia="Arial" w:cs="Arial" w:ascii="Arial" w:hAnsi="Arial"/>
          <w:sz w:val="22"/>
          <w:szCs w:val="22"/>
        </w:rPr>
        <w:t>Internal Check List</w:t>
      </w:r>
    </w:p>
    <w:p>
      <w:pPr>
        <w:pStyle w:val="Normal"/>
        <w:jc w:val="center"/>
        <w:rPr>
          <w:rFonts w:ascii="Arial" w:hAnsi="Arial" w:eastAsia="Arial" w:cs="Arial"/>
          <w:sz w:val="22"/>
          <w:szCs w:val="22"/>
        </w:rPr>
      </w:pPr>
      <w:r>
        <w:rPr>
          <w:rFonts w:eastAsia="Arial" w:cs="Arial" w:ascii="Arial" w:hAnsi="Arial"/>
          <w:sz w:val="22"/>
          <w:szCs w:val="22"/>
        </w:rPr>
      </w:r>
    </w:p>
    <w:p>
      <w:pPr>
        <w:pStyle w:val="Normal"/>
        <w:rPr/>
      </w:pPr>
      <w:r>
        <w:rPr>
          <w:rFonts w:eastAsia="Arial" w:cs="Arial" w:ascii="Arial" w:hAnsi="Arial"/>
          <w:sz w:val="16"/>
          <w:szCs w:val="16"/>
        </w:rPr>
        <w:tab/>
        <w:tab/>
      </w:r>
      <w:r>
        <w:rPr/>
        <w:t>,Thursday, August 10, 2000, for 14,000 Dth of firm transportation capacity for a term of 7 months.</w:t>
      </w:r>
    </w:p>
    <w:tbl>
      <w:tblPr>
        <w:tblW w:w="11142" w:type="dxa"/>
        <w:jc w:val="start"/>
        <w:tblInd w:w="0" w:type="dxa"/>
        <w:tblLayout w:type="fixed"/>
        <w:tblCellMar>
          <w:top w:w="0" w:type="dxa"/>
          <w:start w:w="108" w:type="dxa"/>
          <w:bottom w:w="0" w:type="dxa"/>
          <w:end w:w="108" w:type="dxa"/>
        </w:tblCellMar>
      </w:tblPr>
      <w:tblGrid>
        <w:gridCol w:w="1872"/>
        <w:gridCol w:w="9270"/>
      </w:tblGrid>
      <w:tr>
        <w:trPr/>
        <w:tc>
          <w:tcPr>
            <w:tcW w:w="1872" w:type="dxa"/>
            <w:tcBorders>
              <w:top w:val="single" w:sz="6" w:space="0" w:color="000000"/>
              <w:bottom w:val="single" w:sz="6" w:space="0" w:color="000000"/>
              <w:end w:val="single" w:sz="6" w:space="0" w:color="000000"/>
            </w:tcBorders>
          </w:tcPr>
          <w:p>
            <w:pPr>
              <w:pStyle w:val="Normal"/>
              <w:jc w:val="center"/>
              <w:rPr>
                <w:rFonts w:ascii="Arial" w:hAnsi="Arial" w:eastAsia="Arial" w:cs="Arial"/>
                <w:sz w:val="22"/>
                <w:szCs w:val="22"/>
              </w:rPr>
            </w:pPr>
            <w:r>
              <w:rPr>
                <w:rFonts w:eastAsia="Arial" w:cs="Arial" w:ascii="Arial" w:hAnsi="Arial"/>
                <w:sz w:val="22"/>
                <w:szCs w:val="22"/>
              </w:rPr>
              <w:t>Person Responsible</w:t>
            </w:r>
          </w:p>
        </w:tc>
        <w:tc>
          <w:tcPr>
            <w:tcW w:w="9270" w:type="dxa"/>
            <w:tcBorders>
              <w:top w:val="single" w:sz="6" w:space="0" w:color="000000"/>
              <w:bottom w:val="single" w:sz="6" w:space="0" w:color="000000"/>
            </w:tcBorders>
          </w:tcPr>
          <w:p>
            <w:pPr>
              <w:pStyle w:val="Normal"/>
              <w:snapToGrid w:val="false"/>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Check List</w:t>
            </w:r>
          </w:p>
        </w:tc>
      </w:tr>
      <w:tr>
        <w:trPr/>
        <w:tc>
          <w:tcPr>
            <w:tcW w:w="1872" w:type="dxa"/>
            <w:tcBorders>
              <w:top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Christine</w:t>
            </w:r>
          </w:p>
        </w:tc>
        <w:tc>
          <w:tcPr>
            <w:tcW w:w="9270" w:type="dxa"/>
            <w:tcBorders>
              <w:top w:val="single" w:sz="6" w:space="0" w:color="000000"/>
              <w:bottom w:val="single" w:sz="6" w:space="0" w:color="000000"/>
            </w:tcBorders>
          </w:tcPr>
          <w:p>
            <w:pPr>
              <w:pStyle w:val="Normal"/>
              <w:numPr>
                <w:ilvl w:val="0"/>
                <w:numId w:val="1"/>
              </w:numPr>
              <w:tabs>
                <w:tab w:val="clear" w:pos="720"/>
                <w:tab w:val="left" w:pos="0" w:leader="none"/>
              </w:tabs>
              <w:ind w:hanging="360" w:start="720" w:end="0"/>
              <w:rPr>
                <w:rFonts w:ascii="Arial" w:hAnsi="Arial" w:eastAsia="Arial" w:cs="Arial"/>
              </w:rPr>
            </w:pPr>
            <w:r>
              <w:rPr>
                <w:rFonts w:eastAsia="Arial" w:cs="Arial" w:ascii="Arial" w:hAnsi="Arial"/>
              </w:rPr>
              <w:t>Put request for IOS posting together and route for approval.  Approval will be obtained from the following departments:  Marketing, Legal, Regulatory and Facility Planning, verbal approval is acceptable if documented by the person responsible.</w:t>
            </w:r>
          </w:p>
          <w:p>
            <w:pPr>
              <w:pStyle w:val="Normal"/>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Christine</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2.   Once IOS is approved for posting, coordinate with Market Services to post on the EBB and Internet.</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 xml:space="preserve">Christine </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3.   Distribute ccmail message to all in Marketing, TW Facility Planning, Credit Department and Systems Support to provide notification of posting.  Marketing will contact Credit and communicate the anticipated transport rate for the IOS for credit check purposes and also, be responsible for educating the customer of the IOS.  Facility Planning will hold/reserve capacity for the IOS.</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Michelle</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4.   Create a master list of all Service Requests for the IOS and initiate credit checks.  Once credit has been approved, keep a master list of Shipper Identification Numbers (SIN) and assign a SIN to each Shipper once credit approval is received.  Communicate SIN to each shipper.</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Michelle</w:t>
            </w:r>
          </w:p>
        </w:tc>
        <w:tc>
          <w:tcPr>
            <w:tcW w:w="9270" w:type="dxa"/>
            <w:tcBorders>
              <w:top w:val="single" w:sz="6" w:space="0" w:color="000000"/>
              <w:bottom w:val="single" w:sz="6" w:space="0" w:color="000000"/>
            </w:tcBorders>
          </w:tcPr>
          <w:p>
            <w:pPr>
              <w:pStyle w:val="Normal"/>
              <w:numPr>
                <w:ilvl w:val="0"/>
                <w:numId w:val="1"/>
              </w:numPr>
              <w:tabs>
                <w:tab w:val="clear" w:pos="720"/>
                <w:tab w:val="left" w:pos="0" w:leader="none"/>
              </w:tabs>
              <w:ind w:hanging="360" w:start="720" w:end="0"/>
              <w:rPr>
                <w:rFonts w:ascii="Arial" w:hAnsi="Arial" w:eastAsia="Arial" w:cs="Arial"/>
              </w:rPr>
            </w:pPr>
            <w:r>
              <w:rPr>
                <w:rFonts w:eastAsia="Arial" w:cs="Arial" w:ascii="Arial" w:hAnsi="Arial"/>
              </w:rPr>
              <w:t>Send Service Requests to Facility Planning for capacity analysis.  Communicate to Shipper, prior to the bid window opening, if there is a capacity availability problem with the path requested and have Shipper choose another point to evaluate for capacity availability.</w:t>
            </w:r>
          </w:p>
          <w:p>
            <w:pPr>
              <w:pStyle w:val="Normal"/>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Michelle</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6.   Coordinate the official opening of the bid window with Systems Support.</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Michelle &amp; Susan</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7.   Monitor all bids during the bid window and be responsible for coordinating and communicating to the appropriate people/departments any issue that may arise.  Identify a legal designee to be on call and available during the IOS.</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Michelle</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8.   Coordinate the official closing of the bid window with Systems Support.</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Michelle</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9.   Coordinate an internal meeting with the appropriate people to discuss bid rates received and  obtain approval from the Regional VP, the VP Business Manager and the President of TW before or immediately at the close of the bid window.</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Michelle</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10.  Within 2 hours of the bid window closing, communicate to the Viewable Bidders whether or not TW has accepted their bid.</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Michelle</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11. Prepare Deal Sheet.</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Christine</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12. Tender Transportation Agreements.</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ind w:hanging="360" w:start="360" w:end="0"/>
              <w:jc w:val="center"/>
              <w:rPr>
                <w:rFonts w:ascii="Arial" w:hAnsi="Arial" w:eastAsia="Arial" w:cs="Arial"/>
              </w:rPr>
            </w:pPr>
            <w:r>
              <w:rPr>
                <w:rFonts w:eastAsia="Arial" w:cs="Arial" w:ascii="Arial" w:hAnsi="Arial"/>
              </w:rPr>
              <w:t>Christine</w:t>
            </w:r>
          </w:p>
        </w:tc>
        <w:tc>
          <w:tcPr>
            <w:tcW w:w="9270" w:type="dxa"/>
            <w:tcBorders>
              <w:top w:val="single" w:sz="6" w:space="0" w:color="000000"/>
              <w:bottom w:val="single" w:sz="6" w:space="0" w:color="000000"/>
            </w:tcBorders>
          </w:tcPr>
          <w:p>
            <w:pPr>
              <w:pStyle w:val="Normal"/>
              <w:ind w:hanging="360" w:start="360" w:end="0"/>
              <w:rPr>
                <w:rFonts w:ascii="Arial" w:hAnsi="Arial" w:eastAsia="Arial" w:cs="Arial"/>
              </w:rPr>
            </w:pPr>
            <w:r>
              <w:rPr>
                <w:rFonts w:eastAsia="Arial" w:cs="Arial" w:ascii="Arial" w:hAnsi="Arial"/>
              </w:rPr>
              <w:t>13. Status/Follow-up on executed agreements.</w:t>
            </w:r>
          </w:p>
          <w:p>
            <w:pPr>
              <w:pStyle w:val="Normal"/>
              <w:ind w:hanging="360" w:start="360" w:end="0"/>
              <w:rPr>
                <w:rFonts w:ascii="Arial" w:hAnsi="Arial" w:eastAsia="Arial" w:cs="Arial"/>
              </w:rPr>
            </w:pPr>
            <w:r>
              <w:rPr>
                <w:rFonts w:eastAsia="Arial" w:cs="Arial" w:ascii="Arial" w:hAnsi="Arial"/>
              </w:rPr>
            </w:r>
          </w:p>
        </w:tc>
      </w:tr>
      <w:tr>
        <w:trPr/>
        <w:tc>
          <w:tcPr>
            <w:tcW w:w="1872" w:type="dxa"/>
            <w:tcBorders>
              <w:top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Michelle</w:t>
            </w:r>
          </w:p>
        </w:tc>
        <w:tc>
          <w:tcPr>
            <w:tcW w:w="9270" w:type="dxa"/>
            <w:tcBorders>
              <w:top w:val="single" w:sz="6" w:space="0" w:color="000000"/>
              <w:bottom w:val="single" w:sz="6" w:space="0" w:color="000000"/>
            </w:tcBorders>
          </w:tcPr>
          <w:p>
            <w:pPr>
              <w:pStyle w:val="Normal"/>
              <w:numPr>
                <w:ilvl w:val="0"/>
                <w:numId w:val="1"/>
              </w:numPr>
              <w:tabs>
                <w:tab w:val="clear" w:pos="720"/>
                <w:tab w:val="left" w:pos="0" w:leader="none"/>
              </w:tabs>
              <w:ind w:hanging="720" w:start="720" w:end="0"/>
              <w:rPr>
                <w:rFonts w:ascii="Arial" w:hAnsi="Arial" w:eastAsia="Arial" w:cs="Arial"/>
              </w:rPr>
            </w:pPr>
            <w:r>
              <w:rPr>
                <w:rFonts w:eastAsia="Arial" w:cs="Arial" w:ascii="Arial" w:hAnsi="Arial"/>
              </w:rPr>
              <w:t>Post any winning Affiliate bids on EBB.</w:t>
            </w:r>
          </w:p>
          <w:p>
            <w:pPr>
              <w:pStyle w:val="Normal"/>
              <w:rPr>
                <w:rFonts w:ascii="Arial" w:hAnsi="Arial" w:eastAsia="Arial" w:cs="Arial"/>
                <w:sz w:val="16"/>
                <w:szCs w:val="16"/>
              </w:rPr>
            </w:pPr>
            <w:r>
              <w:rPr>
                <w:rFonts w:eastAsia="Arial" w:cs="Arial" w:ascii="Arial" w:hAnsi="Arial"/>
                <w:sz w:val="16"/>
                <w:szCs w:val="16"/>
              </w:rPr>
            </w:r>
          </w:p>
        </w:tc>
      </w:tr>
      <w:tr>
        <w:trPr/>
        <w:tc>
          <w:tcPr>
            <w:tcW w:w="1872" w:type="dxa"/>
            <w:tcBorders>
              <w:top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Michelle</w:t>
            </w:r>
          </w:p>
        </w:tc>
        <w:tc>
          <w:tcPr>
            <w:tcW w:w="9270" w:type="dxa"/>
            <w:tcBorders>
              <w:top w:val="single" w:sz="6" w:space="0" w:color="000000"/>
              <w:bottom w:val="single" w:sz="6" w:space="0" w:color="000000"/>
            </w:tcBorders>
          </w:tcPr>
          <w:p>
            <w:pPr>
              <w:pStyle w:val="Normal"/>
              <w:numPr>
                <w:ilvl w:val="0"/>
                <w:numId w:val="1"/>
              </w:numPr>
              <w:tabs>
                <w:tab w:val="clear" w:pos="720"/>
                <w:tab w:val="left" w:pos="0" w:leader="none"/>
              </w:tabs>
              <w:ind w:hanging="360" w:start="720" w:end="0"/>
              <w:rPr>
                <w:rFonts w:ascii="Arial" w:hAnsi="Arial" w:eastAsia="Arial" w:cs="Arial"/>
              </w:rPr>
            </w:pPr>
            <w:r>
              <w:rPr>
                <w:rFonts w:eastAsia="Arial" w:cs="Arial" w:ascii="Arial" w:hAnsi="Arial"/>
              </w:rPr>
              <w:t>Post lowest rate accepted.</w:t>
            </w:r>
          </w:p>
          <w:p>
            <w:pPr>
              <w:pStyle w:val="Normal"/>
              <w:rPr>
                <w:rFonts w:ascii="Arial" w:hAnsi="Arial" w:eastAsia="Arial" w:cs="Arial"/>
              </w:rPr>
            </w:pPr>
            <w:r>
              <w:rPr>
                <w:rFonts w:eastAsia="Arial" w:cs="Arial" w:ascii="Arial" w:hAnsi="Arial"/>
              </w:rPr>
            </w:r>
          </w:p>
        </w:tc>
      </w:tr>
    </w:tbl>
    <w:p>
      <w:pPr>
        <w:pStyle w:val="Normal"/>
        <w:rPr>
          <w:rFonts w:ascii="Arial" w:hAnsi="Arial" w:eastAsia="Arial" w:cs="Arial"/>
          <w:sz w:val="22"/>
          <w:szCs w:val="22"/>
        </w:rPr>
      </w:pPr>
      <w:r>
        <w:rPr>
          <w:rFonts w:eastAsia="Arial" w:cs="Arial" w:ascii="Arial" w:hAnsi="Arial"/>
          <w:sz w:val="22"/>
          <w:szCs w:val="22"/>
        </w:rPr>
      </w:r>
    </w:p>
    <w:sectPr>
      <w:footerReference w:type="default" r:id="rId2"/>
      <w:type w:val="nextPage"/>
      <w:pgSz w:w="12240" w:h="15840"/>
      <w:pgMar w:left="720" w:right="720" w:gutter="0" w:header="0" w:top="720"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IOSinternal.doc</w:t>
    </w:r>
    <w:r>
      <w:rP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2000-08-03T12:00:00Z</dcterms:created>
  <dc:creator>ET&amp;S LAN Support</dc:creator>
  <dc:description/>
  <dc:language>en-CA</dc:language>
  <cp:lastModifiedBy>Enron</cp:lastModifiedBy>
  <cp:lastPrinted>2000-07-14T15:30:00Z</cp:lastPrinted>
  <dcterms:modified xsi:type="dcterms:W3CDTF">2000-08-03T12:00:00Z</dcterms:modified>
  <cp:revision>2</cp:revision>
  <dc:subject/>
  <dc:title>Notice of Interactive Open Season</dc:title>
</cp:coreProperties>
</file>