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Interactive Open Season</w:t>
      </w:r>
    </w:p>
    <w:p>
      <w:pPr>
        <w:pStyle w:val="Normal"/>
        <w:jc w:val="center"/>
        <w:rPr>
          <w:b/>
          <w:bCs/>
        </w:rPr>
      </w:pPr>
      <w:r>
        <w:rPr>
          <w:b/>
          <w:bCs/>
        </w:rPr>
      </w:r>
    </w:p>
    <w:p>
      <w:pPr>
        <w:pStyle w:val="Normal"/>
        <w:rPr/>
      </w:pPr>
      <w:r>
        <w:rPr/>
        <w:t>Transwestern Pipeline Company ("TW") hereby provides notice that on Friday, July 21, 2000, it will hold an Interactive Open Season for two separate packages of firm transportation capacity:  (1) 20,000 Dth/day for 3 months (Aug. - Oct.) and (2) 49,000 Dth/d for one year (Nov. '00 - Oct. '01). The Interactive Open Season will proceed as follows:</w:t>
      </w:r>
    </w:p>
    <w:p>
      <w:pPr>
        <w:pStyle w:val="Normal"/>
        <w:rPr/>
      </w:pPr>
      <w:r>
        <w:rPr/>
      </w:r>
    </w:p>
    <w:p>
      <w:pPr>
        <w:pStyle w:val="Normal"/>
        <w:rPr>
          <w:b/>
          <w:bCs/>
        </w:rPr>
      </w:pPr>
      <w:r>
        <w:rPr>
          <w:b/>
          <w:bCs/>
        </w:rPr>
        <w:t>A.</w:t>
        <w:tab/>
      </w:r>
      <w:r>
        <w:rPr>
          <w:b/>
          <w:bCs/>
          <w:u w:val="single"/>
        </w:rPr>
        <w:t>Interactive Open Season Procedures</w:t>
      </w:r>
    </w:p>
    <w:p>
      <w:pPr>
        <w:pStyle w:val="Normal"/>
        <w:rPr>
          <w:b/>
          <w:bCs/>
        </w:rPr>
      </w:pPr>
      <w:r>
        <w:rPr>
          <w:b/>
          <w:bCs/>
        </w:rPr>
      </w:r>
    </w:p>
    <w:p>
      <w:pPr>
        <w:pStyle w:val="Normal"/>
        <w:ind w:hanging="720" w:start="720" w:end="0"/>
        <w:jc w:val="both"/>
        <w:rPr/>
      </w:pPr>
      <w:r>
        <w:rPr/>
        <w:t>1.</w:t>
        <w:tab/>
      </w:r>
      <w:r>
        <w:rPr>
          <w:lang w:val="en-CA"/>
        </w:rPr>
        <w:t>Prior to 5:00 p.m. on Wednesday, July 19,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Friday, July 21,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Friday, July 21,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bCs/>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tabs>
          <w:tab w:val="clear" w:pos="720"/>
          <w:tab w:val="left" w:pos="0" w:leader="none"/>
        </w:tabs>
        <w:ind w:hanging="720" w:start="1440" w:end="0"/>
        <w:jc w:val="both"/>
        <w:rPr/>
      </w:pPr>
      <w:r>
        <w:rPr/>
        <w:t xml:space="preserve">If rate being bid is below the maximum Reservation Charge, the highest Maximum Rate value is defined as a Two-Part bid consisting of the maximum Reservation Charge plus the tariff Commodity Rate with a 100% Minimum Throughput Commitment.  If the rate being bid </w:t>
      </w:r>
      <w:r>
        <w:rPr>
          <w:i/>
          <w:iCs/>
        </w:rPr>
        <w:t>is</w:t>
      </w:r>
      <w:r>
        <w:rPr/>
        <w:t xml:space="preserve"> the maximum Reservation Charge, the highest Maximum Rate value is defined as a One-Part bid consisting of the maximum Reservation Charge.  In no event shall transportation rates be greater than the maximum or lower than the minimum rates provided in Transwestern’s FERC Gas Tariff.</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Tie bids will be awarded based on first in time.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bCs/>
        </w:rPr>
        <w:t>B.</w:t>
        <w:tab/>
      </w:r>
      <w:r>
        <w:rPr>
          <w:b/>
          <w:bCs/>
          <w:u w:val="single"/>
        </w:rPr>
        <w:t>Bid Package</w:t>
      </w:r>
      <w:r>
        <w:rPr/>
        <w:t xml:space="preserve"> </w:t>
      </w:r>
      <w:r>
        <w:rPr>
          <w:b/>
          <w:bCs/>
        </w:rPr>
        <w:t># 15</w:t>
      </w:r>
    </w:p>
    <w:p>
      <w:pPr>
        <w:pStyle w:val="Normal"/>
        <w:rPr>
          <w:b/>
          <w:bCs/>
        </w:rPr>
      </w:pPr>
      <w:r>
        <w:rPr>
          <w:b/>
          <w:bCs/>
        </w:rPr>
      </w:r>
    </w:p>
    <w:p>
      <w:pPr>
        <w:pStyle w:val="Normal"/>
        <w:ind w:start="720" w:end="0"/>
        <w:rPr/>
      </w:pPr>
      <w:r>
        <w:rPr/>
        <w:t>Volume:</w:t>
        <w:tab/>
        <w:tab/>
        <w:tab/>
        <w:t xml:space="preserve">20,000 /Dth/day </w:t>
      </w:r>
    </w:p>
    <w:p>
      <w:pPr>
        <w:pStyle w:val="Normal"/>
        <w:ind w:start="720" w:end="0"/>
        <w:rPr/>
      </w:pPr>
      <w:r>
        <w:rPr/>
        <w:t>Term:</w:t>
        <w:tab/>
        <w:tab/>
        <w:tab/>
        <w:t>3 Months (August 1, 2000 through October 31, 2000)</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12,000 Dth/day.)</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p>
      <w:pPr>
        <w:pStyle w:val="Normal"/>
        <w:rPr/>
      </w:pPr>
      <w:r>
        <w:rPr/>
      </w:r>
    </w:p>
    <w:p>
      <w:pPr>
        <w:pStyle w:val="Normal"/>
        <w:rPr/>
      </w:pPr>
      <w:r>
        <w:rPr/>
        <w:tab/>
      </w:r>
      <w:r>
        <w:rPr>
          <w:b/>
          <w:bCs/>
          <w:u w:val="single"/>
        </w:rPr>
        <w:t>Bid Package</w:t>
      </w:r>
      <w:r>
        <w:rPr/>
        <w:t xml:space="preserve"> </w:t>
      </w:r>
      <w:r>
        <w:rPr>
          <w:b/>
          <w:bCs/>
        </w:rPr>
        <w:t># 16</w:t>
      </w:r>
    </w:p>
    <w:p>
      <w:pPr>
        <w:pStyle w:val="Normal"/>
        <w:rPr>
          <w:b/>
          <w:bCs/>
        </w:rPr>
      </w:pPr>
      <w:r>
        <w:rPr>
          <w:b/>
          <w:bCs/>
        </w:rPr>
      </w:r>
    </w:p>
    <w:p>
      <w:pPr>
        <w:pStyle w:val="Normal"/>
        <w:ind w:start="720" w:end="0"/>
        <w:rPr/>
      </w:pPr>
      <w:r>
        <w:rPr/>
        <w:t>Volume:</w:t>
        <w:tab/>
        <w:tab/>
        <w:tab/>
        <w:t xml:space="preserve">49,000 /Dth/day </w:t>
      </w:r>
    </w:p>
    <w:p>
      <w:pPr>
        <w:pStyle w:val="Normal"/>
        <w:ind w:start="720" w:end="0"/>
        <w:rPr/>
      </w:pPr>
      <w:r>
        <w:rPr/>
        <w:t>Term:</w:t>
        <w:tab/>
        <w:tab/>
        <w:tab/>
        <w:t>12 Months (November 1, 2000 through October 31, 2001)</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35,000 Dth/day.)</w:t>
      </w:r>
    </w:p>
    <w:p>
      <w:pPr>
        <w:pStyle w:val="Normal"/>
        <w:ind w:start="720" w:end="0"/>
        <w:rPr/>
      </w:pPr>
      <w:r>
        <w:rPr/>
        <w:t>Fuel:</w:t>
        <w:tab/>
        <w:tab/>
        <w:tab/>
        <w:t>Maximum tariff fuel shall apply</w:t>
      </w:r>
    </w:p>
    <w:p>
      <w:pPr>
        <w:pStyle w:val="Normal"/>
        <w:ind w:start="720" w:end="0"/>
        <w:rPr/>
      </w:pPr>
      <w:r>
        <w:rPr/>
        <w:t>Award Criteria:</w:t>
        <w:tab/>
        <w:tab/>
      </w:r>
      <w:r>
        <w:rPr>
          <w:u w:val="single"/>
        </w:rPr>
        <w:t>Highest Rate</w:t>
      </w:r>
    </w:p>
    <w:p>
      <w:pPr>
        <w:pStyle w:val="Normal"/>
        <w:rPr/>
      </w:pPr>
      <w:r>
        <w:rPr/>
        <w:tab/>
      </w:r>
    </w:p>
    <w:p>
      <w:pPr>
        <w:pStyle w:val="Normal"/>
        <w:rPr/>
      </w:pPr>
      <w:r>
        <w:rPr/>
      </w:r>
    </w:p>
    <w:sectPr>
      <w:footerReference w:type="default" r:id="rId2"/>
      <w:type w:val="nextPage"/>
      <w:pgSz w:w="12240" w:h="15840"/>
      <w:pgMar w:left="720" w:right="720" w:gutter="0" w:header="0" w:top="720"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2000-07-17T12:49:00Z</dcterms:created>
  <dc:creator>Mike Zoch</dc:creator>
  <dc:description/>
  <dc:language>en-CA</dc:language>
  <cp:lastModifiedBy>Enron</cp:lastModifiedBy>
  <cp:lastPrinted>2000-07-14T15:31:00Z</cp:lastPrinted>
  <dcterms:modified xsi:type="dcterms:W3CDTF">2000-07-17T12:49:00Z</dcterms:modified>
  <cp:revision>3</cp:revision>
  <dc:subject/>
  <dc:title>Notice of Interactive Open Season</dc:title>
</cp:coreProperties>
</file>