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ELECTRIC POWER SUPPLY ASSOCIATION</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INVESTMENT POLICY</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b/>
          <w:bCs/>
          <w:sz w:val="22"/>
          <w:szCs w:val="22"/>
        </w:rPr>
      </w:pPr>
      <w:r>
        <w:rPr>
          <w:rFonts w:eastAsia="Arial" w:cs="Arial" w:ascii="Arial" w:hAnsi="Arial"/>
          <w:b/>
          <w:bCs/>
          <w:sz w:val="22"/>
          <w:szCs w:val="22"/>
        </w:rPr>
        <w:t>OBJECTIVE:</w:t>
      </w:r>
    </w:p>
    <w:p>
      <w:pPr>
        <w:pStyle w:val="Normal"/>
        <w:rPr>
          <w:rFonts w:ascii="Arial" w:hAnsi="Arial" w:eastAsia="Arial" w:cs="Arial"/>
          <w:b/>
          <w:bCs/>
          <w:sz w:val="22"/>
          <w:szCs w:val="22"/>
        </w:rPr>
      </w:pPr>
      <w:r>
        <w:rPr>
          <w:rFonts w:eastAsia="Arial" w:cs="Arial" w:ascii="Arial" w:hAnsi="Arial"/>
          <w:b/>
          <w:bCs/>
          <w:sz w:val="22"/>
          <w:szCs w:val="22"/>
        </w:rPr>
      </w:r>
    </w:p>
    <w:p>
      <w:pPr>
        <w:pStyle w:val="Normal"/>
        <w:rPr>
          <w:rFonts w:ascii="Arial" w:hAnsi="Arial" w:eastAsia="Arial" w:cs="Arial"/>
          <w:sz w:val="22"/>
          <w:szCs w:val="22"/>
        </w:rPr>
      </w:pPr>
      <w:r>
        <w:rPr>
          <w:rFonts w:eastAsia="Arial" w:cs="Arial" w:ascii="Arial" w:hAnsi="Arial"/>
          <w:sz w:val="22"/>
          <w:szCs w:val="22"/>
        </w:rPr>
        <w:t xml:space="preserve">The Electric Power Supply Association’s assets will be managed with the intent of maximizing income return and building long-term reserves, while preserving capital and allowing for liquidity.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sz w:val="22"/>
          <w:szCs w:val="22"/>
        </w:rPr>
      </w:pPr>
      <w:r>
        <w:rPr>
          <w:rFonts w:eastAsia="Arial" w:cs="Arial" w:ascii="Arial" w:hAnsi="Arial"/>
          <w:b/>
          <w:bCs/>
          <w:sz w:val="22"/>
          <w:szCs w:val="22"/>
        </w:rPr>
        <w:t>MAINTENANCE OF FINANCIAL RESERVE:</w:t>
      </w:r>
    </w:p>
    <w:p>
      <w:pPr>
        <w:pStyle w:val="Normal"/>
        <w:rPr>
          <w:rFonts w:ascii="Arial" w:hAnsi="Arial" w:eastAsia="Arial" w:cs="Arial"/>
          <w:b/>
          <w:bCs/>
          <w:sz w:val="22"/>
          <w:szCs w:val="22"/>
        </w:rPr>
      </w:pPr>
      <w:r>
        <w:rPr>
          <w:rFonts w:eastAsia="Arial" w:cs="Arial" w:ascii="Arial" w:hAnsi="Arial"/>
          <w:b/>
          <w:bCs/>
          <w:sz w:val="22"/>
          <w:szCs w:val="22"/>
        </w:rPr>
      </w:r>
    </w:p>
    <w:p>
      <w:pPr>
        <w:pStyle w:val="Normal"/>
        <w:rPr>
          <w:rFonts w:ascii="Arial" w:hAnsi="Arial" w:eastAsia="Arial" w:cs="Arial"/>
          <w:sz w:val="22"/>
          <w:szCs w:val="22"/>
        </w:rPr>
      </w:pPr>
      <w:r>
        <w:rPr>
          <w:rFonts w:eastAsia="Arial" w:cs="Arial" w:ascii="Arial" w:hAnsi="Arial"/>
          <w:sz w:val="22"/>
          <w:szCs w:val="22"/>
        </w:rPr>
        <w:t>With preservation of capital the guideline, investment of the Electric Power Supply Association’s reserve funds will be limited to:</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b/>
        <w:t>Government Securities</w:t>
      </w:r>
    </w:p>
    <w:p>
      <w:pPr>
        <w:pStyle w:val="Normal"/>
        <w:rPr>
          <w:rFonts w:ascii="Arial" w:hAnsi="Arial" w:eastAsia="Arial" w:cs="Arial"/>
          <w:sz w:val="22"/>
          <w:szCs w:val="22"/>
        </w:rPr>
      </w:pPr>
      <w:r>
        <w:rPr>
          <w:rFonts w:eastAsia="Arial" w:cs="Arial" w:ascii="Arial" w:hAnsi="Arial"/>
          <w:sz w:val="22"/>
          <w:szCs w:val="22"/>
        </w:rPr>
        <w:tab/>
        <w:t>U.S. Treasury and Money Market Accounts</w:t>
      </w:r>
    </w:p>
    <w:p>
      <w:pPr>
        <w:pStyle w:val="Normal"/>
        <w:rPr>
          <w:rFonts w:ascii="Arial" w:hAnsi="Arial" w:eastAsia="Arial" w:cs="Arial"/>
          <w:sz w:val="22"/>
          <w:szCs w:val="22"/>
        </w:rPr>
      </w:pPr>
      <w:r>
        <w:rPr>
          <w:rFonts w:eastAsia="Arial" w:cs="Arial" w:ascii="Arial" w:hAnsi="Arial"/>
          <w:sz w:val="22"/>
          <w:szCs w:val="22"/>
        </w:rPr>
        <w:tab/>
        <w:t>Certificates of Deposits</w:t>
      </w:r>
    </w:p>
    <w:p>
      <w:pPr>
        <w:pStyle w:val="Normal"/>
        <w:rPr>
          <w:rFonts w:ascii="Arial" w:hAnsi="Arial" w:eastAsia="Arial" w:cs="Arial"/>
          <w:sz w:val="22"/>
          <w:szCs w:val="22"/>
        </w:rPr>
      </w:pPr>
      <w:r>
        <w:rPr>
          <w:rFonts w:eastAsia="Arial" w:cs="Arial" w:ascii="Arial" w:hAnsi="Arial"/>
          <w:sz w:val="22"/>
          <w:szCs w:val="22"/>
        </w:rPr>
        <w:tab/>
        <w:t>Corporate Bond Mutual Funds and Equity Mutual Funds with High Quality Ratings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sz w:val="22"/>
          <w:szCs w:val="22"/>
        </w:rPr>
      </w:pPr>
      <w:r>
        <w:rPr>
          <w:rFonts w:eastAsia="Arial" w:cs="Arial" w:ascii="Arial" w:hAnsi="Arial"/>
          <w:b/>
          <w:bCs/>
          <w:sz w:val="22"/>
          <w:szCs w:val="22"/>
        </w:rPr>
        <w:t>LEVELS OF INVESTMENT:</w:t>
      </w:r>
    </w:p>
    <w:p>
      <w:pPr>
        <w:pStyle w:val="Normal"/>
        <w:rPr>
          <w:rFonts w:ascii="Arial" w:hAnsi="Arial" w:eastAsia="Arial" w:cs="Arial"/>
          <w:b/>
          <w:bCs/>
          <w:sz w:val="22"/>
          <w:szCs w:val="22"/>
        </w:rPr>
      </w:pPr>
      <w:r>
        <w:rPr>
          <w:rFonts w:eastAsia="Arial" w:cs="Arial" w:ascii="Arial" w:hAnsi="Arial"/>
          <w:b/>
          <w:bCs/>
          <w:sz w:val="22"/>
          <w:szCs w:val="22"/>
        </w:rPr>
      </w:r>
    </w:p>
    <w:p>
      <w:pPr>
        <w:pStyle w:val="Normal"/>
        <w:numPr>
          <w:ilvl w:val="0"/>
          <w:numId w:val="1"/>
        </w:numPr>
        <w:tabs>
          <w:tab w:val="clear" w:pos="720"/>
          <w:tab w:val="left" w:pos="0" w:leader="none"/>
        </w:tabs>
        <w:ind w:hanging="360" w:start="1440" w:end="0"/>
        <w:rPr/>
      </w:pPr>
      <w:r>
        <w:rPr>
          <w:rFonts w:eastAsia="Arial" w:cs="Arial" w:ascii="Arial" w:hAnsi="Arial"/>
          <w:b/>
          <w:bCs/>
          <w:sz w:val="22"/>
          <w:szCs w:val="22"/>
        </w:rPr>
        <w:t xml:space="preserve">Current Operating Funds - </w:t>
      </w:r>
      <w:r>
        <w:rPr>
          <w:rFonts w:eastAsia="Arial" w:cs="Arial" w:ascii="Arial" w:hAnsi="Arial"/>
          <w:sz w:val="22"/>
          <w:szCs w:val="22"/>
        </w:rPr>
        <w:t xml:space="preserve">The objectives of these funds are preservation of </w:t>
      </w:r>
    </w:p>
    <w:p>
      <w:pPr>
        <w:pStyle w:val="Normal"/>
        <w:ind w:start="720" w:end="0"/>
        <w:rPr>
          <w:rFonts w:ascii="Arial" w:hAnsi="Arial" w:eastAsia="Arial" w:cs="Arial"/>
          <w:sz w:val="22"/>
          <w:szCs w:val="22"/>
        </w:rPr>
      </w:pPr>
      <w:r>
        <w:rPr>
          <w:rFonts w:eastAsia="Arial" w:cs="Arial" w:ascii="Arial" w:hAnsi="Arial"/>
          <w:sz w:val="22"/>
          <w:szCs w:val="22"/>
        </w:rPr>
        <w:t>principal, immediate liquidity and money market returns.</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100 %</w:t>
        <w:tab/>
        <w:tab/>
        <w:t>Cash and Equivalents;</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 xml:space="preserve">Cash and Equivalents should be defined as the Association’s checking accounts and money market funds.  EPSA’s checking account should be used for current operating funds.  </w:t>
      </w:r>
    </w:p>
    <w:p>
      <w:pPr>
        <w:pStyle w:val="Normal"/>
        <w:ind w:start="720" w:end="0"/>
        <w:rPr>
          <w:rFonts w:ascii="Arial" w:hAnsi="Arial" w:eastAsia="Arial" w:cs="Arial"/>
          <w:sz w:val="22"/>
          <w:szCs w:val="22"/>
        </w:rPr>
      </w:pPr>
      <w:r>
        <w:rPr>
          <w:rFonts w:eastAsia="Arial" w:cs="Arial" w:ascii="Arial" w:hAnsi="Arial"/>
          <w:sz w:val="22"/>
          <w:szCs w:val="22"/>
        </w:rPr>
      </w:r>
    </w:p>
    <w:p>
      <w:pPr>
        <w:pStyle w:val="Normal"/>
        <w:numPr>
          <w:ilvl w:val="0"/>
          <w:numId w:val="2"/>
        </w:numPr>
        <w:tabs>
          <w:tab w:val="clear" w:pos="720"/>
          <w:tab w:val="left" w:pos="0" w:leader="none"/>
        </w:tabs>
        <w:ind w:hanging="720" w:start="1440" w:end="0"/>
        <w:rPr>
          <w:rFonts w:ascii="Arial" w:hAnsi="Arial" w:eastAsia="Arial" w:cs="Arial"/>
          <w:b/>
          <w:bCs/>
          <w:sz w:val="22"/>
          <w:szCs w:val="22"/>
        </w:rPr>
      </w:pPr>
      <w:r>
        <w:rPr>
          <w:rFonts w:eastAsia="Arial" w:cs="Arial" w:ascii="Arial" w:hAnsi="Arial"/>
          <w:b/>
          <w:bCs/>
          <w:sz w:val="22"/>
          <w:szCs w:val="22"/>
        </w:rPr>
        <w:t xml:space="preserve">Short-Term Investment Funds - </w:t>
      </w:r>
      <w:r>
        <w:rPr>
          <w:rFonts w:eastAsia="Arial" w:cs="Arial" w:ascii="Arial" w:hAnsi="Arial"/>
          <w:sz w:val="22"/>
          <w:szCs w:val="22"/>
        </w:rPr>
        <w:t>The objectives of these funds are preservation of</w:t>
      </w:r>
    </w:p>
    <w:p>
      <w:pPr>
        <w:pStyle w:val="Normal"/>
        <w:ind w:start="720" w:end="0"/>
        <w:rPr>
          <w:rFonts w:ascii="Arial" w:hAnsi="Arial" w:eastAsia="Arial" w:cs="Arial"/>
          <w:b/>
          <w:bCs/>
          <w:sz w:val="22"/>
          <w:szCs w:val="22"/>
        </w:rPr>
      </w:pPr>
      <w:r>
        <w:rPr>
          <w:rFonts w:eastAsia="Arial" w:cs="Arial" w:ascii="Arial" w:hAnsi="Arial"/>
          <w:sz w:val="22"/>
          <w:szCs w:val="22"/>
        </w:rPr>
        <w:t>principal, liquidity, and market rate returns.</w:t>
      </w:r>
    </w:p>
    <w:p>
      <w:pPr>
        <w:pStyle w:val="Normal"/>
        <w:ind w:start="720" w:end="0"/>
        <w:rPr>
          <w:rFonts w:ascii="Arial" w:hAnsi="Arial" w:eastAsia="Arial" w:cs="Arial"/>
          <w:b/>
          <w:bCs/>
          <w:sz w:val="22"/>
          <w:szCs w:val="22"/>
        </w:rPr>
      </w:pPr>
      <w:r>
        <w:rPr>
          <w:rFonts w:eastAsia="Arial" w:cs="Arial" w:ascii="Arial" w:hAnsi="Arial"/>
          <w:b/>
          <w:bCs/>
          <w:sz w:val="22"/>
          <w:szCs w:val="22"/>
        </w:rPr>
      </w:r>
    </w:p>
    <w:p>
      <w:pPr>
        <w:pStyle w:val="Normal"/>
        <w:ind w:start="720" w:end="0"/>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0 to 20% </w:t>
        <w:tab/>
        <w:tab/>
        <w:t>Cash and Equivalents;</w:t>
      </w:r>
    </w:p>
    <w:p>
      <w:pPr>
        <w:pStyle w:val="Normal"/>
        <w:ind w:start="720" w:end="0"/>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80 to 100%</w:t>
        <w:tab/>
        <w:t xml:space="preserve">FDIC Insured Certificates of Deposits; and Direct obligations of </w:t>
      </w:r>
    </w:p>
    <w:p>
      <w:pPr>
        <w:pStyle w:val="Normal"/>
        <w:ind w:start="720" w:end="0"/>
        <w:rPr>
          <w:rFonts w:ascii="Arial" w:hAnsi="Arial" w:eastAsia="Arial" w:cs="Arial"/>
          <w:sz w:val="22"/>
          <w:szCs w:val="22"/>
        </w:rPr>
      </w:pPr>
      <w:r>
        <w:rPr>
          <w:rFonts w:eastAsia="Arial" w:cs="Arial" w:ascii="Arial" w:hAnsi="Arial"/>
          <w:sz w:val="22"/>
          <w:szCs w:val="22"/>
        </w:rPr>
        <w:tab/>
        <w:tab/>
        <w:tab/>
        <w:t>the U.S. Government, its agencies and instrumentality’s.</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Federally-insured Certificates of Deposits are not to exceed $100,000 at FDIC insured banking institutions for periods of up to 18 months.  Maturity dates are staggered to meet cash flow requirements.  Institutions will have a Generally Accepted Accounting Principle (GAAP) capital ratio of 5% or higher at the time the investment is made.  Furthermore, the institutions will be profitable year to date and have more than $100 Million in assets.</w:t>
      </w:r>
      <w:r>
        <w:br w:type="page"/>
      </w:r>
    </w:p>
    <w:p>
      <w:pPr>
        <w:pStyle w:val="Normal"/>
        <w:ind w:start="720" w:end="0"/>
        <w:rPr>
          <w:rFonts w:ascii="Arial" w:hAnsi="Arial" w:eastAsia="Arial" w:cs="Arial"/>
          <w:sz w:val="22"/>
          <w:szCs w:val="22"/>
        </w:rPr>
      </w:pPr>
      <w:r>
        <w:rPr>
          <w:rFonts w:eastAsia="Arial" w:cs="Arial" w:ascii="Arial" w:hAnsi="Arial"/>
          <w:sz w:val="22"/>
          <w:szCs w:val="22"/>
        </w:rPr>
      </w:r>
    </w:p>
    <w:p>
      <w:pPr>
        <w:pStyle w:val="Normal"/>
        <w:numPr>
          <w:ilvl w:val="0"/>
          <w:numId w:val="3"/>
        </w:numPr>
        <w:tabs>
          <w:tab w:val="clear" w:pos="720"/>
          <w:tab w:val="left" w:pos="0" w:leader="none"/>
        </w:tabs>
        <w:ind w:hanging="360" w:start="1440" w:end="0"/>
        <w:rPr/>
      </w:pPr>
      <w:r>
        <w:rPr>
          <w:rFonts w:eastAsia="Arial" w:cs="Arial" w:ascii="Arial" w:hAnsi="Arial"/>
          <w:b/>
          <w:bCs/>
          <w:sz w:val="22"/>
          <w:szCs w:val="22"/>
        </w:rPr>
        <w:t xml:space="preserve">Long-Term Reserves - </w:t>
      </w:r>
      <w:r>
        <w:rPr>
          <w:rFonts w:eastAsia="Arial" w:cs="Arial" w:ascii="Arial" w:hAnsi="Arial"/>
          <w:sz w:val="22"/>
          <w:szCs w:val="22"/>
        </w:rPr>
        <w:t>The objectives of these reserves are to provide a</w:t>
      </w:r>
    </w:p>
    <w:p>
      <w:pPr>
        <w:pStyle w:val="Normal"/>
        <w:ind w:start="720" w:end="0"/>
        <w:rPr>
          <w:rFonts w:ascii="Arial" w:hAnsi="Arial" w:eastAsia="Arial" w:cs="Arial"/>
          <w:sz w:val="22"/>
          <w:szCs w:val="22"/>
        </w:rPr>
      </w:pPr>
      <w:r>
        <w:rPr>
          <w:rFonts w:eastAsia="Arial" w:cs="Arial" w:ascii="Arial" w:hAnsi="Arial"/>
          <w:sz w:val="22"/>
          <w:szCs w:val="22"/>
        </w:rPr>
        <w:t>reasonable level of income, the opportunity for growth and protection of principle against inflationary risks.</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40% to 60%</w:t>
        <w:tab/>
        <w:t>Investments approved for the Current Operating Funds &amp; Short-</w:t>
      </w:r>
    </w:p>
    <w:p>
      <w:pPr>
        <w:pStyle w:val="Normal"/>
        <w:ind w:start="720" w:end="0"/>
        <w:rPr>
          <w:rFonts w:ascii="Arial" w:hAnsi="Arial" w:eastAsia="Arial" w:cs="Arial"/>
          <w:sz w:val="22"/>
          <w:szCs w:val="22"/>
        </w:rPr>
      </w:pPr>
      <w:r>
        <w:rPr>
          <w:rFonts w:eastAsia="Arial" w:cs="Arial" w:ascii="Arial" w:hAnsi="Arial"/>
          <w:sz w:val="22"/>
          <w:szCs w:val="22"/>
        </w:rPr>
        <w:tab/>
        <w:tab/>
        <w:tab/>
        <w:t>Term Investment Funds</w:t>
      </w:r>
    </w:p>
    <w:p>
      <w:pPr>
        <w:pStyle w:val="Normal"/>
        <w:ind w:start="720" w:end="0"/>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40% to 60%</w:t>
        <w:tab/>
        <w:t>Corporate Bond Mutual Fund &amp; Equity Mutual Fund</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40% to 60% of the Long-Term Reserves shall be invested in fixed income investments laddered for desired liquidity.</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The Long-Term Reserves shall consist of those funds not needed for the short or intermediate operation of the Association which can, therefore, withstand minimal price volatility.  The equity and corporate bond mutual funds shall consist of equities (common stocks and securities convertible into common stocks) and fixed income securities (bonds and notes).</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rFonts w:ascii="Arial" w:hAnsi="Arial" w:eastAsia="Arial" w:cs="Arial"/>
          <w:sz w:val="22"/>
          <w:szCs w:val="22"/>
        </w:rPr>
      </w:pPr>
      <w:r>
        <w:rPr>
          <w:rFonts w:eastAsia="Arial" w:cs="Arial" w:ascii="Arial" w:hAnsi="Arial"/>
          <w:sz w:val="22"/>
          <w:szCs w:val="22"/>
        </w:rPr>
        <w:t>The primary focus of the mutual funds should be equities as at least 40% of the reserves will be in fixed income investments.  All mutual funds will have shown consistent returns over the last ten years and have less volatility than the S&amp;P 500.  The portfolio of mutual funds will be designed with performance in down markets being a primary concern and shall be diversified across various markets.</w:t>
      </w:r>
    </w:p>
    <w:p>
      <w:pPr>
        <w:pStyle w:val="Normal"/>
        <w:ind w:start="720" w:end="0"/>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sz w:val="22"/>
          <w:szCs w:val="22"/>
        </w:rPr>
      </w:pPr>
      <w:r>
        <w:rPr>
          <w:rFonts w:eastAsia="Arial" w:cs="Arial" w:ascii="Arial" w:hAnsi="Arial"/>
          <w:b/>
          <w:bCs/>
          <w:sz w:val="22"/>
          <w:szCs w:val="22"/>
        </w:rPr>
        <w:t>GENERAL GUIDLEINES AND RESTRICTIONS:</w:t>
      </w:r>
    </w:p>
    <w:p>
      <w:pPr>
        <w:pStyle w:val="Normal"/>
        <w:ind w:start="720" w:end="0"/>
        <w:rPr>
          <w:rFonts w:ascii="Arial" w:hAnsi="Arial" w:eastAsia="Arial" w:cs="Arial"/>
          <w:b/>
          <w:bCs/>
          <w:sz w:val="22"/>
          <w:szCs w:val="22"/>
        </w:rPr>
      </w:pPr>
      <w:r>
        <w:rPr>
          <w:rFonts w:eastAsia="Arial" w:cs="Arial" w:ascii="Arial" w:hAnsi="Arial"/>
          <w:b/>
          <w:bCs/>
          <w:sz w:val="22"/>
          <w:szCs w:val="22"/>
        </w:rPr>
      </w:r>
    </w:p>
    <w:p>
      <w:pPr>
        <w:pStyle w:val="Normal"/>
        <w:rPr>
          <w:rFonts w:ascii="Arial" w:hAnsi="Arial" w:eastAsia="Arial" w:cs="Arial"/>
          <w:sz w:val="22"/>
          <w:szCs w:val="22"/>
        </w:rPr>
      </w:pPr>
      <w:r>
        <w:rPr>
          <w:rFonts w:eastAsia="Arial" w:cs="Arial" w:ascii="Arial" w:hAnsi="Arial"/>
          <w:sz w:val="22"/>
          <w:szCs w:val="22"/>
        </w:rPr>
        <w:t>Given that these funds are of a fiduciary nature and that the damage from a large permanent loss would outweigh the potential benefit of a large gain, conservative investment policies shall be practiced.  These policies include the concept of diversification.  Therefore, at the time of purchase, the Association may not invest more than 10% of its bond or equity assets in any one issuer (other than repurchase agreements or obligations of the U.S. Government, its agencies or instrumentality’s, and federally insured certificates of deposit).</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Additionally, the Association may not:</w:t>
      </w:r>
    </w:p>
    <w:p>
      <w:pPr>
        <w:pStyle w:val="Normal"/>
        <w:rPr>
          <w:rFonts w:ascii="Arial" w:hAnsi="Arial" w:eastAsia="Arial" w:cs="Arial"/>
          <w:sz w:val="22"/>
          <w:szCs w:val="22"/>
        </w:rPr>
      </w:pPr>
      <w:r>
        <w:rPr>
          <w:rFonts w:eastAsia="Arial" w:cs="Arial" w:ascii="Arial" w:hAnsi="Arial"/>
          <w:sz w:val="22"/>
          <w:szCs w:val="22"/>
        </w:rPr>
      </w:r>
    </w:p>
    <w:p>
      <w:pPr>
        <w:pStyle w:val="Normal"/>
        <w:numPr>
          <w:ilvl w:val="0"/>
          <w:numId w:val="4"/>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Purchase securities on margin</w:t>
      </w:r>
    </w:p>
    <w:p>
      <w:pPr>
        <w:pStyle w:val="Normal"/>
        <w:numPr>
          <w:ilvl w:val="0"/>
          <w:numId w:val="4"/>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Make short sales of securities</w:t>
      </w:r>
    </w:p>
    <w:p>
      <w:pPr>
        <w:pStyle w:val="Normal"/>
        <w:numPr>
          <w:ilvl w:val="0"/>
          <w:numId w:val="4"/>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Invest in real estate, commodities, or commodities contracts</w:t>
      </w:r>
    </w:p>
    <w:p>
      <w:pPr>
        <w:pStyle w:val="Normal"/>
        <w:numPr>
          <w:ilvl w:val="0"/>
          <w:numId w:val="4"/>
        </w:numPr>
        <w:tabs>
          <w:tab w:val="clear" w:pos="720"/>
          <w:tab w:val="left" w:pos="0" w:leader="none"/>
        </w:tabs>
        <w:ind w:hanging="360" w:start="1080" w:end="0"/>
        <w:rPr>
          <w:rFonts w:ascii="Arial" w:hAnsi="Arial" w:eastAsia="Arial" w:cs="Arial"/>
          <w:sz w:val="22"/>
          <w:szCs w:val="22"/>
        </w:rPr>
      </w:pPr>
      <w:r>
        <w:rPr>
          <w:rFonts w:eastAsia="Arial" w:cs="Arial" w:ascii="Arial" w:hAnsi="Arial"/>
          <w:sz w:val="22"/>
          <w:szCs w:val="22"/>
        </w:rPr>
        <w:t>Directly invest in options, futures, or other derivative securities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b/>
        <w:tab/>
        <w:tab/>
        <w:tab/>
        <w:tab/>
        <w:tab/>
        <w:tab/>
        <w:tab/>
        <w:tab/>
        <w:tab/>
        <w:tab/>
        <w:t xml:space="preserve">           </w:t>
      </w:r>
    </w:p>
    <w:p>
      <w:pPr>
        <w:pStyle w:val="Normal"/>
        <w:rPr>
          <w:rFonts w:ascii="Arial" w:hAnsi="Arial" w:eastAsia="Arial" w:cs="Arial"/>
          <w:sz w:val="22"/>
          <w:szCs w:val="22"/>
        </w:rPr>
      </w:pPr>
      <w:r>
        <w:rPr>
          <w:rFonts w:eastAsia="Arial" w:cs="Arial" w:ascii="Arial" w:hAnsi="Arial"/>
          <w:sz w:val="22"/>
          <w:szCs w:val="22"/>
        </w:rPr>
        <w:tab/>
      </w:r>
    </w:p>
    <w:sectPr>
      <w:headerReference w:type="default" r:id="rId2"/>
      <w:headerReference w:type="first" r:id="rId3"/>
      <w:footerReference w:type="default" r:id="rId4"/>
      <w:footerReference w:type="first" r:id="rId5"/>
      <w:type w:val="nextPage"/>
      <w:pgSz w:w="12240" w:h="15840"/>
      <w:pgMar w:left="1440" w:right="1440" w:gutter="0" w:header="720" w:top="1296" w:footer="72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rPr>
    </w:pPr>
    <w:r>
      <w:rPr>
        <w:rFonts w:eastAsia="Arial" w:cs="Arial" w:ascii="Arial" w:hAnsi="Arial"/>
      </w:rPr>
      <w:t>Draft 4/30/98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rPr>
    </w:pPr>
    <w:r>
      <w:rPr>
        <w:rFonts w:eastAsia="Arial" w:cs="Arial" w:ascii="Arial" w:hAnsi="Arial"/>
      </w:rPr>
      <w:t>Draft 4/30/98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1998-04-13T20:01:00Z</dcterms:created>
  <dc:creator>Authorized User</dc:creator>
  <dc:description/>
  <dc:language>en-CA</dc:language>
  <cp:lastModifiedBy>Authorized User</cp:lastModifiedBy>
  <cp:lastPrinted>1998-12-03T16:43:00Z</cp:lastPrinted>
  <dcterms:modified xsi:type="dcterms:W3CDTF">1998-12-03T19:14:00Z</dcterms:modified>
  <cp:revision>13</cp:revision>
  <dc:subject/>
  <dc:title>ELECTRIC POWER SUPPLY ASSOCIATION</dc:title>
</cp:coreProperties>
</file>